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drawing>
          <wp:inline distT="0" distB="0" distL="0" distR="0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Колледж ВятГУ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ОТЧЕТ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ПО ПРАКТИЧЕСКОЙ РАБОТЕ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№1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«Сертификация программного обеспечения»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«МДК 07.02 Сертификация информационных систем»</w:t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>
        <w:rPr>
          <w:rFonts w:eastAsia="Quattrocento Sans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Выполнил: студент учебной группы </w:t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ИСПк-306-52-00</w:t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Боков А.С.</w:t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Quattrocento Sans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Преподаватель: </w:t>
      </w:r>
    </w:p>
    <w:p>
      <w:pPr>
        <w:pStyle w:val="Normal"/>
        <w:pBdr/>
        <w:spacing w:lineRule="auto" w:line="360" w:before="0" w:after="0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Самоделкин П.А.</w:t>
      </w:r>
    </w:p>
    <w:p>
      <w:pPr>
        <w:pStyle w:val="Normal"/>
        <w:pBdr/>
        <w:spacing w:lineRule="auto" w:line="360" w:before="0" w:after="0"/>
        <w:ind w:hanging="840" w:left="5670"/>
        <w:jc w:val="both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Киров</w:t>
      </w:r>
    </w:p>
    <w:p>
      <w:pPr>
        <w:pStyle w:val="Normal"/>
        <w:spacing w:lineRule="auto" w:line="240" w:before="0" w:after="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>
        <w:rPr>
          <w:rFonts w:cs="Times New Roman" w:ascii="Times New Roman" w:hAnsi="Times New Roman"/>
          <w:color w:val="000000"/>
          <w:sz w:val="24"/>
          <w:szCs w:val="24"/>
        </w:rPr>
        <w:t>2026</w:t>
        <w:br w:type="page"/>
      </w: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Знакомство с процедурой получения сертификата на программное обеспечение: изучение правовых основ сертификации в Российской Федерации, состава участников процедуры, последовательности её этапов, а также анализ действующего сертификата соответствия на конкретный программный продукт.</w:t>
      </w:r>
    </w:p>
    <w:p>
      <w:pPr>
        <w:spacing w:line="360" w:lineRule="auto" w:after="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теоретический материал.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Ознакомиться с нормативными документами, регулирующими сертификацию программного обеспечения.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Описать процедуру получения сертификата на программное обеспечение.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Найти в сети готовый сертификат по информационным технологиям и описать его, обратив внимание на техническую часть сертификата, где фиксируется перечень требований к проверяемому программному обеспечению.</w:t>
      </w:r>
    </w:p>
    <w:p>
      <w:pPr>
        <w:spacing w:line="360" w:lineRule="auto" w:after="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Результаты выполнения задания</w:t>
      </w:r>
    </w:p>
    <w:p>
      <w:pPr>
        <w:spacing w:line="360" w:lineRule="auto" w:after="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 Правовые основы сертификации программного обеспечения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Сертификация программного обеспечения — процедура, направленная на подтверждение соответствия программного продукта нормам и стандартам, действующим на территории Российской Федерации. Результатом процедуры является сертификат соответствия — документ, удостоверяющий, что продукт прошёл испытания и отвечает заявленным требованиям.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Основным правовым актом в этой области является Федеральный закон от 27.12.2002 № 184-ФЗ «О техническом регулировании», устанавливающий общие правила подтверждения соответствия продукции. Перечень продукции, подлежащей обязательной сертификации, утверждён постановлением Правительства Российской Федерации от 01.12.2009 № 982; программное обеспечение в этот перечень не входит, поэтому его сертификация в общем случае является добровольной.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Несмотря на добровольный характер, разработчики и продавцы программных продуктов проводят сертификацию по следующим причинам: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подтверждение соответствия ПО стандартам и требованиям, значимым для отрасли или конкретного заказчика;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повышение качества продукта: испытания выявляют ошибки и уязвимости;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рост доверия клиентов, так как соответствие подтверждено независимыми экспертами;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выполнение требований законодательства — в ряде случаев применение сертифицированного ПО обязательно;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снижение рисков, связанных с нарушением безопасности и ошибками в работе программы.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Обязательной сертификация становится тогда, когда программное обеспечение применяется в государственных информационных системах, в системах обработки персональных данных и на объектах критической информационной инфраструктуры: в этих случаях законодательство прямо предписывает использовать средства защиты информации, имеющие действующий сертификат.</w:t>
      </w: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 Системы сертификации, действующие в Российской Федерации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стране существует несколько систем сертификации, ориентированных на различные типы программного обеспечения. Их характеристики приведены в таблице 1.</w:t>
      </w:r>
    </w:p>
    <w:p>
      <w:pPr>
        <w:keepNext/>
        <w:spacing w:line="240" w:lineRule="auto" w:after="80" w:before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1 — Системы сертификации программного обеспечения в России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Система сертификации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Область применения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Особенности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ФСТЭК России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Техническая защита информации некриптографическими методами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Требования открыты и опубликованы на официальном сайте fstec.ru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ФСБ России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Средства криптографической защиты информации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Допускаются только российские криптоалгоритмы; требования не являются публичными, для ознакомления нужен специальный допуск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Минобороны России</w:t>
            </w:r>
          </w:p>
        </w:tc>
        <w:tc>
          <w:tcPr>
            <w:tcW w:type="dxa" w:w="30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Программное обеспечение для нужд обороны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Ведомственная система сертификации</w:t>
            </w:r>
          </w:p>
        </w:tc>
      </w:tr>
    </w:tbl>
    <w:p>
      <w:pPr>
        <w:spacing w:line="360" w:lineRule="auto" w:after="12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ФСТЭК России (до 2004 года — Гостехкомиссия России) — федеральный орган исполнительной власти, обеспечивающий безопасность информации в ключевых системах информационной и телекоммуникационной инфраструктуры, противодействие иностранным техническим разведкам, техническую защиту информации некриптографическими методами и экспортный контроль.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Важно понимать распределение ролей: ФСТЭК России выступает организатором сертификации и органом контроля верхнего уровня, а непосредственные действия выполняют её лицензиаты — испытательные лаборатории проводят исследование программного обеспечения, а органы по сертификации (экспертные организации) проверяют качество этих испытаний. Заявитель вправе выбрать испытательную лабораторию по согласованию с ФСТЭК, тогда как экспертную организацию ФСТЭК назначает самостоятельно.</w:t>
      </w: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 Нормативные документы, регулирующие сертификацию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документы, с которыми необходимо ознакомиться перед проведением сертификации, приведены в таблице 2.</w:t>
      </w:r>
    </w:p>
    <w:p>
      <w:pPr>
        <w:keepNext/>
        <w:spacing w:line="240" w:lineRule="auto" w:after="80" w:before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2 — Нормативные документы в области сертификации ПО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385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Документ</w:t>
            </w:r>
          </w:p>
        </w:tc>
        <w:tc>
          <w:tcPr>
            <w:tcW w:type="dxa" w:w="5216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Федеральный закон от 27.12.2002 № 184-ФЗ «О техническом регулировании»</w:t>
            </w:r>
          </w:p>
        </w:tc>
        <w:tc>
          <w:tcPr>
            <w:tcW w:type="dxa" w:w="521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Общие правила подтверждения соответствия продукции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Постановление Правительства РФ от 01.12.2009 № 982</w:t>
            </w:r>
          </w:p>
        </w:tc>
        <w:tc>
          <w:tcPr>
            <w:tcW w:type="dxa" w:w="521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Перечень продукции, подлежащей обязательной сертификации; ПО в него не включено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Приказ ФСТЭК России от 03.04.2018 № 55</w:t>
            </w:r>
          </w:p>
        </w:tc>
        <w:tc>
          <w:tcPr>
            <w:tcW w:type="dxa" w:w="521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Положение о системе сертификации средств защиты информации — порядок проведения процедуры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Приказ ФСТЭК России от 02.06.2020 № 76</w:t>
            </w:r>
          </w:p>
        </w:tc>
        <w:tc>
          <w:tcPr>
            <w:tcW w:type="dxa" w:w="521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Требования по безопасности информации, устанавливающие уровни доверия к средствам технической защиты информации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Приказ ФСТЭК России от 11.02.2013 № 17</w:t>
            </w:r>
          </w:p>
        </w:tc>
        <w:tc>
          <w:tcPr>
            <w:tcW w:type="dxa" w:w="521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Требования о защите информации в государственных информационных системах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Приказ ФСТЭК России от 18.02.2013 № 21</w:t>
            </w:r>
          </w:p>
        </w:tc>
        <w:tc>
          <w:tcPr>
            <w:tcW w:type="dxa" w:w="521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Меры по обеспечению безопасности персональных данных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Приказ ФСТЭК России от 25.12.2017 № 239</w:t>
            </w:r>
          </w:p>
        </w:tc>
        <w:tc>
          <w:tcPr>
            <w:tcW w:type="dxa" w:w="521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Требования по обеспечению безопасности значимых объектов критической информационной инфраструктуры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ГОСТ Р ИСО/МЭК 27001–2021</w:t>
            </w:r>
          </w:p>
        </w:tc>
        <w:tc>
          <w:tcPr>
            <w:tcW w:type="dxa" w:w="521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Системы менеджмента информационной безопасности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ГОСТ Р ИСО 9001–2015</w:t>
            </w:r>
          </w:p>
        </w:tc>
        <w:tc>
          <w:tcPr>
            <w:tcW w:type="dxa" w:w="521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Системы менеджмента качества</w:t>
            </w:r>
          </w:p>
        </w:tc>
      </w:tr>
    </w:tbl>
    <w:p>
      <w:pPr>
        <w:spacing w:line="360" w:lineRule="auto" w:after="12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 Процедура получения сертификата на программное обеспечение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Порядок проведения сертификации установлен Положением о системе сертификации средств защиты информации (приказ ФСТЭК России от 03.04.2018 № 55). Процедура включает подачу заявки, принятие решения о проведении сертификации, сертификационные испытания, экспертизу их результатов и выдачу сертификата. Последовательность этапов и распределение обязанностей между участниками приведены на рисунке 1.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873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sche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73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 — Порядок получения сертификата соответствия на программное обеспечение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Пояснения к отдельным этапам. На подготовительном этапе заявитель определяет объект сертификации и требования, на соответствие которым будет проводиться проверка, и разрабатывает комплект документации, включая технические условия и задание по безопасности. От выбранной схемы сертификации зависит и объём испытаний, и порядок дальнейшего применения сертификата; сравнение схем приведено в таблице 3.</w:t>
      </w:r>
    </w:p>
    <w:p>
      <w:pPr>
        <w:keepNext/>
        <w:spacing w:line="240" w:lineRule="auto" w:after="80" w:before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3 — Схемы сертификации средств защиты информации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Схема сертификации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419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Особенности применения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Единичный экземпляр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Один конкретный экземпляр ПО</w:t>
            </w:r>
          </w:p>
        </w:tc>
        <w:tc>
          <w:tcPr>
            <w:tcW w:type="dxa" w:w="419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Срок действия сертификата не устанавливается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Партия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Ограниченная партия экземпляров</w:t>
            </w:r>
          </w:p>
        </w:tc>
        <w:tc>
          <w:tcPr>
            <w:tcW w:type="dxa" w:w="419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Сертификат действует для экземпляров конкретной партии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Серия (серийное производство)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Все выпускаемые экземпляры продукта</w:t>
            </w:r>
          </w:p>
        </w:tc>
        <w:tc>
          <w:tcPr>
            <w:tcW w:type="dxa" w:w="4195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Сертификат действует в течение установленного срока; проводится инспекционный контроль</w:t>
            </w:r>
          </w:p>
        </w:tc>
      </w:tr>
    </w:tbl>
    <w:p>
      <w:pPr>
        <w:spacing w:line="360" w:lineRule="auto" w:after="12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Наиболее сложным и длительным этапом являются сертификационные испытания. Испытательная лаборатория проверяет реализацию функций безопасности, проводит анализ уязвимостей и контроль отсутствия недекларированных возможностей, исследует исходный код программы. По результатам оформляются протоколы испытаний и техническое заключение, которые передаются в орган по сертификации для экспертизы. На рассмотрение поступивших материалов и принятие решения ФСТЭК России отводится 20 дней.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Существенная особенность российской системы сертификации состоит в том, что каждая претендующая на сертификат копия программного обеспечения проверяется на соответствие тому экземпляру, который непосредственно проходил испытания, то есть на бинарном уровне все сертифицированные копии полностью идентичны. Для сравнения, в международной системе Common Criteria сертифицированным считается любой лицензионный экземпляр ПО, прошедшего сертификацию, а идентичность каждого продаваемого экземпляра испытанному не проверяется. Контроль целостности сертифицированных продуктов у пользователя, включая наличие всех необходимых сертифицированных обновлений, могут проводить соответствующие службы в любое время.</w:t>
      </w: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 Анализ действующего сертификата соответствия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анализа выбран сертификат соответствия ФСТЭК России № 4751, выданный на программный комплекс «1С-Битрикс: Управление сайтом» — систему управления содержимым сайта, широко применяемую в организациях, к которым предъявляются повышенные требования к защите информации. Сведения о сертификации опубликованы на официальном сайте разработчика (рисунок 2).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84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cert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4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2 — Сведения о сертификатах ФСТЭК России на сайте компании «1С-Битрикс»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Проверить подлинность сертификата можно по государственному реестру сертифицированных средств защиты информации, который ведёт ФСТЭК России. Отсутствие документа в реестре может означать, что сертификат поддельный. Карточка рассматриваемого сертификата в реестре приведена на рисунке 3.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4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cert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3 — Сведения о сертификате № 4751 в реестре сертифицированных средств защиты информации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сведения сертификата сведены в таблицу 4.</w:t>
      </w:r>
    </w:p>
    <w:p>
      <w:pPr>
        <w:keepNext/>
        <w:spacing w:line="240" w:lineRule="auto" w:after="80" w:before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4 — Основные сведения сертификата соответствия № 4751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Реквизит сертификата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Номер сертификата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4751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Наименование средства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Программный комплекс «1С-Битрикс: Управление сайтом», версия «Энтерпрайз»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Разработчик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ООО «Битрикс»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Заявитель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ООО «СИС груп», г. Москва, проезд Научный, д. 17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Испытательная лаборатория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ООО «КБ-Лаб»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Орган по сертификации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ФАУ «ГНИИИ ПТЗИ ФСТЭК России»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Схема сертификации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Серия (серийное производство)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Дата внесения в реестр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13.12.2023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Срок действия сертификата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до 13.12.2028 (пять лет)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Требования, которым соответствует средство</w:t>
            </w:r>
          </w:p>
        </w:tc>
        <w:tc>
          <w:tcPr>
            <w:tcW w:type="dxa" w:w="5896"/>
          </w:tcPr>
          <w:p>
            <w:pPr>
              <w:keepNext/>
              <w:spacing w:line="240" w:lineRule="auto"/>
            </w:pPr>
            <w:r>
              <w:rPr>
                <w:rFonts w:ascii="Times New Roman" w:hAnsi="Times New Roman"/>
                <w:sz w:val="22"/>
              </w:rPr>
              <w:t>Требования доверия (4 уровень доверия), технические условия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Сертифицированная версия продукта</w:t>
            </w:r>
          </w:p>
        </w:tc>
        <w:tc>
          <w:tcPr>
            <w:tcW w:type="dxa" w:w="5896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25.750.0</w:t>
            </w:r>
          </w:p>
        </w:tc>
      </w:tr>
    </w:tbl>
    <w:p>
      <w:pPr>
        <w:spacing w:line="360" w:lineRule="auto" w:after="120" w:before="0"/>
        <w:ind w:firstLine="709"/>
        <w:jc w:val="both"/>
      </w:pP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 Техническая часть сертификата: требования к программному обеспечению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Наибольший интерес представляет техническая часть сертификата — графа «Наименования документов, требованиям которых соответствует средство». Для рассматриваемого сертификата в ней указано: «Требования доверия (4), ТУ». Эта запись означает, что программный комплекс проверялся, во-первых, на соответствие требованиям по безопасности информации, утверждённым приказом ФСТЭК России от 02.06.2020 № 76, по четвёртому уровню доверия, и, во-вторых, на соответствие техническим условиям — документу разработчика, описывающему функциональные возможности конкретного продукта.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Приказ № 76 устанавливает шесть уровней доверия к средствам технической защиты информации, где первый уровень является наивысшим, а шестой — наименьшим. Уровень доверия определяет, в системах какого класса защищённости допускается применять средство: чем выше требования к информационной системе, тем более высокий уровень доверия должен иметь используемый в ней продукт. Четвёртый уровень доверия, полученный рассматриваемым программным комплексом, допускает его применение в государственных информационных системах и информационных системах персональных данных с высокими требованиями к защите информации.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Требования доверия описывают не столько отдельные функции программы, сколько условия, при которых её работе можно доверять. Проверке подлежат: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процессы разработки и производства средства, включая управление конфигурацией и безопасность среды разработки;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полнота и корректность проектной и эксплуатационной документации;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результаты функционального тестирования механизмов защиты;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отсутствие недекларированных возможностей, для чего проводится анализ исходного кода;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устойчивость к попыткам преодоления защиты, проверяемая испытаниями на проникновение;</w:t>
      </w:r>
    </w:p>
    <w:p>
      <w:pPr>
        <w:spacing w:line="360" w:lineRule="auto" w:after="0"/>
        <w:ind w:left="992" w:hanging="283"/>
        <w:jc w:val="both"/>
      </w:pPr>
      <w:r>
        <w:rPr>
          <w:rFonts w:ascii="Times New Roman" w:hAnsi="Times New Roman"/>
          <w:sz w:val="28"/>
        </w:rPr>
        <w:t>– порядок поддержки безопасности средства в ходе эксплуатации — выпуск обновлений и устранение выявленных уязвимостей.</w:t>
      </w:r>
    </w:p>
    <w:p>
      <w:pPr>
        <w:spacing w:line="36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Применительно к рассмотренному программному комплексу это означает, что он является программным средством со встроенными механизмами защиты от несанкционированного доступа, реализующими идентификацию и аутентификацию пользователей, управление доступом и регистрацию событий безопасности, и что эти механизмы прошли независимую проверку.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Отдельно следует обратить внимание на условия сохранения юридической силы сертификата. Он распространяется не на продукт вообще, а на конкретную сертифицированную версию — в данном случае 25.750.0. Использование несертифицированной версии или установка не прошедших проверку обновлений означает, что требования законодательства о применении сертифицированных средств защиты не выполняются, даже если сам сертификат ещё действует.</w:t>
      </w:r>
    </w:p>
    <w:p>
      <w:pPr>
        <w:keepNext/>
        <w:spacing w:line="360" w:lineRule="auto" w:after="120" w:before="2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Выводы по работе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практической работы изучена процедура получения сертификата на программное обеспечение. Установлено, что сертификация ПО в Российской Федерации в общем случае носит добровольный характер, поскольку программное обеспечение не включено в перечень продукции, подлежащей обязательной сертификации, однако становится обязательной при применении программных средств в государственных информационных системах, системах обработки персональных данных и на объектах критической информационной инфраструктуры.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Рассмотрены нормативные документы, регулирующие сертификацию, и системы сертификации, действующие в стране. Изучено распределение ролей между участниками процедуры: ФСТЭК России организует сертификацию и принимает решение о выдаче сертификата, испытательная лаборатория проводит испытания, а орган по сертификации выполняет экспертизу их результатов. Описана последовательность этапов процедуры — от подготовки документации и подачи заявки до выдачи сертификата и последующего инспекционного контроля.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Проанализирован действующий сертификат соответствия ФСТЭК России № 4751 на программный комплекс «1С-Битрикс: Управление сайтом». Рассмотрены его реквизиты и, в первую очередь, техническая часть, содержащая перечень требований к проверяемому программному обеспечению: соответствие требованиям доверия по четвёртому уровню и техническим условиям разработчика. Показано, что требования доверия охватывают не только сами функции защиты, но и процессы разработки, тестирования и сопровождения продукта, а действие сертификата распространяется на конкретную сертифицированную версию программного комплекса.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работы достигнута, задание выполнено в полном объёме.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851" w:gutter="0" w:header="709" w:top="1134" w:footer="0" w:bottom="1134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981690457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4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c06133"/>
    <w:rPr/>
  </w:style>
  <w:style w:type="character" w:styleId="Style9" w:customStyle="1">
    <w:name w:val="Нижний колонтитул Знак"/>
    <w:basedOn w:val="DefaultParagraphFont"/>
    <w:uiPriority w:val="99"/>
    <w:qFormat/>
    <w:rsid w:val="00c06133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a2976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06133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c06133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4</Pages>
  <Words>41</Words>
  <Characters>248</Characters>
  <CharactersWithSpaces>273</CharactersWithSpaces>
  <Paragraphs>23</Paragraphs>
  <Company>DG Win&amp;Soft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2022-01-26T03:38:00Z</dcterms:created>
  <dc:creator/>
  <dc:description/>
  <dc:language>ru-RU</dc:language>
  <cp:lastModifiedBy/>
  <dcterms:modified xsi:type="dcterms:W3CDTF">2025-10-09T00:24:55Z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