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Элементы</w:t>
      </w:r>
      <w:r>
        <w:t xml:space="preserve"> </w:t>
      </w:r>
      <w:r>
        <w:t xml:space="preserve">криптографии.</w:t>
      </w:r>
      <w:r>
        <w:t xml:space="preserve"> </w:t>
      </w:r>
      <w:r>
        <w:t xml:space="preserve">Однократное</w:t>
      </w:r>
      <w:r>
        <w:t xml:space="preserve"> </w:t>
      </w:r>
      <w:r>
        <w:t xml:space="preserve">гаммирование</w:t>
      </w:r>
    </w:p>
    <w:p>
      <w:pPr>
        <w:pStyle w:val="Author"/>
      </w:pPr>
      <w:r>
        <w:t xml:space="preserve">Василий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Селезнев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на практике применение режима однократного гаммирования [1].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программу, которая должна определить вид шифротекста при известном ключе и известном открытом тексте</w:t>
      </w:r>
    </w:p>
    <w:p>
      <w:pPr>
        <w:numPr>
          <w:ilvl w:val="0"/>
          <w:numId w:val="1001"/>
        </w:numPr>
        <w:pStyle w:val="Compact"/>
      </w:pPr>
      <w:r>
        <w:t xml:space="preserve">Также эта программа должна определить ключ, с помощью которого шифротекст может быть преобразован в некоторый фрагмент текста, представляющий собой один из возможных вариантов прочтения открытого текста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Написал функцию шифрования, которая определяет вид шифротекста при известном ключе и известном открытом тексте</w:t>
      </w:r>
      <w:r>
        <w:t xml:space="preserve"> </w:t>
      </w:r>
      <w:r>
        <w:t xml:space="preserve">“</w:t>
      </w:r>
      <w:r>
        <w:t xml:space="preserve">С Новы Годом, друзья!</w:t>
      </w:r>
      <w:r>
        <w:t xml:space="preserve">”</w:t>
      </w:r>
      <w:r>
        <w:t xml:space="preserve">. Ниже представлены функция, шифрующая данные (рис -</w:t>
      </w:r>
      <w:r>
        <w:t xml:space="preserve"> </w:t>
      </w:r>
      <w:r>
        <w:t xml:space="preserve">@fig:001</w:t>
      </w:r>
      <w:r>
        <w:t xml:space="preserve">), а также работа данной функции (рис -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2298186"/>
            <wp:effectExtent b="0" l="0" r="0" t="0"/>
            <wp:docPr descr="Функция, шифрующая данны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Функция, шифрующая данные</w:t>
      </w:r>
    </w:p>
    <w:p>
      <w:pPr>
        <w:pStyle w:val="CaptionedFigure"/>
      </w:pPr>
      <w:bookmarkStart w:id="25" w:name="fig:002"/>
      <w:r>
        <w:drawing>
          <wp:inline>
            <wp:extent cx="5334000" cy="1416686"/>
            <wp:effectExtent b="0" l="0" r="0" t="0"/>
            <wp:docPr descr="Результат работы функции, шифрующей данны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Результат работы функции, шифрующей данные</w:t>
      </w:r>
    </w:p>
    <w:p>
      <w:pPr>
        <w:numPr>
          <w:ilvl w:val="0"/>
          <w:numId w:val="1003"/>
        </w:numPr>
        <w:pStyle w:val="Compact"/>
      </w:pPr>
      <w:r>
        <w:t xml:space="preserve">Написал функцию дешифровки, которая определяет ключ, с помощью которого шифротекст может быть преобразован в некоторый фрагмент текста, представляющий собой один из возможных вариантов прочтения открытого текста (рис -</w:t>
      </w:r>
      <w:r>
        <w:t xml:space="preserve"> </w:t>
      </w:r>
      <w:r>
        <w:t xml:space="preserve">@fig:003</w:t>
      </w:r>
      <w:r>
        <w:t xml:space="preserve">). А также представил результаты работы программы (рис -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1839655"/>
            <wp:effectExtent b="0" l="0" r="0" t="0"/>
            <wp:docPr descr="Функция, дешифрующая данны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Функция, дешифрующая данные</w:t>
      </w:r>
    </w:p>
    <w:p>
      <w:pPr>
        <w:pStyle w:val="CaptionedFigure"/>
      </w:pPr>
      <w:bookmarkStart w:id="29" w:name="fig:004"/>
      <w:r>
        <w:drawing>
          <wp:inline>
            <wp:extent cx="5334000" cy="1028664"/>
            <wp:effectExtent b="0" l="0" r="0" t="0"/>
            <wp:docPr descr="Результат работы функции, дешифрующей данны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Результат работы функции, дешифрующей данные</w:t>
      </w:r>
    </w:p>
    <w:p>
      <w:pPr>
        <w:pStyle w:val="BodyText"/>
      </w:pPr>
      <w:r>
        <w:t xml:space="preserve">Сравнение ключей, полученных с помощью первой и второй функций (рис -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34397"/>
            <wp:effectExtent b="0" l="0" r="0" t="0"/>
            <wp:docPr descr="Сравнение ключе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Сравнение ключей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Освоил на практике применение режима однократного гаммирования.</w:t>
      </w:r>
    </w:p>
    <w:bookmarkEnd w:id="33"/>
    <w:bookmarkStart w:id="34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4"/>
        </w:numPr>
        <w:pStyle w:val="Compact"/>
      </w:pPr>
      <w:r>
        <w:t xml:space="preserve">Одократное гаммирование - выполнение операции XOR между элементами гаммы и элементами подлежащего сокрытию текста. Если в методе шифрования используется однократная вероятностная гамма (однократное гаммирование) той же длины, что и подлежащий сокрытию текст, то текст нельзя раскрыть. Даже при раскрытии части последовательности гаммы нельзя получить информацию о всём скрываемом тексте.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Недостатки однократного гаммирования: Абсолютная стойкость шифра доказана только для случая, когда однократно используемый ключ, длиной, равной длине исходного сообщения, является фрагментом истинно случайной двоичной последовательности с равномерным законом распределения.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Преимущества однократного гаммирования: во-первых, такой способ симметричен, т.е. двойное прибавление одной и той же величины по модулю 2 восстанавливает исходное значение; во-вторых, шифрование и расшифрование может быть выполнено одной и той же программой. Наконец, Криптоалгоритм не даёт никакой информации об открытом тексте: при известном зашифрованном сообщении C все различные ключевые последовательности K возможны и равновероятны, а значит, возможны и любые сообщения P.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Длина открытого текста должна совпадать с длиной ключа, т.к. если ключ короче текста, то операция XOR будет применена не ко всем элементам и конец сообщения будет не закодирован, а если ключ будет длиннее, то появится неоднозначность декодирования.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Операция XOR используется в режиме однократного гаммирования. Наложение гаммы по сути представляет собой выполнение побитовой операции сложения по модулю 2, т.е. мы должны сложить каждый элемент гаммы с соответствующим элементом ключа. Данная операция является симметричной, так как прибавление одной и той же величины по модулю 2 восстанавливает исходное значение.</w:t>
      </w:r>
    </w:p>
    <w:p>
      <w:pPr>
        <w:numPr>
          <w:ilvl w:val="0"/>
          <w:numId w:val="1004"/>
        </w:numPr>
        <w:pStyle w:val="Compact"/>
      </w:pPr>
      <w:r>
        <w:t xml:space="preserve">Получение шифротекста по открытому тексту и ключу:</w:t>
      </w:r>
      <w:r>
        <w:t xml:space="preserve"> </w:t>
      </w:r>
      <m:oMath>
        <m:sSub>
          <m:e>
            <m:r>
              <m:t>C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</m:sub>
        </m:sSub>
        <m:r>
          <m:rPr>
            <m:sty m:val="p"/>
          </m:rPr>
          <m:t>⊕</m:t>
        </m:r>
        <m:sSub>
          <m:e>
            <m:r>
              <m:t>K</m:t>
            </m:r>
          </m:e>
          <m:sub>
            <m:r>
              <m:t>i</m:t>
            </m:r>
          </m:sub>
        </m:sSub>
      </m:oMath>
      <w:r>
        <w:br/>
      </w:r>
    </w:p>
    <w:p>
      <w:pPr>
        <w:numPr>
          <w:ilvl w:val="0"/>
          <w:numId w:val="1004"/>
        </w:numPr>
        <w:pStyle w:val="Compact"/>
      </w:pPr>
      <w:r>
        <w:t xml:space="preserve">Получение ключа по окрытому тексту и шифротексту: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</m:sub>
        </m:sSub>
        <m:r>
          <m:rPr>
            <m:sty m:val="p"/>
          </m:rPr>
          <m:t>⊕</m:t>
        </m:r>
        <m:sSub>
          <m:e>
            <m:r>
              <m:t>C</m:t>
            </m:r>
          </m:e>
          <m:sub>
            <m:r>
              <m:t>i</m:t>
            </m:r>
          </m:sub>
        </m:sSub>
      </m:oMath>
      <w:r>
        <w:br/>
      </w:r>
    </w:p>
    <w:p>
      <w:pPr>
        <w:numPr>
          <w:ilvl w:val="0"/>
          <w:numId w:val="1004"/>
        </w:numPr>
        <w:pStyle w:val="Compact"/>
      </w:pPr>
      <w:r>
        <w:t xml:space="preserve">Необходимы и достаточные условия абсолютной стойкости шифра: полная случайность ключа; равенство длин ключа и открытого текста; однократное использование ключа.</w:t>
      </w:r>
    </w:p>
    <w:bookmarkEnd w:id="34"/>
    <w:bookmarkStart w:id="3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7. Элементы криптографии. Однократное гаммирование.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Василий Александрович Селезнев</dc:creator>
  <dc:language>ru-RU</dc:language>
  <cp:keywords/>
  <dcterms:created xsi:type="dcterms:W3CDTF">2021-12-10T15:11:29Z</dcterms:created>
  <dcterms:modified xsi:type="dcterms:W3CDTF">2021-12-10T15:11:29Z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Элементы криптографии. Однократное гаммирование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