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24.jpg" ContentType="image/jpeg"/>
  <Override PartName="/word/media/rId26.jpg" ContentType="image/jpeg"/>
  <Override PartName="/word/media/rId28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№4</w:t>
      </w:r>
    </w:p>
    <w:p>
      <w:pPr>
        <w:pStyle w:val="Author"/>
      </w:pPr>
      <w:r>
        <w:t xml:space="preserve">Селезнев</w:t>
      </w:r>
      <w:r>
        <w:t xml:space="preserve"> </w:t>
      </w:r>
      <w:r>
        <w:t xml:space="preserve">Василий</w:t>
      </w:r>
      <w:r>
        <w:t xml:space="preserve"> </w:t>
      </w:r>
      <w:r>
        <w:t xml:space="preserve">Александрович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Познакомиться с моделью гармонических колебаний осциллятора, используя язык программирования Modelica.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Построить решение уравнения гармонического осциллятора без затухания(2)</w:t>
      </w:r>
    </w:p>
    <w:p>
      <w:pPr>
        <w:numPr>
          <w:ilvl w:val="0"/>
          <w:numId w:val="1001"/>
        </w:numPr>
        <w:pStyle w:val="Compact"/>
      </w:pPr>
      <w:r>
        <w:t xml:space="preserve">Записать уравнение свободных колебаний гармонического осциллятора с затуханием, построить его решение. Построить фазовый портрет гармонических колебаний с затуханием.</w:t>
      </w:r>
    </w:p>
    <w:p>
      <w:pPr>
        <w:numPr>
          <w:ilvl w:val="0"/>
          <w:numId w:val="1001"/>
        </w:numPr>
        <w:pStyle w:val="Compact"/>
      </w:pPr>
      <w:r>
        <w:t xml:space="preserve">Записать уравнение колебаний гармонического осциллятора, если на систему действует внешняя сила, построить его решение. Построить фазовый портрет колебаний с действием внешней силы.</w:t>
      </w:r>
    </w:p>
    <w:bookmarkEnd w:id="21"/>
    <w:bookmarkStart w:id="30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Рассмотрим модель осциллятора</w:t>
      </w:r>
      <w:r>
        <w:br/>
      </w:r>
      <w:r>
        <w:t xml:space="preserve">1. Первый случай (без затухания и без действия внешней силы)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̈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r>
            <m:t>12</m:t>
          </m:r>
          <m:r>
            <m:t>x</m:t>
          </m:r>
          <m:r>
            <m:rPr>
              <m:sty m:val="p"/>
            </m:rPr>
            <m:t>=</m:t>
          </m:r>
          <m:r>
            <m:t>f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</m:oMath>
      </m:oMathPara>
    </w:p>
    <w:p>
      <w:pPr>
        <w:pStyle w:val="FirstParagraph"/>
      </w:pPr>
      <w:r>
        <w:t xml:space="preserve">где</w:t>
      </w:r>
      <w:r>
        <w:br/>
      </w:r>
      <m:oMath>
        <m:r>
          <m:t>w</m:t>
        </m:r>
        <m:r>
          <m:rPr>
            <m:sty m:val="p"/>
          </m:rPr>
          <m:t>=</m:t>
        </m:r>
        <m:rad>
          <m:radPr>
            <m:degHide m:val="1"/>
          </m:radPr>
          <m:deg/>
          <m:e>
            <m:r>
              <m:t>12.0</m:t>
            </m:r>
          </m:e>
        </m:rad>
      </m:oMath>
      <w:r>
        <w:br/>
      </w:r>
      <m:oMath>
        <m:r>
          <m:t>γ</m:t>
        </m:r>
        <m:r>
          <m:rPr>
            <m:sty m:val="p"/>
          </m:rPr>
          <m:t>=</m:t>
        </m:r>
        <m:r>
          <m:t>0.0</m:t>
        </m:r>
      </m:oMath>
      <w:r>
        <w:br/>
      </w:r>
      <m:oMath>
        <m:r>
          <m:t>f</m:t>
        </m:r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  <m:r>
          <m:rPr>
            <m:sty m:val="p"/>
          </m:rPr>
          <m:t>=</m:t>
        </m:r>
        <m:r>
          <m:t>0.0</m:t>
        </m:r>
      </m:oMath>
    </w:p>
    <w:p>
      <w:pPr>
        <w:numPr>
          <w:ilvl w:val="0"/>
          <w:numId w:val="1002"/>
        </w:numPr>
        <w:pStyle w:val="Compact"/>
      </w:pPr>
      <w:r>
        <w:t xml:space="preserve">Второй случай (с затуханием и без действия внешней силы)</w:t>
      </w:r>
    </w:p>
    <w:p>
      <w:pPr>
        <w:pStyle w:val="FirstParagraph"/>
      </w:pPr>
      <m:oMathPara>
        <m:oMathParaPr>
          <m:jc m:val="center"/>
        </m:oMathParaPr>
        <m:oMath>
          <m:acc>
            <m:accPr>
              <m:chr m:val="̈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r>
            <m:t>11</m:t>
          </m:r>
          <m:acc>
            <m:accPr>
              <m:chr m:val="̇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r>
            <m:t>2</m:t>
          </m:r>
          <m:r>
            <m:t>x</m:t>
          </m:r>
          <m:r>
            <m:rPr>
              <m:sty m:val="p"/>
            </m:rPr>
            <m:t>=</m:t>
          </m:r>
          <m:r>
            <m:t>0</m:t>
          </m:r>
        </m:oMath>
      </m:oMathPara>
    </w:p>
    <w:p>
      <w:pPr>
        <w:pStyle w:val="FirstParagraph"/>
      </w:pPr>
      <w:r>
        <w:t xml:space="preserve">где</w:t>
      </w:r>
      <w:r>
        <w:br/>
      </w:r>
      <m:oMath>
        <m:r>
          <m:t>w</m:t>
        </m:r>
        <m:r>
          <m:rPr>
            <m:sty m:val="p"/>
          </m:rPr>
          <m:t>=</m:t>
        </m:r>
        <m:rad>
          <m:radPr>
            <m:degHide m:val="1"/>
          </m:radPr>
          <m:deg/>
          <m:e>
            <m:r>
              <m:t>2.0</m:t>
            </m:r>
          </m:e>
        </m:rad>
      </m:oMath>
      <w:r>
        <w:br/>
      </w:r>
      <m:oMath>
        <m:r>
          <m:t>γ</m:t>
        </m:r>
        <m:r>
          <m:rPr>
            <m:sty m:val="p"/>
          </m:rPr>
          <m:t>=</m:t>
        </m:r>
        <m:r>
          <m:t>11.0</m:t>
        </m:r>
      </m:oMath>
      <w:r>
        <w:br/>
      </w:r>
      <m:oMath>
        <m:r>
          <m:t>f</m:t>
        </m:r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  <m:r>
          <m:rPr>
            <m:sty m:val="p"/>
          </m:rPr>
          <m:t>=</m:t>
        </m:r>
        <m:r>
          <m:t>0.0</m:t>
        </m:r>
      </m:oMath>
    </w:p>
    <w:p>
      <w:pPr>
        <w:numPr>
          <w:ilvl w:val="0"/>
          <w:numId w:val="1003"/>
        </w:numPr>
        <w:pStyle w:val="Compact"/>
      </w:pPr>
      <w:r>
        <w:t xml:space="preserve">Третий случай(с затуханием и под действием внешней силы)</w:t>
      </w:r>
    </w:p>
    <w:p>
      <w:pPr>
        <w:pStyle w:val="FirstParagraph"/>
      </w:pPr>
      <m:oMathPara>
        <m:oMathParaPr>
          <m:jc m:val="center"/>
        </m:oMathParaPr>
        <m:oMath>
          <m:acc>
            <m:accPr>
              <m:chr m:val="̈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r>
            <m:t>2</m:t>
          </m:r>
          <m:acc>
            <m:accPr>
              <m:chr m:val="̇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r>
            <m:t>2</m:t>
          </m:r>
          <m:r>
            <m:t>x</m:t>
          </m:r>
          <m:r>
            <m:rPr>
              <m:sty m:val="p"/>
            </m:rPr>
            <m:t>=</m:t>
          </m:r>
          <m:r>
            <m:t>2</m:t>
          </m:r>
          <m:r>
            <m:t>c</m:t>
          </m:r>
          <m:r>
            <m:t>o</m:t>
          </m:r>
          <m:r>
            <m:t>s</m:t>
          </m:r>
          <m:r>
            <m:rPr>
              <m:sty m:val="p"/>
            </m:rPr>
            <m:t>(</m:t>
          </m:r>
          <m:r>
            <m:t>2</m:t>
          </m:r>
          <m:r>
            <m:t>t</m:t>
          </m:r>
          <m:r>
            <m:rPr>
              <m:sty m:val="p"/>
            </m:rPr>
            <m:t>)</m:t>
          </m:r>
        </m:oMath>
      </m:oMathPara>
    </w:p>
    <w:p>
      <w:pPr>
        <w:pStyle w:val="FirstParagraph"/>
      </w:pPr>
      <w:r>
        <w:t xml:space="preserve">где</w:t>
      </w:r>
      <w:r>
        <w:br/>
      </w:r>
      <m:oMath>
        <m:r>
          <m:t>w</m:t>
        </m:r>
        <m:r>
          <m:rPr>
            <m:sty m:val="p"/>
          </m:rPr>
          <m:t>=</m:t>
        </m:r>
        <m:rad>
          <m:radPr>
            <m:degHide m:val="1"/>
          </m:radPr>
          <m:deg/>
          <m:e>
            <m:r>
              <m:t>2.0</m:t>
            </m:r>
          </m:e>
        </m:rad>
      </m:oMath>
      <w:r>
        <w:br/>
      </w:r>
      <m:oMath>
        <m:r>
          <m:t>γ</m:t>
        </m:r>
        <m:r>
          <m:rPr>
            <m:sty m:val="p"/>
          </m:rPr>
          <m:t>=</m:t>
        </m:r>
        <m:r>
          <m:t>2.0</m:t>
        </m:r>
      </m:oMath>
      <w:r>
        <w:br/>
      </w:r>
      <m:oMath>
        <m:r>
          <m:t>f</m:t>
        </m:r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  <m:r>
          <m:rPr>
            <m:sty m:val="p"/>
          </m:rPr>
          <m:t>=</m:t>
        </m:r>
        <m:r>
          <m:t>2.0</m:t>
        </m:r>
        <m:r>
          <m:t>c</m:t>
        </m:r>
        <m:r>
          <m:t>o</m:t>
        </m:r>
        <m:r>
          <m:t>s</m:t>
        </m:r>
        <m:r>
          <m:rPr>
            <m:sty m:val="p"/>
          </m:rPr>
          <m:t>(</m:t>
        </m:r>
        <m:r>
          <m:t>2</m:t>
        </m:r>
        <m:r>
          <m:t>t</m:t>
        </m:r>
        <m:r>
          <m:rPr>
            <m:sty m:val="p"/>
          </m:rPr>
          <m:t>)</m:t>
        </m:r>
      </m:oMath>
    </w:p>
    <w:p>
      <w:pPr>
        <w:pStyle w:val="BodyText"/>
      </w:pPr>
      <w:r>
        <w:t xml:space="preserve">Ниже представлен скриншот кода программы для трех случаев, написанный на языке программирования Modelica. (рис 1.</w:t>
      </w:r>
      <w:r>
        <w:t xml:space="preserve"> </w:t>
      </w:r>
      <w:r>
        <w:t xml:space="preserve">@fig:001</w:t>
      </w:r>
      <w:r>
        <w:t xml:space="preserve">)</w:t>
      </w:r>
    </w:p>
    <w:p>
      <w:pPr>
        <w:pStyle w:val="CaptionedFigure"/>
      </w:pPr>
      <w:bookmarkStart w:id="23" w:name="fig:001"/>
      <w:r>
        <w:drawing>
          <wp:inline>
            <wp:extent cx="5334000" cy="3000375"/>
            <wp:effectExtent b="0" l="0" r="0" t="0"/>
            <wp:docPr descr="Код программы" title="" id="1" name="Picture"/>
            <a:graphic>
              <a:graphicData uri="http://schemas.openxmlformats.org/drawingml/2006/picture">
                <pic:pic>
                  <pic:nvPicPr>
                    <pic:cNvPr descr="image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Код программы</w:t>
      </w:r>
    </w:p>
    <w:p>
      <w:pPr>
        <w:pStyle w:val="BodyText"/>
      </w:pPr>
      <w:r>
        <w:t xml:space="preserve">Представлен график для первого случая. (рис 2.</w:t>
      </w:r>
      <w:r>
        <w:t xml:space="preserve"> </w:t>
      </w:r>
      <w:r>
        <w:t xml:space="preserve">@fig:001</w:t>
      </w:r>
      <w:r>
        <w:t xml:space="preserve">)</w:t>
      </w:r>
    </w:p>
    <w:p>
      <w:pPr>
        <w:pStyle w:val="CaptionedFigure"/>
      </w:pPr>
      <w:bookmarkStart w:id="25" w:name="fig:001"/>
      <w:r>
        <w:drawing>
          <wp:inline>
            <wp:extent cx="5334000" cy="3000375"/>
            <wp:effectExtent b="0" l="0" r="0" t="0"/>
            <wp:docPr descr="График для первого случая" title="" id="1" name="Picture"/>
            <a:graphic>
              <a:graphicData uri="http://schemas.openxmlformats.org/drawingml/2006/picture">
                <pic:pic>
                  <pic:nvPicPr>
                    <pic:cNvPr descr="image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График для первого случая</w:t>
      </w:r>
    </w:p>
    <w:p>
      <w:pPr>
        <w:pStyle w:val="BodyText"/>
      </w:pPr>
      <w:r>
        <w:t xml:space="preserve">Ниже представлен график для второго случая. (рис 3.</w:t>
      </w:r>
      <w:r>
        <w:t xml:space="preserve"> </w:t>
      </w:r>
      <w:r>
        <w:t xml:space="preserve">@fig:001</w:t>
      </w:r>
      <w:r>
        <w:t xml:space="preserve">)</w:t>
      </w:r>
    </w:p>
    <w:p>
      <w:pPr>
        <w:pStyle w:val="CaptionedFigure"/>
      </w:pPr>
      <w:bookmarkStart w:id="27" w:name="fig:001"/>
      <w:r>
        <w:drawing>
          <wp:inline>
            <wp:extent cx="5334000" cy="3000375"/>
            <wp:effectExtent b="0" l="0" r="0" t="0"/>
            <wp:docPr descr="График для второго случая" title="" id="1" name="Picture"/>
            <a:graphic>
              <a:graphicData uri="http://schemas.openxmlformats.org/drawingml/2006/picture">
                <pic:pic>
                  <pic:nvPicPr>
                    <pic:cNvPr descr="image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График для второго случая</w:t>
      </w:r>
    </w:p>
    <w:p>
      <w:pPr>
        <w:pStyle w:val="BodyText"/>
      </w:pPr>
      <w:r>
        <w:t xml:space="preserve">Также представлен график для третьего случая. (рис 4.</w:t>
      </w:r>
      <w:r>
        <w:t xml:space="preserve"> </w:t>
      </w:r>
      <w:r>
        <w:t xml:space="preserve">@fig:001</w:t>
      </w:r>
      <w:r>
        <w:t xml:space="preserve">)</w:t>
      </w:r>
    </w:p>
    <w:p>
      <w:pPr>
        <w:pStyle w:val="CaptionedFigure"/>
      </w:pPr>
      <w:bookmarkStart w:id="29" w:name="fig:001"/>
      <w:r>
        <w:drawing>
          <wp:inline>
            <wp:extent cx="5334000" cy="3000375"/>
            <wp:effectExtent b="0" l="0" r="0" t="0"/>
            <wp:docPr descr="График для третьего случая" title="" id="1" name="Picture"/>
            <a:graphic>
              <a:graphicData uri="http://schemas.openxmlformats.org/drawingml/2006/picture">
                <pic:pic>
                  <pic:nvPicPr>
                    <pic:cNvPr descr="image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График для третьего случая</w:t>
      </w:r>
    </w:p>
    <w:bookmarkEnd w:id="30"/>
    <w:bookmarkStart w:id="31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научился строить модель гармонического осцилятора на языке программирования Modelica.</w:t>
      </w:r>
    </w:p>
    <w:bookmarkEnd w:id="3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24" Target="media/rId24.jpg" /><Relationship Type="http://schemas.openxmlformats.org/officeDocument/2006/relationships/image" Id="rId26" Target="media/rId26.jpg" /><Relationship Type="http://schemas.openxmlformats.org/officeDocument/2006/relationships/image" Id="rId28" Target="media/rId28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</dc:title>
  <dc:creator>Селезнев Василий Александрович</dc:creator>
  <dc:language>ru-RU</dc:language>
  <cp:keywords/>
  <dcterms:created xsi:type="dcterms:W3CDTF">2021-03-06T11:27:07Z</dcterms:created>
  <dcterms:modified xsi:type="dcterms:W3CDTF">2021-03-06T11:27:07Z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