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r>
        <w:t>This Mutual Non-Disclosure Agreement is entered into by Acme Corp and Beta LLC.</w:t>
      </w:r>
    </w:p>
    <w:p>
      <w:r>
        <w:t>1. Confidential Information. Each party may disclose confidential information to the other.</w:t>
      </w:r>
    </w:p>
    <w:p>
      <w:r>
        <w:t>2. Term. This Agreement shall remain in effect for two (2) years from the Effective Date.</w:t>
      </w:r>
    </w:p>
    <w:p>
      <w:r>
        <w:t>3. Governing Law. This Agreement is governed by the laws of the State of Delaware.</w:t>
      </w:r>
    </w:p>
    <w:p>
      <w:r>
        <w:br w:type="page"/>
      </w:r>
    </w:p>
    <w:p>
      <w:pPr>
        <w:pStyle w:val="Heading1"/>
      </w:pPr>
      <w:r>
        <w:t>REDLINE SUMMARY — ISSUES FLAGGED BY SYNTRA</w:t>
      </w:r>
    </w:p>
    <w:p>
      <w:pPr>
        <w:pStyle w:val="Heading2"/>
      </w:pPr>
      <w:r>
        <w:t>Clause-level issues</w:t>
      </w:r>
    </w:p>
    <w:p>
      <w:r>
        <w:rPr>
          <w:b/>
          <w:color w:val="6F42C1"/>
        </w:rPr>
        <w:t xml:space="preserve">[UNUSUAL] </w:t>
      </w:r>
    </w:p>
    <w:p>
      <w:r>
        <w:rPr>
          <w:i/>
        </w:rPr>
        <w:t>The clause is labeled a mutual NDA but lacks detail on term, scope, exclusions, and residuals, so it cannot be fully assessed against CONF-NDA-1.</w:t>
      </w:r>
    </w:p>
    <w:p>
      <w:r>
        <w:rPr>
          <w:b/>
          <w:color w:val="6C757D"/>
          <w:sz w:val="16"/>
        </w:rPr>
        <w:t>SOURCES</w:t>
      </w:r>
    </w:p>
    <w:p>
      <w:r>
        <w:rPr>
          <w:color w:val="6C757D"/>
          <w:sz w:val="17"/>
        </w:rPr>
        <w:t>Company position: CONF-NDA-1 — Confidentiality (playbook v2026-07-08.060807,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"MUTUAL NON-DISCLOSURE AGREEMENT This Mutual Non-Disclosure Agreement is entered into by Acme Corp and Beta LLC."</w:t>
      </w:r>
    </w:p>
    <w:p/>
    <w:p>
      <w:r>
        <w:rPr>
          <w:b/>
          <w:color w:val="DC3545"/>
        </w:rPr>
        <w:t xml:space="preserve">[UNACCEPTABLE] </w:t>
      </w:r>
    </w:p>
    <w:p>
      <w:r>
        <w:rPr>
          <w:i/>
        </w:rPr>
        <w:t>The clause does not define Confidential Information, has no term, and omits standard exclusions, conflicting with CONF-NDA-1 requirements for defined categories, a 2–3 year term, and standard exclusions.</w:t>
      </w:r>
    </w:p>
    <w:p>
      <w:r>
        <w:rPr>
          <w:color w:val="0056B3"/>
        </w:rPr>
        <w:t>SUGGESTION: 1. Confidential Information.</w:t>
        <w:br/>
        <w:t>(a) Definition. “Confidential Information” means any non-public information disclosed by a party (“Disclosing Party”) to the other party (“Receiving Party”) in connection with this Agreement that is (i) identified as confidential at the time of disclosure, or (ii) should reasonably be understood to be confidential given the nature of the information and the circumstances of disclosure, including without limitation business plans, product plans, technology and technical information, financial information, and business processes.</w:t>
        <w:br/>
        <w:t>(b) Exclusions. Confidential Information does not include information that the Receiving Party can demonstrate: (i) is or becomes generally available to the public through no breach of this Agreement by the Receiving Party; (ii) was known to the Receiving Party without restriction before receipt from the Disclosing Party; (iii) is received from a third party without breach of any obligation of confidentiality; or (iv) was independently developed by the Receiving Party without use of or reference to the Disclosing Party’s Confidential Information.</w:t>
        <w:br/>
        <w:t>(c) Term. The Receiving Party will protect the Disclosing Party’s Confidential Information using at least reasonable care and will not use it for any purpose outside the scope of this Agreement or disclose it to any third party, for a period of two (2) years from the date of disclosure.</w:t>
      </w:r>
    </w:p>
    <w:p>
      <w:r>
        <w:rPr>
          <w:b/>
          <w:color w:val="6C757D"/>
          <w:sz w:val="16"/>
        </w:rPr>
        <w:t>SOURCES</w:t>
      </w:r>
    </w:p>
    <w:p>
      <w:r>
        <w:rPr>
          <w:color w:val="6C757D"/>
          <w:sz w:val="17"/>
        </w:rPr>
        <w:t>Company position: CONF-NDA-1 — Confidentiality (playbook v2026-07-08.060807, as of analysis)</w:t>
      </w:r>
    </w:p>
    <w:p>
      <w:r>
        <w:rPr>
          <w:color w:val="6C757D"/>
          <w:sz w:val="17"/>
        </w:rPr>
        <w:t xml:space="preserve">  Preferred: "Mutual; 2-year term; defined categories of Confidential Information; standard exclusions (public domain, independently developed, rightfully received); no residuals clause"</w:t>
      </w:r>
    </w:p>
    <w:p>
      <w:r>
        <w:rPr>
          <w:color w:val="6C757D"/>
          <w:sz w:val="17"/>
        </w:rPr>
        <w:t xml:space="preserve">  Fallback: "Mutual; up to 3-year term; residuals clause acceptable if narrowly scoped"</w:t>
      </w:r>
    </w:p>
    <w:p>
      <w:r>
        <w:rPr>
          <w:color w:val="6C757D"/>
          <w:sz w:val="17"/>
        </w:rPr>
        <w:t xml:space="preserve">  Walk-away: "One-sided; perpetual/indefinite confidentiality; overbroad scope (e.g. covers information 'whether or not disclosed or marked' or presumed confidential in perpetuity); no standard exclusions"</w:t>
      </w:r>
    </w:p>
    <w:p>
      <w:r>
        <w:rPr>
          <w:color w:val="6C757D"/>
          <w:sz w:val="17"/>
        </w:rPr>
        <w:t>Counterparty clause: "1. Confidential Information. Each party may disclose confidential information to the other."</w:t>
      </w:r>
    </w:p>
    <w:p/>
    <w:p>
      <w:r>
        <w:rPr>
          <w:b/>
          <w:color w:val="DC3545"/>
        </w:rPr>
        <w:t xml:space="preserve">[UNACCEPTABLE] </w:t>
      </w:r>
    </w:p>
    <w:p>
      <w:r>
        <w:rPr>
          <w:i/>
        </w:rPr>
        <w:t>Clause creates a 2-year lock-in with no termination for convenience, which is a walk-away position under TT-GEN-SUP-1.</w:t>
      </w:r>
    </w:p>
    <w:p>
      <w:r>
        <w:rPr>
          <w:color w:val="0056B3"/>
        </w:rPr>
        <w:t>SUGGESTION: 2. Term. This Agreement shall remain in effect for one (1) year from the Effective Date and shall automatically renew for successive one (1) year periods unless either party provides thirty (30) days’ prior written notice of its intent not to renew or to terminate for convenience.</w:t>
      </w:r>
    </w:p>
    <w:p>
      <w:r>
        <w:rPr>
          <w:b/>
          <w:color w:val="6C757D"/>
          <w:sz w:val="16"/>
        </w:rPr>
        <w:t>SOURCES</w:t>
      </w:r>
    </w:p>
    <w:p>
      <w:r>
        <w:rPr>
          <w:color w:val="6C757D"/>
          <w:sz w:val="17"/>
        </w:rPr>
        <w:t>Company position: TT-GEN-SUP-1 — Term &amp; termination (playbook v2026-07-08.060807, as of analysis)</w:t>
      </w:r>
    </w:p>
    <w:p>
      <w:r>
        <w:rPr>
          <w:color w:val="6C757D"/>
          <w:sz w:val="17"/>
        </w:rPr>
        <w:t xml:space="preserve">  Preferred: "1-year term, auto-renew, 30-day written termination for convenience"</w:t>
      </w:r>
    </w:p>
    <w:p>
      <w:r>
        <w:rPr>
          <w:color w:val="6C757D"/>
          <w:sz w:val="17"/>
        </w:rPr>
        <w:t xml:space="preserve">  Fallback: "1-year term with 60-day termination notice"</w:t>
      </w:r>
    </w:p>
    <w:p>
      <w:r>
        <w:rPr>
          <w:color w:val="6C757D"/>
          <w:sz w:val="17"/>
        </w:rPr>
        <w:t xml:space="preserve">  Walk-away: "No termination for convenience / lock-in over 2 years"</w:t>
      </w:r>
    </w:p>
    <w:p>
      <w:r>
        <w:rPr>
          <w:color w:val="6C757D"/>
          <w:sz w:val="17"/>
        </w:rPr>
        <w:t>Counterparty clause: "2. Term. This Agreement shall remain in effect for two (2) years from the Effective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