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MUTUAL NON-DISCLOSURE AGREEMENT</w:t>
      </w:r>
    </w:p>
    <w:p>
      <w:r>
        <w:t>This Mutual Non-Disclosure Agreement is entered into by Acme Corp and Beta LLC.</w:t>
      </w:r>
    </w:p>
    <w:p>
      <w:r>
        <w:t>1. Confidential Information. Each party may disclose confidential information to the other. Excluded: information independently developed or required by law to be disclosed.</w:t>
      </w:r>
    </w:p>
    <w:p>
      <w:r>
        <w:t>2. Term. This Agreement shall remain in effect for one (1) year from the Effective Date.</w:t>
      </w:r>
    </w:p>
    <w:p>
      <w:r>
        <w:t>3. Governing Law. This Agreement is governed by the laws of the State of New York. Disputes resolved by binding arbitration.</w:t>
      </w:r>
    </w:p>
    <w:p>
      <w:r>
        <w:br w:type="page"/>
      </w:r>
    </w:p>
    <w:p>
      <w:pPr>
        <w:pStyle w:val="Heading1"/>
      </w:pPr>
      <w:r>
        <w:t>REDLINE SUMMARY — ISSUES FLAGGED BY SYNTRA</w:t>
      </w:r>
    </w:p>
    <w:p>
      <w:pPr>
        <w:pStyle w:val="Heading2"/>
      </w:pPr>
      <w:r>
        <w:t>Clause-level issues</w:t>
      </w:r>
    </w:p>
    <w:p>
      <w:r>
        <w:rPr>
          <w:b/>
          <w:color w:val="6F42C1"/>
        </w:rPr>
        <w:t xml:space="preserve">[UNUSUAL] </w:t>
      </w:r>
    </w:p>
    <w:p>
      <w:r>
        <w:rPr>
          <w:i/>
        </w:rPr>
        <w:t>The clause is labeled a mutual NDA and identifies the parties, but it omits key elements required by CONF-NDA-1 (term, scope/definition of Confidential Information, exclusions, residuals), so compliance with the rule cannot be determined from this text alone.</w:t>
      </w:r>
    </w:p>
    <w:p>
      <w:r>
        <w:rPr>
          <w:b/>
          <w:color w:val="6C757D"/>
          <w:sz w:val="16"/>
        </w:rPr>
        <w:t>SOURCES</w:t>
      </w:r>
    </w:p>
    <w:p>
      <w:r>
        <w:rPr>
          <w:color w:val="6C757D"/>
          <w:sz w:val="17"/>
        </w:rPr>
        <w:t>Company position: CONF-NDA-1 — Confidentiality (playbook v2026-07-08.060807, as of analysis)</w:t>
      </w:r>
    </w:p>
    <w:p>
      <w:r>
        <w:rPr>
          <w:color w:val="6C757D"/>
          <w:sz w:val="17"/>
        </w:rPr>
        <w:t xml:space="preserve">  Preferred: "Mutual; 2-year term; defined categories of Confidential Information; standard exclusions (public domain, independently developed, rightfully received); no residuals clause"</w:t>
      </w:r>
    </w:p>
    <w:p>
      <w:r>
        <w:rPr>
          <w:color w:val="6C757D"/>
          <w:sz w:val="17"/>
        </w:rPr>
        <w:t xml:space="preserve">  Fallback: "Mutual; up to 3-year term; residuals clause acceptable if narrowly scoped"</w:t>
      </w:r>
    </w:p>
    <w:p>
      <w:r>
        <w:rPr>
          <w:color w:val="6C757D"/>
          <w:sz w:val="17"/>
        </w:rPr>
        <w:t xml:space="preserve">  Walk-away: "One-sided; perpetual/indefinite confidentiality; overbroad scope (e.g. covers information 'whether or not disclosed or marked' or presumed confidential in perpetuity); no standard exclusions"</w:t>
      </w:r>
    </w:p>
    <w:p>
      <w:r>
        <w:rPr>
          <w:color w:val="6C757D"/>
          <w:sz w:val="17"/>
        </w:rPr>
        <w:t>Counterparty clause: "MUTUAL NON-DISCLOSURE AGREEMENT This Mutual Non-Disclosure Agreement is entered into by Acme Corp and Beta LLC."</w:t>
      </w:r>
    </w:p>
    <w:p/>
    <w:p>
      <w:r>
        <w:rPr>
          <w:b/>
          <w:color w:val="DC3545"/>
        </w:rPr>
        <w:t xml:space="preserve">[UNACCEPTABLE] </w:t>
      </w:r>
    </w:p>
    <w:p>
      <w:r>
        <w:rPr>
          <w:i/>
        </w:rPr>
        <w:t>Under CONF-NDA-1 the clause lacks defined categories of Confidential Information and omits standard exclusions (public domain, rightfully received), making the scope overbroad and non-compliant with the playbook.</w:t>
      </w:r>
    </w:p>
    <w:p>
      <w:r>
        <w:rPr>
          <w:color w:val="0056B3"/>
        </w:rPr>
        <w:t>SUGGESTION: “Confidential Information” means any non-public information disclosed by a party to the other party, whether orally or in writing, that is designated as confidential or that a reasonable person would understand to be confidential given the nature of the information and the circumstances of disclosure, including without limitation business, technical, financial, and product information. Confidential Information does not include information that: (a) is or becomes generally available to the public through no breach of this Agreement by the receiving party; (b) is rightfully received by the receiving party from a third party without restriction on use or disclosure; (c) is independently developed by the receiving party without use of or reference to the disclosing party’s Confidential Information; or (d) is already known to the receiving party without restriction prior to disclosure by the disclosing party. A party may disclose Confidential Information to the extent required by law or court order, provided it gives the disclosing party prompt notice (where legally permitted) and cooperates reasonably in any effort to limit or protect such disclosure. The obligations under this Section shall continue for two (2) years from the date of disclosure.</w:t>
      </w:r>
    </w:p>
    <w:p>
      <w:r>
        <w:rPr>
          <w:b/>
          <w:color w:val="6C757D"/>
          <w:sz w:val="16"/>
        </w:rPr>
        <w:t>SOURCES</w:t>
      </w:r>
    </w:p>
    <w:p>
      <w:r>
        <w:rPr>
          <w:color w:val="6C757D"/>
          <w:sz w:val="17"/>
        </w:rPr>
        <w:t>Company position: CONF-NDA-1 — Confidentiality (playbook v2026-07-08.060807, as of analysis)</w:t>
      </w:r>
    </w:p>
    <w:p>
      <w:r>
        <w:rPr>
          <w:color w:val="6C757D"/>
          <w:sz w:val="17"/>
        </w:rPr>
        <w:t xml:space="preserve">  Preferred: "Mutual; 2-year term; defined categories of Confidential Information; standard exclusions (public domain, independently developed, rightfully received); no residuals clause"</w:t>
      </w:r>
    </w:p>
    <w:p>
      <w:r>
        <w:rPr>
          <w:color w:val="6C757D"/>
          <w:sz w:val="17"/>
        </w:rPr>
        <w:t xml:space="preserve">  Fallback: "Mutual; up to 3-year term; residuals clause acceptable if narrowly scoped"</w:t>
      </w:r>
    </w:p>
    <w:p>
      <w:r>
        <w:rPr>
          <w:color w:val="6C757D"/>
          <w:sz w:val="17"/>
        </w:rPr>
        <w:t xml:space="preserve">  Walk-away: "One-sided; perpetual/indefinite confidentiality; overbroad scope (e.g. covers information 'whether or not disclosed or marked' or presumed confidential in perpetuity); no standard exclusions"</w:t>
      </w:r>
    </w:p>
    <w:p>
      <w:r>
        <w:rPr>
          <w:color w:val="6C757D"/>
          <w:sz w:val="17"/>
        </w:rPr>
        <w:t>Counterparty clause: "1. Confidential Information. Each party may disclose confidential information to the other. Excluded: information independently developed or required by law to be disclosed."</w:t>
      </w:r>
    </w:p>
    <w:p/>
    <w:p>
      <w:r>
        <w:rPr>
          <w:b/>
          <w:color w:val="FF8C00"/>
        </w:rPr>
        <w:t xml:space="preserve">[ACCEPTABLE DEVIATION] </w:t>
      </w:r>
    </w:p>
    <w:p>
      <w:r>
        <w:rPr>
          <w:i/>
        </w:rPr>
        <w:t>Clause provides a 1-year term but omits termination for convenience, which is worse than the preferred and fallback but still within the 1-year duration threshold of TT-GEN-SUP-1 walk-away criteria focused on lock-in over 2 years.</w:t>
      </w:r>
    </w:p>
    <w:p>
      <w:r>
        <w:rPr>
          <w:b/>
          <w:color w:val="6C757D"/>
          <w:sz w:val="16"/>
        </w:rPr>
        <w:t>SOURCES</w:t>
      </w:r>
    </w:p>
    <w:p>
      <w:r>
        <w:rPr>
          <w:color w:val="6C757D"/>
          <w:sz w:val="17"/>
        </w:rPr>
        <w:t>Company position: TT-GEN-SUP-1 — Term &amp; termination (playbook v2026-07-08.060807, as of analysis)</w:t>
      </w:r>
    </w:p>
    <w:p>
      <w:r>
        <w:rPr>
          <w:color w:val="6C757D"/>
          <w:sz w:val="17"/>
        </w:rPr>
        <w:t xml:space="preserve">  Preferred: "1-year term, auto-renew, 30-day written termination for convenience"</w:t>
      </w:r>
    </w:p>
    <w:p>
      <w:r>
        <w:rPr>
          <w:color w:val="6C757D"/>
          <w:sz w:val="17"/>
        </w:rPr>
        <w:t xml:space="preserve">  Fallback: "1-year term with 60-day termination notice"</w:t>
      </w:r>
    </w:p>
    <w:p>
      <w:r>
        <w:rPr>
          <w:color w:val="6C757D"/>
          <w:sz w:val="17"/>
        </w:rPr>
        <w:t xml:space="preserve">  Walk-away: "No termination for convenience / lock-in over 2 years"</w:t>
      </w:r>
    </w:p>
    <w:p>
      <w:r>
        <w:rPr>
          <w:color w:val="6C757D"/>
          <w:sz w:val="17"/>
        </w:rPr>
        <w:t>Counterparty clause: "2. Term. This Agreement shall remain in effect for one (1) year from the Effective Date."</w:t>
      </w:r>
    </w:p>
    <w:p/>
    <w:p>
      <w:r>
        <w:rPr>
          <w:b/>
          <w:color w:val="FF8C00"/>
        </w:rPr>
        <w:t xml:space="preserve">[ACCEPTABLE DEVIATION] </w:t>
      </w:r>
    </w:p>
    <w:p>
      <w:r>
        <w:rPr>
          <w:i/>
        </w:rPr>
        <w:t>Clause uses New York law, which fits the fallback of a neutral, well-established jurisdiction under GL-GEN-SUP-1, but omits courts of our principal place of business and instead specifies arbitration for disputes.</w:t>
      </w:r>
    </w:p>
    <w:p>
      <w:r>
        <w:rPr>
          <w:b/>
          <w:color w:val="6C757D"/>
          <w:sz w:val="16"/>
        </w:rPr>
        <w:t>SOURCES</w:t>
      </w:r>
    </w:p>
    <w:p>
      <w:r>
        <w:rPr>
          <w:color w:val="6C757D"/>
          <w:sz w:val="17"/>
        </w:rPr>
        <w:t>Company position: GL-GEN-SUP-1 — Governing law (playbook v2026-07-08.060807, as of analysis)</w:t>
      </w:r>
    </w:p>
    <w:p>
      <w:r>
        <w:rPr>
          <w:color w:val="6C757D"/>
          <w:sz w:val="17"/>
        </w:rPr>
        <w:t xml:space="preserve">  Preferred: "Governed by our home jurisdiction; courts of our principal place of business"</w:t>
      </w:r>
    </w:p>
    <w:p>
      <w:r>
        <w:rPr>
          <w:color w:val="6C757D"/>
          <w:sz w:val="17"/>
        </w:rPr>
        <w:t xml:space="preserve">  Fallback: "A neutral, well-established jurisdiction (e.g. New York or Delaware)"</w:t>
      </w:r>
    </w:p>
    <w:p>
      <w:r>
        <w:rPr>
          <w:color w:val="6C757D"/>
          <w:sz w:val="17"/>
        </w:rPr>
        <w:t xml:space="preserve">  Walk-away: "Exclusive jurisdiction in the counterparty's home forum with no neutral alternative"</w:t>
      </w:r>
    </w:p>
    <w:p>
      <w:r>
        <w:rPr>
          <w:color w:val="6C757D"/>
          <w:sz w:val="17"/>
        </w:rPr>
        <w:t>Counterparty clause: "3. Governing Law. This Agreement is governed by the laws of the State of New York. Disputes resolved by binding arbitration."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