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BEA7" w14:textId="77777777" w:rsidR="00E35A73" w:rsidRDefault="00A261FA">
      <w:pPr>
        <w:pStyle w:val="Heading1"/>
        <w:rPr>
          <w:rFonts w:asciiTheme="minorHAnsi" w:hAnsiTheme="minorHAnsi" w:cstheme="minorBidi"/>
        </w:rPr>
      </w:pPr>
      <w:r w:rsidRPr="00A261FA">
        <w:rPr>
          <w:rFonts w:asciiTheme="minorHAnsi" w:hAnsiTheme="minorHAnsi" w:cstheme="minorBidi"/>
        </w:rPr>
        <w:t>Supply Chain Issues Review</w:t>
      </w:r>
    </w:p>
    <w:p w14:paraId="309E0D35" w14:textId="77777777" w:rsidR="00E35A73" w:rsidRDefault="00BC28AF">
      <w:pPr>
        <w:pStyle w:val="Heading2"/>
        <w:rPr>
          <w:rFonts w:asciiTheme="minorHAnsi" w:hAnsiTheme="minorHAnsi" w:cstheme="minorBidi"/>
        </w:rPr>
      </w:pPr>
      <w:r w:rsidRPr="00BC28AF">
        <w:rPr>
          <w:rFonts w:asciiTheme="minorHAnsi" w:hAnsiTheme="minorHAnsi" w:cstheme="minorBidi"/>
        </w:rPr>
        <w:t>Introduction</w:t>
      </w:r>
    </w:p>
    <w:p w14:paraId="69C9F5DA" w14:textId="77777777" w:rsidR="00BC28AF" w:rsidRDefault="00BC28AF">
      <w:r>
        <w:t>This review summarizes urgent supply chain issues affecting three components: BIND567, COMP042, and COMP043. The identified issues are creating production disruptions, regulatory compliance exposure, and operational inefficiencies. Immediate cross-functional action is required to stabilize production, protect product integrity, and restore reliable material supply.</w:t>
      </w:r>
    </w:p>
    <w:p w14:paraId="2D2C4C53" w14:textId="77777777" w:rsidR="00E35A73" w:rsidRDefault="00125602">
      <w:pPr>
        <w:pStyle w:val="Heading2"/>
        <w:rPr>
          <w:rFonts w:asciiTheme="minorHAnsi" w:hAnsiTheme="minorHAnsi" w:cstheme="minorBidi"/>
        </w:rPr>
      </w:pPr>
      <w:r w:rsidRPr="00125602">
        <w:rPr>
          <w:rFonts w:asciiTheme="minorHAnsi" w:hAnsiTheme="minorHAnsi" w:cstheme="minorBidi"/>
        </w:rPr>
        <w:t>Outline of the Business Problem</w:t>
      </w:r>
    </w:p>
    <w:p w14:paraId="6893F825" w14:textId="77777777" w:rsidR="00E35A73" w:rsidRDefault="00D25DDF">
      <w:pPr>
        <w:pStyle w:val="Heading3"/>
        <w:rPr>
          <w:rFonts w:cstheme="minorBidi"/>
        </w:rPr>
      </w:pPr>
      <w:r w:rsidRPr="00D25DDF">
        <w:rPr>
          <w:rFonts w:cstheme="minorBidi"/>
        </w:rPr>
        <w:t>BIND567:</w:t>
      </w:r>
      <w:r w:rsidR="00881783" w:rsidRPr="005C3BA1">
        <w:rPr>
          <w:rFonts w:ascii="Segoe UI" w:eastAsia="Times New Roman" w:hAnsi="Segoe UI" w:cs="Segoe UI"/>
          <w:b/>
          <w:bCs/>
          <w:kern w:val="0"/>
          <w:sz w:val="36"/>
          <w:szCs w:val="36"/>
          <w14:ligatures w14:val="none"/>
        </w:rPr>
        <w:t xml:space="preserve"> </w:t>
      </w:r>
      <w:r w:rsidR="00881783" w:rsidRPr="0008370E">
        <w:rPr>
          <w:rFonts w:cstheme="minorBidi"/>
        </w:rPr>
        <w:t>Quality Instability Impacting Production</w:t>
      </w:r>
    </w:p>
    <w:p w14:paraId="5468A0CC" w14:textId="77777777" w:rsidR="00E35A73" w:rsidRPr="005C3BA1" w:rsidRDefault="008D1973" w:rsidP="00DE13A2">
      <w:r w:rsidRPr="008D1973">
        <w:t>BIND567 is experiencing significant</w:t>
      </w:r>
      <w:r w:rsidR="00881783" w:rsidRPr="005C3BA1">
        <w:rPr>
          <w:rFonts w:ascii="Segoe UI" w:eastAsia="Times New Roman" w:hAnsi="Segoe UI" w:cs="Segoe UI"/>
          <w:kern w:val="0"/>
          <w:sz w:val="21"/>
          <w:szCs w:val="21"/>
          <w14:ligatures w14:val="none"/>
        </w:rPr>
        <w:t xml:space="preserve"> variability</w:t>
      </w:r>
      <w:r w:rsidRPr="008D1973">
        <w:t>, resulting in quality control</w:t>
      </w:r>
      <w:r w:rsidR="00881783" w:rsidRPr="005C3BA1">
        <w:rPr>
          <w:rFonts w:ascii="Segoe UI" w:eastAsia="Times New Roman" w:hAnsi="Segoe UI" w:cs="Segoe UI"/>
          <w:b/>
          <w:bCs/>
          <w:kern w:val="0"/>
          <w:sz w:val="21"/>
          <w:szCs w:val="21"/>
          <w14:ligatures w14:val="none"/>
        </w:rPr>
        <w:t xml:space="preserve"> failures, defective batches, and unstable manufacturing outcomes</w:t>
      </w:r>
      <w:r w:rsidRPr="008D1973">
        <w:t>. This creates risk of batch rejection, reduced throughput, rework, production delays, and potential production halt.</w:t>
      </w:r>
    </w:p>
    <w:p w14:paraId="573C234A" w14:textId="77777777" w:rsidR="00E35A73" w:rsidRDefault="00082FBE">
      <w:pPr>
        <w:pStyle w:val="Heading3"/>
        <w:rPr>
          <w:rFonts w:cstheme="minorBidi"/>
        </w:rPr>
      </w:pPr>
      <w:r w:rsidRPr="00082FBE">
        <w:rPr>
          <w:rFonts w:cstheme="minorBidi"/>
        </w:rPr>
        <w:t>COMP042: Traceability and Compliance Gaps</w:t>
      </w:r>
    </w:p>
    <w:p w14:paraId="2F3D25CF" w14:textId="77777777" w:rsidR="00E35A73" w:rsidRPr="005C3BA1" w:rsidRDefault="00063574" w:rsidP="0065318F">
      <w:r w:rsidRPr="00063574">
        <w:t>COMP042 has missing documentation and incorrect lot traceability, limiting the ability to confirm material origin, usage, and genealogy. This creates FDA compliance risk, potential inability to release product, and possible recall exposure if impacted materials cannot be fully traced.</w:t>
      </w:r>
    </w:p>
    <w:p w14:paraId="721DF670" w14:textId="77777777" w:rsidR="00E35A73" w:rsidRDefault="00F00C63">
      <w:pPr>
        <w:pStyle w:val="Heading3"/>
        <w:rPr>
          <w:rFonts w:cstheme="minorBidi"/>
        </w:rPr>
      </w:pPr>
      <w:r w:rsidRPr="00F00C63">
        <w:rPr>
          <w:rFonts w:cstheme="minorBidi"/>
        </w:rPr>
        <w:t>COMP043: Supplier GMP Failure and Supply Disruptions</w:t>
      </w:r>
    </w:p>
    <w:p w14:paraId="341EC640" w14:textId="77777777" w:rsidR="00E35A73" w:rsidRPr="005C3BA1" w:rsidRDefault="00A804C7" w:rsidP="001A760F">
      <w:r w:rsidRPr="00A804C7">
        <w:t>COMP043 is affected by supplier GMP non-compliance, erratic deliveries, and stockouts. These issues increase regulatory exposure while creating unreliable supply, production stoppage risk, schedule instability, and inefficient use of resources.</w:t>
      </w:r>
    </w:p>
    <w:p w14:paraId="561C64A9" w14:textId="77777777" w:rsidR="00E35A73" w:rsidRPr="005C3BA1" w:rsidRDefault="009172B6" w:rsidP="00581541">
      <w:r w:rsidRPr="009172B6">
        <w:t>Together, these issues indicate a broader disconnect between supplier quality management, material traceability, production planning, and operational execution. Continuing production without verified, compliant, and traceable materials could compound compliance risk and further disrupt manufacturing continuity.</w:t>
      </w:r>
    </w:p>
    <w:p w14:paraId="38C6F2B4" w14:textId="77777777" w:rsidR="00E35A73" w:rsidRDefault="00DE6F1F">
      <w:pPr>
        <w:pStyle w:val="Heading2"/>
        <w:rPr>
          <w:rFonts w:asciiTheme="minorHAnsi" w:hAnsiTheme="minorHAnsi" w:cstheme="minorBidi"/>
        </w:rPr>
      </w:pPr>
      <w:r w:rsidRPr="00DE6F1F">
        <w:rPr>
          <w:rFonts w:asciiTheme="minorHAnsi" w:hAnsiTheme="minorHAnsi" w:cstheme="minorBidi"/>
        </w:rPr>
        <w:lastRenderedPageBreak/>
        <w:t>Action Items</w:t>
      </w:r>
    </w:p>
    <w:p w14:paraId="00FCCAC1" w14:textId="77777777" w:rsidR="00E35A73" w:rsidRDefault="00857A49">
      <w:pPr>
        <w:pStyle w:val="Heading3"/>
        <w:rPr>
          <w:rFonts w:cstheme="minorBidi"/>
        </w:rPr>
      </w:pPr>
      <w:r w:rsidRPr="00857A49">
        <w:rPr>
          <w:rFonts w:cstheme="minorBidi"/>
        </w:rPr>
        <w:t>1. Establish Daily Cross-Functional Control Tower</w:t>
      </w:r>
    </w:p>
    <w:p w14:paraId="5BC8C3E8" w14:textId="77777777" w:rsidR="00E35A73" w:rsidRPr="005C3BA1" w:rsidRDefault="00213B59" w:rsidP="00434819">
      <w:r w:rsidRPr="00213B59">
        <w:t>Set up a daily forum with Production, Quality Assurance, Supply Chain, Regulatory, and other required stakeholders to align decisions on batch disposition, material usage, compliance risk, and production priorities.</w:t>
      </w:r>
    </w:p>
    <w:p w14:paraId="4F66FA93" w14:textId="77777777" w:rsidR="00E35A73" w:rsidRDefault="00F52909">
      <w:pPr>
        <w:pStyle w:val="Heading3"/>
        <w:rPr>
          <w:rFonts w:cstheme="minorBidi"/>
        </w:rPr>
      </w:pPr>
      <w:r w:rsidRPr="00F52909">
        <w:rPr>
          <w:rFonts w:cstheme="minorBidi"/>
        </w:rPr>
        <w:t>2. Implement Immediate Material Containment</w:t>
      </w:r>
    </w:p>
    <w:p w14:paraId="698FB5AC" w14:textId="77777777" w:rsidR="00F52909" w:rsidRDefault="00F52909">
      <w:r>
        <w:t>Quarantine high-risk materials, especially BIND567 and COMP043, until quality and compliance status is confirmed. Only verified, compliant, and traceable materials should be released for production use.</w:t>
      </w:r>
    </w:p>
    <w:p w14:paraId="44E898AB" w14:textId="77777777" w:rsidR="00E35A73" w:rsidRDefault="00036257">
      <w:pPr>
        <w:pStyle w:val="Heading3"/>
        <w:rPr>
          <w:rFonts w:cstheme="minorBidi"/>
        </w:rPr>
      </w:pPr>
      <w:r w:rsidRPr="00036257">
        <w:rPr>
          <w:rFonts w:cstheme="minorBidi"/>
        </w:rPr>
        <w:t xml:space="preserve">3. </w:t>
      </w:r>
      <w:proofErr w:type="spellStart"/>
      <w:r w:rsidRPr="00036257">
        <w:rPr>
          <w:rFonts w:cstheme="minorBidi"/>
        </w:rPr>
        <w:t>Rebaseline</w:t>
      </w:r>
      <w:proofErr w:type="spellEnd"/>
      <w:r w:rsidRPr="00036257">
        <w:rPr>
          <w:rFonts w:cstheme="minorBidi"/>
        </w:rPr>
        <w:t xml:space="preserve"> the Production Plan</w:t>
      </w:r>
    </w:p>
    <w:p w14:paraId="35BB352D" w14:textId="77777777" w:rsidR="00036257" w:rsidRDefault="00036257">
      <w:r>
        <w:t>Adjust production schedules based on available compliant inventory, material risk levels, and critical or patient-impacting batch priorities. This will help stabilize workflow, reduce downtime, and protect throughput.</w:t>
      </w:r>
    </w:p>
    <w:p w14:paraId="2CC1F258" w14:textId="77777777" w:rsidR="00E35A73" w:rsidRDefault="00D81F8E">
      <w:pPr>
        <w:pStyle w:val="Heading3"/>
        <w:rPr>
          <w:rFonts w:cstheme="minorBidi"/>
        </w:rPr>
      </w:pPr>
      <w:r w:rsidRPr="00D81F8E">
        <w:rPr>
          <w:rFonts w:cstheme="minorBidi"/>
        </w:rPr>
        <w:t>4. Execute Rapid Traceability Recovery for COMP042</w:t>
      </w:r>
    </w:p>
    <w:p w14:paraId="0555B0CA" w14:textId="77777777" w:rsidR="00D81F8E" w:rsidRDefault="00D81F8E">
      <w:r>
        <w:t>Reconstruct missing lot genealogy and documentation for COMP042. Block production use until traceability is confirmed and documentation is complete enough to support release and compliance expectations.</w:t>
      </w:r>
    </w:p>
    <w:p w14:paraId="5C2DFE19" w14:textId="77777777" w:rsidR="00E35A73" w:rsidRDefault="009A38F8">
      <w:pPr>
        <w:pStyle w:val="Heading3"/>
        <w:rPr>
          <w:rFonts w:cstheme="minorBidi"/>
        </w:rPr>
      </w:pPr>
      <w:r w:rsidRPr="009A38F8">
        <w:rPr>
          <w:rFonts w:cstheme="minorBidi"/>
        </w:rPr>
        <w:t>5. Escalate Suppliers and Secure Alternatives</w:t>
      </w:r>
    </w:p>
    <w:p w14:paraId="584458E5" w14:textId="77777777" w:rsidR="009A38F8" w:rsidRDefault="009A38F8">
      <w:r>
        <w:t>Escalate supplier performance concerns and require corrective actions for GMP compliance, material quality, delivery reliability, and documentation accuracy. In parallel, identify and qualify backup suppliers to reduce dependency and improve supply continuity.</w:t>
      </w:r>
    </w:p>
    <w:p w14:paraId="208CA24C" w14:textId="77777777" w:rsidR="00E35A73" w:rsidRDefault="00A41FF1">
      <w:pPr>
        <w:pStyle w:val="Heading2"/>
        <w:rPr>
          <w:rFonts w:asciiTheme="minorHAnsi" w:hAnsiTheme="minorHAnsi" w:cstheme="minorBidi"/>
        </w:rPr>
      </w:pPr>
      <w:r w:rsidRPr="00A41FF1">
        <w:rPr>
          <w:rFonts w:asciiTheme="minorHAnsi" w:hAnsiTheme="minorHAnsi" w:cstheme="minorBidi"/>
        </w:rPr>
        <w:t>Conclusion</w:t>
      </w:r>
    </w:p>
    <w:p w14:paraId="024C5331" w14:textId="77777777" w:rsidR="00A41FF1" w:rsidRDefault="00A41FF1">
      <w:r>
        <w:t>The supply chain issues affecting BIND567, COMP042, and COMP043 represent a combined operational and compliance risk. The immediate priority is to stabilize production without compromising material quality, traceability, or GMP requirements. By implementing cross-functional governance, controlled material usage, traceability recovery, supplier escalation, and alternate supply planning, the organization can reduce disruption, protect product integrity, and strengthen long-term supply resilience.</w:t>
      </w:r>
    </w:p>
    <w:sectPr w:rsidR="00A41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59D"/>
    <w:multiLevelType w:val="multilevel"/>
    <w:tmpl w:val="88243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55290"/>
    <w:multiLevelType w:val="multilevel"/>
    <w:tmpl w:val="3436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8335A"/>
    <w:multiLevelType w:val="multilevel"/>
    <w:tmpl w:val="88EC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81ABA"/>
    <w:multiLevelType w:val="multilevel"/>
    <w:tmpl w:val="34F6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51D00"/>
    <w:multiLevelType w:val="multilevel"/>
    <w:tmpl w:val="5D00522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974EB"/>
    <w:multiLevelType w:val="multilevel"/>
    <w:tmpl w:val="707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E37F9"/>
    <w:multiLevelType w:val="multilevel"/>
    <w:tmpl w:val="17C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E6D40"/>
    <w:multiLevelType w:val="multilevel"/>
    <w:tmpl w:val="0AA8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9097C"/>
    <w:multiLevelType w:val="multilevel"/>
    <w:tmpl w:val="280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E1933"/>
    <w:multiLevelType w:val="multilevel"/>
    <w:tmpl w:val="F6420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13158"/>
    <w:multiLevelType w:val="multilevel"/>
    <w:tmpl w:val="64D6FC8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623EE5"/>
    <w:multiLevelType w:val="multilevel"/>
    <w:tmpl w:val="2722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F557BF"/>
    <w:multiLevelType w:val="multilevel"/>
    <w:tmpl w:val="2A22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8314C"/>
    <w:multiLevelType w:val="multilevel"/>
    <w:tmpl w:val="BD8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93352"/>
    <w:multiLevelType w:val="multilevel"/>
    <w:tmpl w:val="3CA29A5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B829A9"/>
    <w:multiLevelType w:val="multilevel"/>
    <w:tmpl w:val="0B6ED90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0E6867"/>
    <w:multiLevelType w:val="multilevel"/>
    <w:tmpl w:val="025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A30B0"/>
    <w:multiLevelType w:val="multilevel"/>
    <w:tmpl w:val="0E0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E70A5"/>
    <w:multiLevelType w:val="multilevel"/>
    <w:tmpl w:val="71D45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7620FB"/>
    <w:multiLevelType w:val="multilevel"/>
    <w:tmpl w:val="FB3C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A5406"/>
    <w:multiLevelType w:val="multilevel"/>
    <w:tmpl w:val="4486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E650D"/>
    <w:multiLevelType w:val="multilevel"/>
    <w:tmpl w:val="F94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266DE"/>
    <w:multiLevelType w:val="multilevel"/>
    <w:tmpl w:val="2C2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510ED"/>
    <w:multiLevelType w:val="multilevel"/>
    <w:tmpl w:val="F98A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A4B74"/>
    <w:multiLevelType w:val="multilevel"/>
    <w:tmpl w:val="D610C59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71715B"/>
    <w:multiLevelType w:val="multilevel"/>
    <w:tmpl w:val="20DCF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7D216A"/>
    <w:multiLevelType w:val="multilevel"/>
    <w:tmpl w:val="11BA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5E3FF4"/>
    <w:multiLevelType w:val="multilevel"/>
    <w:tmpl w:val="838E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A23CB"/>
    <w:multiLevelType w:val="multilevel"/>
    <w:tmpl w:val="AD86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A650C"/>
    <w:multiLevelType w:val="multilevel"/>
    <w:tmpl w:val="98B0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F81527"/>
    <w:multiLevelType w:val="multilevel"/>
    <w:tmpl w:val="7DB88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34425"/>
    <w:multiLevelType w:val="multilevel"/>
    <w:tmpl w:val="2206C31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2F2A37"/>
    <w:multiLevelType w:val="multilevel"/>
    <w:tmpl w:val="7442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77154"/>
    <w:multiLevelType w:val="multilevel"/>
    <w:tmpl w:val="C5C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686AA0"/>
    <w:multiLevelType w:val="multilevel"/>
    <w:tmpl w:val="A6CC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37A05"/>
    <w:multiLevelType w:val="multilevel"/>
    <w:tmpl w:val="E74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87C6D"/>
    <w:multiLevelType w:val="multilevel"/>
    <w:tmpl w:val="4F14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62403"/>
    <w:multiLevelType w:val="multilevel"/>
    <w:tmpl w:val="816CA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D3749"/>
    <w:multiLevelType w:val="multilevel"/>
    <w:tmpl w:val="3F4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51F9E"/>
    <w:multiLevelType w:val="multilevel"/>
    <w:tmpl w:val="441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956916">
    <w:abstractNumId w:val="32"/>
  </w:num>
  <w:num w:numId="2" w16cid:durableId="952053160">
    <w:abstractNumId w:val="23"/>
  </w:num>
  <w:num w:numId="3" w16cid:durableId="934509789">
    <w:abstractNumId w:val="17"/>
  </w:num>
  <w:num w:numId="4" w16cid:durableId="1498763594">
    <w:abstractNumId w:val="2"/>
  </w:num>
  <w:num w:numId="5" w16cid:durableId="587470911">
    <w:abstractNumId w:val="18"/>
  </w:num>
  <w:num w:numId="6" w16cid:durableId="1133207245">
    <w:abstractNumId w:val="24"/>
  </w:num>
  <w:num w:numId="7" w16cid:durableId="820736592">
    <w:abstractNumId w:val="15"/>
  </w:num>
  <w:num w:numId="8" w16cid:durableId="284000008">
    <w:abstractNumId w:val="16"/>
  </w:num>
  <w:num w:numId="9" w16cid:durableId="50079772">
    <w:abstractNumId w:val="34"/>
  </w:num>
  <w:num w:numId="10" w16cid:durableId="1941916156">
    <w:abstractNumId w:val="39"/>
  </w:num>
  <w:num w:numId="11" w16cid:durableId="1455834431">
    <w:abstractNumId w:val="7"/>
  </w:num>
  <w:num w:numId="12" w16cid:durableId="1230115470">
    <w:abstractNumId w:val="30"/>
  </w:num>
  <w:num w:numId="13" w16cid:durableId="1468469330">
    <w:abstractNumId w:val="0"/>
  </w:num>
  <w:num w:numId="14" w16cid:durableId="1740591887">
    <w:abstractNumId w:val="31"/>
  </w:num>
  <w:num w:numId="15" w16cid:durableId="156728578">
    <w:abstractNumId w:val="14"/>
  </w:num>
  <w:num w:numId="16" w16cid:durableId="1545678240">
    <w:abstractNumId w:val="1"/>
  </w:num>
  <w:num w:numId="17" w16cid:durableId="193690822">
    <w:abstractNumId w:val="3"/>
  </w:num>
  <w:num w:numId="18" w16cid:durableId="2023168285">
    <w:abstractNumId w:val="5"/>
  </w:num>
  <w:num w:numId="19" w16cid:durableId="1324160136">
    <w:abstractNumId w:val="6"/>
  </w:num>
  <w:num w:numId="20" w16cid:durableId="55709544">
    <w:abstractNumId w:val="28"/>
  </w:num>
  <w:num w:numId="21" w16cid:durableId="2084719799">
    <w:abstractNumId w:val="13"/>
  </w:num>
  <w:num w:numId="22" w16cid:durableId="492768770">
    <w:abstractNumId w:val="20"/>
  </w:num>
  <w:num w:numId="23" w16cid:durableId="221016396">
    <w:abstractNumId w:val="9"/>
  </w:num>
  <w:num w:numId="24" w16cid:durableId="1658417126">
    <w:abstractNumId w:val="25"/>
  </w:num>
  <w:num w:numId="25" w16cid:durableId="699162266">
    <w:abstractNumId w:val="10"/>
  </w:num>
  <w:num w:numId="26" w16cid:durableId="901722075">
    <w:abstractNumId w:val="4"/>
  </w:num>
  <w:num w:numId="27" w16cid:durableId="236407016">
    <w:abstractNumId w:val="8"/>
  </w:num>
  <w:num w:numId="28" w16cid:durableId="207495782">
    <w:abstractNumId w:val="29"/>
  </w:num>
  <w:num w:numId="29" w16cid:durableId="669793781">
    <w:abstractNumId w:val="26"/>
  </w:num>
  <w:num w:numId="30" w16cid:durableId="745885760">
    <w:abstractNumId w:val="11"/>
  </w:num>
  <w:num w:numId="31" w16cid:durableId="1928994463">
    <w:abstractNumId w:val="33"/>
  </w:num>
  <w:num w:numId="32" w16cid:durableId="1806970717">
    <w:abstractNumId w:val="38"/>
  </w:num>
  <w:num w:numId="33" w16cid:durableId="497118213">
    <w:abstractNumId w:val="21"/>
  </w:num>
  <w:num w:numId="34" w16cid:durableId="50932333">
    <w:abstractNumId w:val="22"/>
  </w:num>
  <w:num w:numId="35" w16cid:durableId="485322214">
    <w:abstractNumId w:val="27"/>
  </w:num>
  <w:num w:numId="36" w16cid:durableId="1103840026">
    <w:abstractNumId w:val="35"/>
  </w:num>
  <w:num w:numId="37" w16cid:durableId="242688992">
    <w:abstractNumId w:val="37"/>
  </w:num>
  <w:num w:numId="38" w16cid:durableId="952631504">
    <w:abstractNumId w:val="36"/>
  </w:num>
  <w:num w:numId="39" w16cid:durableId="928469945">
    <w:abstractNumId w:val="19"/>
  </w:num>
  <w:num w:numId="40" w16cid:durableId="9505556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42"/>
    <w:rsid w:val="00036257"/>
    <w:rsid w:val="00063574"/>
    <w:rsid w:val="00082FBE"/>
    <w:rsid w:val="0008370E"/>
    <w:rsid w:val="00125602"/>
    <w:rsid w:val="00213B59"/>
    <w:rsid w:val="002E2F32"/>
    <w:rsid w:val="00353C98"/>
    <w:rsid w:val="00411B35"/>
    <w:rsid w:val="00443D9A"/>
    <w:rsid w:val="004B1642"/>
    <w:rsid w:val="004E3406"/>
    <w:rsid w:val="005C3BA1"/>
    <w:rsid w:val="00697A5B"/>
    <w:rsid w:val="006B4D7F"/>
    <w:rsid w:val="00763403"/>
    <w:rsid w:val="00772526"/>
    <w:rsid w:val="00794ABF"/>
    <w:rsid w:val="0082262E"/>
    <w:rsid w:val="00857A49"/>
    <w:rsid w:val="008B601E"/>
    <w:rsid w:val="008D1973"/>
    <w:rsid w:val="009172B6"/>
    <w:rsid w:val="009822EC"/>
    <w:rsid w:val="009A38F8"/>
    <w:rsid w:val="00A261FA"/>
    <w:rsid w:val="00A30374"/>
    <w:rsid w:val="00A41FF1"/>
    <w:rsid w:val="00A804C7"/>
    <w:rsid w:val="00B26A1C"/>
    <w:rsid w:val="00B331CA"/>
    <w:rsid w:val="00BC28AF"/>
    <w:rsid w:val="00C1740A"/>
    <w:rsid w:val="00CD63E8"/>
    <w:rsid w:val="00D25DDF"/>
    <w:rsid w:val="00D81F8E"/>
    <w:rsid w:val="00D90867"/>
    <w:rsid w:val="00DE6F1F"/>
    <w:rsid w:val="00E35A73"/>
    <w:rsid w:val="00E622B5"/>
    <w:rsid w:val="00F00C63"/>
    <w:rsid w:val="00F52909"/>
    <w:rsid w:val="00F95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F4FC"/>
  <w15:chartTrackingRefBased/>
  <w15:docId w15:val="{C053314E-CDC4-4EB1-8C43-5AEB8F22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1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42"/>
    <w:rPr>
      <w:rFonts w:eastAsiaTheme="majorEastAsia" w:cstheme="majorBidi"/>
      <w:color w:val="272727" w:themeColor="text1" w:themeTint="D8"/>
    </w:rPr>
  </w:style>
  <w:style w:type="paragraph" w:styleId="Title">
    <w:name w:val="Title"/>
    <w:basedOn w:val="Normal"/>
    <w:next w:val="Normal"/>
    <w:link w:val="TitleChar"/>
    <w:uiPriority w:val="10"/>
    <w:qFormat/>
    <w:rsid w:val="004B1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42"/>
    <w:pPr>
      <w:spacing w:before="160"/>
      <w:jc w:val="center"/>
    </w:pPr>
    <w:rPr>
      <w:i/>
      <w:iCs/>
      <w:color w:val="404040" w:themeColor="text1" w:themeTint="BF"/>
    </w:rPr>
  </w:style>
  <w:style w:type="character" w:customStyle="1" w:styleId="QuoteChar">
    <w:name w:val="Quote Char"/>
    <w:basedOn w:val="DefaultParagraphFont"/>
    <w:link w:val="Quote"/>
    <w:uiPriority w:val="29"/>
    <w:rsid w:val="004B1642"/>
    <w:rPr>
      <w:i/>
      <w:iCs/>
      <w:color w:val="404040" w:themeColor="text1" w:themeTint="BF"/>
    </w:rPr>
  </w:style>
  <w:style w:type="paragraph" w:styleId="ListParagraph">
    <w:name w:val="List Paragraph"/>
    <w:basedOn w:val="Normal"/>
    <w:uiPriority w:val="34"/>
    <w:qFormat/>
    <w:rsid w:val="004B1642"/>
    <w:pPr>
      <w:ind w:left="720"/>
      <w:contextualSpacing/>
    </w:pPr>
  </w:style>
  <w:style w:type="character" w:styleId="IntenseEmphasis">
    <w:name w:val="Intense Emphasis"/>
    <w:basedOn w:val="DefaultParagraphFont"/>
    <w:uiPriority w:val="21"/>
    <w:qFormat/>
    <w:rsid w:val="004B1642"/>
    <w:rPr>
      <w:i/>
      <w:iCs/>
      <w:color w:val="0F4761" w:themeColor="accent1" w:themeShade="BF"/>
    </w:rPr>
  </w:style>
  <w:style w:type="paragraph" w:styleId="IntenseQuote">
    <w:name w:val="Intense Quote"/>
    <w:basedOn w:val="Normal"/>
    <w:next w:val="Normal"/>
    <w:link w:val="IntenseQuoteChar"/>
    <w:uiPriority w:val="30"/>
    <w:qFormat/>
    <w:rsid w:val="004B1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642"/>
    <w:rPr>
      <w:i/>
      <w:iCs/>
      <w:color w:val="0F4761" w:themeColor="accent1" w:themeShade="BF"/>
    </w:rPr>
  </w:style>
  <w:style w:type="character" w:styleId="IntenseReference">
    <w:name w:val="Intense Reference"/>
    <w:basedOn w:val="DefaultParagraphFont"/>
    <w:uiPriority w:val="32"/>
    <w:qFormat/>
    <w:rsid w:val="004B1642"/>
    <w:rPr>
      <w:b/>
      <w:bCs/>
      <w:smallCaps/>
      <w:color w:val="0F4761" w:themeColor="accent1" w:themeShade="BF"/>
      <w:spacing w:val="5"/>
    </w:rPr>
  </w:style>
  <w:style w:type="character" w:styleId="Hyperlink">
    <w:name w:val="Hyperlink"/>
    <w:basedOn w:val="DefaultParagraphFont"/>
    <w:uiPriority w:val="99"/>
    <w:unhideWhenUsed/>
    <w:rsid w:val="00411B35"/>
    <w:rPr>
      <w:color w:val="467886" w:themeColor="hyperlink"/>
      <w:u w:val="single"/>
    </w:rPr>
  </w:style>
  <w:style w:type="character" w:styleId="UnresolvedMention">
    <w:name w:val="Unresolved Mention"/>
    <w:basedOn w:val="DefaultParagraphFont"/>
    <w:uiPriority w:val="99"/>
    <w:semiHidden/>
    <w:unhideWhenUsed/>
    <w:rsid w:val="00411B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444</Words>
  <Characters>3095</Characters>
  <Application>Microsoft Office Word</Application>
  <DocSecurity>0</DocSecurity>
  <Lines>56</Lines>
  <Paragraphs>29</Paragraphs>
  <ScaleCrop>false</ScaleCrop>
  <HeadingPairs>
    <vt:vector size="2" baseType="variant">
      <vt:variant>
        <vt:lpstr>Title</vt:lpstr>
      </vt:variant>
      <vt:variant>
        <vt:i4>1</vt:i4>
      </vt:variant>
    </vt:vector>
  </HeadingPairs>
  <TitlesOfParts>
    <vt:vector size="1" baseType="lpstr">
      <vt:lpstr/>
    </vt:vector>
  </TitlesOfParts>
  <Company>JnJ</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Quiros, Virginia [JANUS]</dc:creator>
  <cp:keywords/>
  <dc:description/>
  <cp:lastModifiedBy>Quiros, Virginia [JANUS]</cp:lastModifiedBy>
  <cp:revision>2</cp:revision>
  <dcterms:created xsi:type="dcterms:W3CDTF">2026-06-24T17:20:00Z</dcterms:created>
  <dcterms:modified xsi:type="dcterms:W3CDTF">2026-06-24T17:20:00Z</dcterms:modified>
</cp:coreProperties>
</file>