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1E2761"/>
          <w:sz w:val="52"/>
          <w:szCs w:val="52"/>
        </w:rPr>
        <w:t xml:space="preserve">Simulating Competitors:</w:t>
      </w:r>
    </w:p>
    <w:p>
      <w:pPr>
        <w:spacing w:after="100" w:before="0"/>
        <w:jc w:val="center"/>
      </w:pPr>
      <w:r>
        <w:rPr>
          <w:rFonts w:ascii="Calibri" w:cs="Calibri" w:eastAsia="Calibri" w:hAnsi="Calibri"/>
          <w:b/>
          <w:bCs/>
          <w:color w:val="1E2761"/>
          <w:sz w:val="40"/>
          <w:szCs w:val="40"/>
        </w:rPr>
        <w:t xml:space="preserve">How AI Agents Redefine Competitive Strategy in 2025</w:t>
      </w:r>
    </w:p>
    <w:p>
      <w:pPr>
        <w:spacing w:after="1200" w:before="120"/>
        <w:jc w:val="center"/>
      </w:pPr>
      <w:r>
        <w:rPr>
          <w:rFonts w:ascii="Calibri" w:cs="Calibri" w:eastAsia="Calibri" w:hAnsi="Calibri"/>
          <w:i/>
          <w:iCs/>
          <w:color w:val="028090"/>
          <w:sz w:val="24"/>
          <w:szCs w:val="24"/>
        </w:rPr>
        <w:t xml:space="preserve">With Proof of Concept: CompetitorSim</w:t>
      </w:r>
    </w:p>
    <w:p>
      <w:pPr>
        <w:spacing w:after="120" w:before="80"/>
        <w:jc w:val="both"/>
      </w:pPr>
      <w:r>
        <w:rPr>
          <w:rFonts w:ascii="Calibri" w:cs="Calibri" w:eastAsia="Calibri" w:hAnsi="Calibri"/>
          <w:color w:val="2D2D2D"/>
          <w:sz w:val="22"/>
          <w:szCs w:val="22"/>
        </w:rPr>
        <w:t xml:space="preserve">Most companies know the strategic moves they want to make next. What they struggle to anticipate – accurately, repeatedly, and at speed – is how competitors will respond. For decades, competitor reaction has been a blind spot in strategic planning: too complex to model, too dynamic to predict, and heavily dependent on human judgment.</w:t>
      </w:r>
      <w:r>
        <w:rPr>
          <w:rFonts w:ascii="Calibri" w:cs="Calibri" w:eastAsia="Calibri" w:hAnsi="Calibri"/>
          <w:color w:val="2D2D2D"/>
          <w:sz w:val="22"/>
          <w:szCs w:val="22"/>
        </w:rPr>
        <w:t xml:space="preserve"/>
      </w:r>
    </w:p>
    <w:p>
      <w:pPr>
        <w:spacing w:after="120" w:before="80"/>
        <w:jc w:val="both"/>
      </w:pPr>
      <w:r>
        <w:rPr>
          <w:rFonts w:ascii="Calibri" w:cs="Calibri" w:eastAsia="Calibri" w:hAnsi="Calibri"/>
          <w:color w:val="2D2D2D"/>
          <w:sz w:val="22"/>
          <w:szCs w:val="22"/>
        </w:rPr>
        <w:t xml:space="preserve">Even seasoned executives often fall prey to “competitor neglect”, focusing internally and overlooking how rivals might counter their moves.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In rapidly changing markets (streaming content, electric vehicles, cloud AI services), data on competitors is often incomplete and hard to interpret.</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The result? Strategies built on static assumptions can falter when the market shifts unpredictably around them.</w:t>
      </w:r>
    </w:p>
    <w:p>
      <w:pPr>
        <w:spacing w:after="120" w:before="80"/>
        <w:jc w:val="both"/>
      </w:pPr>
      <w:r>
        <w:rPr>
          <w:rFonts w:ascii="Calibri" w:cs="Calibri" w:eastAsia="Calibri" w:hAnsi="Calibri"/>
          <w:color w:val="2D2D2D"/>
          <w:sz w:val="22"/>
          <w:szCs w:val="22"/>
        </w:rPr>
        <w:t xml:space="preserve">In 2025, this is finally changing. Advances in artificial intelligence – particularly autonomous agents powered by large language models (LLMs) and multi-agent simulation – now let organizations replicate how competitors think, react, and evolve. Early adopters are creating “digital twins” of their competitive landscape, using AI agents to model each rival’s behavior. Research prototypes have demonstrated that LLM-driven agents can perceive competitive context and adapt strategies in ways that align with real market behaviors.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Industry pilots are underway – from AI-driven bid simulators that predict how competitors price contracts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to sales enablement tools that simulate rival pitches.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The promise is to move strategy from guesswork to foresight.</w:t>
      </w:r>
    </w:p>
    <w:p>
      <w:pPr>
        <w:pStyle w:val="Heading1"/>
        <w:spacing w:after="160" w:before="320"/>
      </w:pPr>
      <w:r>
        <w:rPr>
          <w:rFonts w:ascii="Calibri" w:cs="Calibri" w:eastAsia="Calibri" w:hAnsi="Calibri"/>
          <w:b/>
          <w:bCs/>
          <w:color w:val="1E2761"/>
          <w:sz w:val="32"/>
          <w:szCs w:val="32"/>
        </w:rPr>
        <w:t xml:space="preserve">The Blind Spot in Strategy: Competitive Response</w:t>
      </w:r>
    </w:p>
    <w:p>
      <w:pPr>
        <w:spacing w:after="120" w:before="80"/>
        <w:jc w:val="both"/>
      </w:pPr>
      <w:r>
        <w:rPr>
          <w:rFonts w:ascii="Calibri" w:cs="Calibri" w:eastAsia="Calibri" w:hAnsi="Calibri"/>
          <w:color w:val="2D2D2D"/>
          <w:sz w:val="22"/>
          <w:szCs w:val="22"/>
        </w:rPr>
        <w:t xml:space="preserve">Even the strongest strategic plans can unravel when competitors move differently than expected. Traditional approaches each have clear limitations:</w:t>
      </w:r>
    </w:p>
    <w:p>
      <w:pPr>
        <w:pStyle w:val="ListParagraph"/>
        <w:numPr>
          <w:ilvl w:val="0"/>
          <w:numId w:val="2"/>
        </w:numPr>
        <w:spacing w:after="70" w:before="50"/>
      </w:pPr>
      <w:r>
        <w:rPr>
          <w:rFonts w:ascii="Calibri" w:cs="Calibri" w:eastAsia="Calibri" w:hAnsi="Calibri"/>
          <w:b/>
          <w:bCs/>
          <w:color w:val="2D2D2D"/>
          <w:sz w:val="22"/>
          <w:szCs w:val="22"/>
        </w:rPr>
        <w:t xml:space="preserve">Benchmarking: </w:t>
      </w:r>
      <w:r>
        <w:rPr>
          <w:rFonts w:ascii="Calibri" w:cs="Calibri" w:eastAsia="Calibri" w:hAnsi="Calibri"/>
          <w:color w:val="2D2D2D"/>
          <w:sz w:val="22"/>
          <w:szCs w:val="22"/>
        </w:rPr>
        <w:t xml:space="preserve">Reflects the past, not emerging intent. “Benchmarking only tells you what’s already happened… it doesn’t provide indicators of future performance.”</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Over-relying on backward-looking metrics can lull firms into chasing yesterday’s leaders.</w:t>
      </w:r>
    </w:p>
    <w:p>
      <w:pPr>
        <w:pStyle w:val="ListParagraph"/>
        <w:numPr>
          <w:ilvl w:val="0"/>
          <w:numId w:val="2"/>
        </w:numPr>
        <w:spacing w:after="70" w:before="50"/>
      </w:pPr>
      <w:r>
        <w:rPr>
          <w:rFonts w:ascii="Calibri" w:cs="Calibri" w:eastAsia="Calibri" w:hAnsi="Calibri"/>
          <w:b/>
          <w:bCs/>
          <w:color w:val="2D2D2D"/>
          <w:sz w:val="22"/>
          <w:szCs w:val="22"/>
        </w:rPr>
        <w:t xml:space="preserve">Expert Judgment: </w:t>
      </w:r>
      <w:r>
        <w:rPr>
          <w:rFonts w:ascii="Calibri" w:cs="Calibri" w:eastAsia="Calibri" w:hAnsi="Calibri"/>
          <w:color w:val="2D2D2D"/>
          <w:sz w:val="22"/>
          <w:szCs w:val="22"/>
        </w:rPr>
        <w:t xml:space="preserve">Individual views carry bias and are bounded by personal experience. Cognitive biases cause strategists to overweight their own data and past successes.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Human judgment alone often can’t envision the unconventional strategies a disruptor might deploy.</w:t>
      </w:r>
    </w:p>
    <w:p>
      <w:pPr>
        <w:pStyle w:val="ListParagraph"/>
        <w:numPr>
          <w:ilvl w:val="0"/>
          <w:numId w:val="2"/>
        </w:numPr>
        <w:spacing w:after="70" w:before="50"/>
      </w:pPr>
      <w:r>
        <w:rPr>
          <w:rFonts w:ascii="Calibri" w:cs="Calibri" w:eastAsia="Calibri" w:hAnsi="Calibri"/>
          <w:b/>
          <w:bCs/>
          <w:color w:val="2D2D2D"/>
          <w:sz w:val="22"/>
          <w:szCs w:val="22"/>
        </w:rPr>
        <w:t xml:space="preserve">War-Gaming Workshops: </w:t>
      </w:r>
      <w:r>
        <w:rPr>
          <w:rFonts w:ascii="Calibri" w:cs="Calibri" w:eastAsia="Calibri" w:hAnsi="Calibri"/>
          <w:color w:val="2D2D2D"/>
          <w:sz w:val="22"/>
          <w:szCs w:val="22"/>
        </w:rPr>
        <w:t xml:space="preserve">Intensive but yield only a handful of imagined scenarios. A team of executives might role-play two or three competitors over a few rounds,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but can’t cover the full range of possibilities at real-market speed.</w:t>
      </w:r>
    </w:p>
    <w:p>
      <w:pPr>
        <w:spacing w:after="120" w:before="80"/>
        <w:jc w:val="both"/>
      </w:pPr>
      <w:r>
        <w:rPr>
          <w:rFonts w:ascii="Calibri" w:cs="Calibri" w:eastAsia="Calibri" w:hAnsi="Calibri"/>
          <w:color w:val="2D2D2D"/>
          <w:sz w:val="22"/>
          <w:szCs w:val="22"/>
        </w:rPr>
        <w:t xml:space="preserve">Markets today move faster than these tools can keep up. Amazon makes over 250 million price changes every day, with an average product’s price updating about once every 10 minutes.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What executives need is not simply more raw data; it’s more foresight – the ability to continuously anticipate “if we do X, how will competitors Y and Z react?”</w:t>
      </w:r>
    </w:p>
    <w:p>
      <w:pPr>
        <w:pStyle w:val="Heading1"/>
        <w:spacing w:after="160" w:before="320"/>
      </w:pPr>
      <w:r>
        <w:rPr>
          <w:rFonts w:ascii="Calibri" w:cs="Calibri" w:eastAsia="Calibri" w:hAnsi="Calibri"/>
          <w:b/>
          <w:bCs/>
          <w:color w:val="1E2761"/>
          <w:sz w:val="32"/>
          <w:szCs w:val="32"/>
        </w:rPr>
        <w:t xml:space="preserve">Why AI Competitor Simulation Is a Breakthrough</w:t>
      </w:r>
    </w:p>
    <w:p>
      <w:pPr>
        <w:spacing w:after="120" w:before="80"/>
        <w:jc w:val="both"/>
      </w:pPr>
      <w:r>
        <w:rPr>
          <w:rFonts w:ascii="Calibri" w:cs="Calibri" w:eastAsia="Calibri" w:hAnsi="Calibri"/>
          <w:color w:val="2D2D2D"/>
          <w:sz w:val="22"/>
          <w:szCs w:val="22"/>
        </w:rPr>
        <w:t xml:space="preserve">Instead of manually guessing how competitors might react, AI enables organizations to create digital competitors – autonomous agents that learn, reason, and respond much like their real-life counterparts. These agents are trained on diverse behavioral signals:</w:t>
      </w:r>
    </w:p>
    <w:p>
      <w:pPr>
        <w:pStyle w:val="ListParagraph"/>
        <w:numPr>
          <w:ilvl w:val="0"/>
          <w:numId w:val="2"/>
        </w:numPr>
        <w:spacing w:after="70" w:before="50"/>
      </w:pPr>
      <w:r>
        <w:rPr>
          <w:rFonts w:ascii="Calibri" w:cs="Calibri" w:eastAsia="Calibri" w:hAnsi="Calibri"/>
          <w:color w:val="2D2D2D"/>
          <w:sz w:val="22"/>
          <w:szCs w:val="22"/>
        </w:rPr>
        <w:t xml:space="preserve">Pricing and Promotional History: How has the rival changed prices in the past?</w:t>
      </w:r>
    </w:p>
    <w:p>
      <w:pPr>
        <w:pStyle w:val="ListParagraph"/>
        <w:numPr>
          <w:ilvl w:val="0"/>
          <w:numId w:val="2"/>
        </w:numPr>
        <w:spacing w:after="70" w:before="50"/>
      </w:pPr>
      <w:r>
        <w:rPr>
          <w:rFonts w:ascii="Calibri" w:cs="Calibri" w:eastAsia="Calibri" w:hAnsi="Calibri"/>
          <w:color w:val="2D2D2D"/>
          <w:sz w:val="22"/>
          <w:szCs w:val="22"/>
        </w:rPr>
        <w:t xml:space="preserve">Product Portfolio and Launch Patterns: What does their roadmap suggest about strategy?</w:t>
      </w:r>
    </w:p>
    <w:p>
      <w:pPr>
        <w:pStyle w:val="ListParagraph"/>
        <w:numPr>
          <w:ilvl w:val="0"/>
          <w:numId w:val="2"/>
        </w:numPr>
        <w:spacing w:after="70" w:before="50"/>
      </w:pPr>
      <w:r>
        <w:rPr>
          <w:rFonts w:ascii="Calibri" w:cs="Calibri" w:eastAsia="Calibri" w:hAnsi="Calibri"/>
          <w:color w:val="2D2D2D"/>
          <w:sz w:val="22"/>
          <w:szCs w:val="22"/>
        </w:rPr>
        <w:t xml:space="preserve">Leadership Tone and Strategy Signals: What priorities do executives emphasize in earnings calls?</w:t>
      </w:r>
    </w:p>
    <w:p>
      <w:pPr>
        <w:pStyle w:val="ListParagraph"/>
        <w:numPr>
          <w:ilvl w:val="0"/>
          <w:numId w:val="2"/>
        </w:numPr>
        <w:spacing w:after="70" w:before="50"/>
      </w:pPr>
      <w:r>
        <w:rPr>
          <w:rFonts w:ascii="Calibri" w:cs="Calibri" w:eastAsia="Calibri" w:hAnsi="Calibri"/>
          <w:color w:val="2D2D2D"/>
          <w:sz w:val="22"/>
          <w:szCs w:val="22"/>
        </w:rPr>
        <w:t xml:space="preserve">Stated Objectives: What do annual reports and press releases say about their focus?</w:t>
      </w:r>
    </w:p>
    <w:p>
      <w:pPr>
        <w:pStyle w:val="ListParagraph"/>
        <w:numPr>
          <w:ilvl w:val="0"/>
          <w:numId w:val="2"/>
        </w:numPr>
        <w:spacing w:after="70" w:before="50"/>
      </w:pPr>
      <w:r>
        <w:rPr>
          <w:rFonts w:ascii="Calibri" w:cs="Calibri" w:eastAsia="Calibri" w:hAnsi="Calibri"/>
          <w:color w:val="2D2D2D"/>
          <w:sz w:val="22"/>
          <w:szCs w:val="22"/>
        </w:rPr>
        <w:t xml:space="preserve">Operating Constraints: What financial or operational limits do they face?</w:t>
      </w:r>
    </w:p>
    <w:p>
      <w:pPr>
        <w:pStyle w:val="ListParagraph"/>
        <w:numPr>
          <w:ilvl w:val="0"/>
          <w:numId w:val="2"/>
        </w:numPr>
        <w:spacing w:after="70" w:before="50"/>
      </w:pPr>
      <w:r>
        <w:rPr>
          <w:rFonts w:ascii="Calibri" w:cs="Calibri" w:eastAsia="Calibri" w:hAnsi="Calibri"/>
          <w:color w:val="2D2D2D"/>
          <w:sz w:val="22"/>
          <w:szCs w:val="22"/>
        </w:rPr>
        <w:t xml:space="preserve">Real-Time Signals: Recent news such as major hires, patent filings, partnerships.</w:t>
      </w:r>
    </w:p>
    <w:p>
      <w:pPr>
        <w:spacing w:after="120" w:before="80"/>
        <w:jc w:val="both"/>
      </w:pPr>
      <w:r>
        <w:rPr>
          <w:rFonts w:ascii="Calibri" w:cs="Calibri" w:eastAsia="Calibri" w:hAnsi="Calibri"/>
          <w:color w:val="2D2D2D"/>
          <w:sz w:val="22"/>
          <w:szCs w:val="22"/>
        </w:rPr>
        <w:t xml:space="preserve">LLM-powered agents can interpret unstructured information – the qualitative, messy data like leadership rhetoric or customer reviews – in a way a human strategist would. Recent studies show that multi-agent systems using advanced LLMs can simulate human-like strategic reasoning with remarkable accuracy.</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One framework (CompeteAI) demonstrated GPT-4 agents in a virtual market autonomously evolving strategies like price differentiation and imitation, mirroring classic economic theories of competition.</w:t>
      </w:r>
      <w:r>
        <w:rPr>
          <w:rFonts w:ascii="Calibri" w:cs="Calibri" w:eastAsia="Calibri" w:hAnsi="Calibri"/>
          <w:color w:val="2D2D2D"/>
          <w:sz w:val="22"/>
          <w:szCs w:val="22"/>
        </w:rPr>
        <w:t xml:space="preserve"/>
      </w:r>
    </w:p>
    <w:p>
      <w:pPr>
        <w:pStyle w:val="Heading1"/>
        <w:spacing w:after="160" w:before="320"/>
      </w:pPr>
      <w:r>
        <w:rPr>
          <w:rFonts w:ascii="Calibri" w:cs="Calibri" w:eastAsia="Calibri" w:hAnsi="Calibri"/>
          <w:b/>
          <w:bCs/>
          <w:color w:val="1E2761"/>
          <w:sz w:val="32"/>
          <w:szCs w:val="32"/>
        </w:rPr>
        <w:t xml:space="preserve">How AI Competitor Simulation Works</w:t>
      </w:r>
    </w:p>
    <w:p>
      <w:pPr>
        <w:spacing w:after="120" w:before="80"/>
        <w:jc w:val="both"/>
      </w:pPr>
      <w:r>
        <w:rPr>
          <w:rFonts w:ascii="Calibri" w:cs="Calibri" w:eastAsia="Calibri" w:hAnsi="Calibri"/>
          <w:color w:val="2D2D2D"/>
          <w:sz w:val="22"/>
          <w:szCs w:val="22"/>
        </w:rPr>
        <w:t xml:space="preserve">AI competitor simulation brings together three capabilities that, until now, were never available simultaneously in the strategist’s toolkit:</w:t>
      </w:r>
    </w:p>
    <w:p>
      <w:pPr>
        <w:pStyle w:val="ListParagraph"/>
        <w:numPr>
          <w:ilvl w:val="0"/>
          <w:numId w:val="2"/>
        </w:numPr>
        <w:spacing w:after="70" w:before="50"/>
      </w:pPr>
      <w:r>
        <w:rPr>
          <w:rFonts w:ascii="Calibri" w:cs="Calibri" w:eastAsia="Calibri" w:hAnsi="Calibri"/>
          <w:b/>
          <w:bCs/>
          <w:color w:val="2D2D2D"/>
          <w:sz w:val="22"/>
          <w:szCs w:val="22"/>
        </w:rPr>
        <w:t xml:space="preserve">AI Reasoning Agents (LLM-Based): </w:t>
      </w:r>
      <w:r>
        <w:rPr>
          <w:rFonts w:ascii="Calibri" w:cs="Calibri" w:eastAsia="Calibri" w:hAnsi="Calibri"/>
          <w:color w:val="2D2D2D"/>
          <w:sz w:val="22"/>
          <w:szCs w:val="22"/>
        </w:rPr>
        <w:t xml:space="preserve">Advanced AI agents that can ingest qualitative data and draw nuanced inferences about a competitor’s mindset and likely behavior. The AI agent role-plays the competitor with a personality and goals inferred from real-world data.</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Reinforcement Learning and Game Theory: </w:t>
      </w:r>
      <w:r>
        <w:rPr>
          <w:rFonts w:ascii="Calibri" w:cs="Calibri" w:eastAsia="Calibri" w:hAnsi="Calibri"/>
          <w:color w:val="2D2D2D"/>
          <w:sz w:val="22"/>
          <w:szCs w:val="22"/>
        </w:rPr>
        <w:t xml:space="preserve">Competitor agents repeatedly play out interactions over thousands of iterations. Each agent learns which actions yield the best outcomes. Game-theoretic behaviors like bluffing, retaliation, or collusion can emerge in the simulation.</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Multi-Agent Environments: </w:t>
      </w:r>
      <w:r>
        <w:rPr>
          <w:rFonts w:ascii="Calibri" w:cs="Calibri" w:eastAsia="Calibri" w:hAnsi="Calibri"/>
          <w:color w:val="2D2D2D"/>
          <w:sz w:val="22"/>
          <w:szCs w:val="22"/>
        </w:rPr>
        <w:t xml:space="preserve">A virtual market with multiple competitor agents interacting. Your company’s agent launches a new product, and competitor agents respond, while customer agents switch preferences. Researchers have shown this produces realistic market phenomena – for instance, rivals adapting by differentiating their offerings.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p>
    <w:p>
      <w:pPr>
        <w:spacing w:after="120" w:before="80"/>
        <w:jc w:val="both"/>
      </w:pPr>
      <w:r>
        <w:rPr>
          <w:rFonts w:ascii="Calibri" w:cs="Calibri" w:eastAsia="Calibri" w:hAnsi="Calibri"/>
          <w:color w:val="2D2D2D"/>
          <w:sz w:val="22"/>
          <w:szCs w:val="22"/>
        </w:rPr>
        <w:t xml:space="preserve">Together, these components create a strategic flight simulator where strategies can evolve, clash, and adapt in silico. Patterns that took months or years to play out in the real world can be observed over hours of simulation, with the ability to rewind, tweak assumptions, and run again.</w:t>
      </w:r>
    </w:p>
    <w:p>
      <w:pPr>
        <w:pStyle w:val="Heading1"/>
        <w:spacing w:after="160" w:before="320"/>
      </w:pPr>
      <w:r>
        <w:rPr>
          <w:rFonts w:ascii="Calibri" w:cs="Calibri" w:eastAsia="Calibri" w:hAnsi="Calibri"/>
          <w:b/>
          <w:bCs/>
          <w:color w:val="1E2761"/>
          <w:sz w:val="32"/>
          <w:szCs w:val="32"/>
        </w:rPr>
        <w:t xml:space="preserve">A Practical Example: Pricing War-Game in Telecom</w:t>
      </w:r>
    </w:p>
    <w:p>
      <w:pPr>
        <w:spacing w:after="120" w:before="80"/>
        <w:jc w:val="both"/>
      </w:pPr>
      <w:r>
        <w:rPr>
          <w:rFonts w:ascii="Calibri" w:cs="Calibri" w:eastAsia="Calibri" w:hAnsi="Calibri"/>
          <w:color w:val="2D2D2D"/>
          <w:sz w:val="22"/>
          <w:szCs w:val="22"/>
        </w:rPr>
        <w:t xml:space="preserve">Consider a telecommunications company contemplating a 10 % price drop on a popular plan. With AI simulation, the telco can deploy AI agents for its three key competitors and run thousands of competitive iterations:</w:t>
      </w:r>
    </w:p>
    <w:p>
      <w:pPr>
        <w:pStyle w:val="ListParagraph"/>
        <w:numPr>
          <w:ilvl w:val="0"/>
          <w:numId w:val="2"/>
        </w:numPr>
        <w:spacing w:after="70" w:before="50"/>
      </w:pPr>
      <w:r>
        <w:rPr>
          <w:rFonts w:ascii="Calibri" w:cs="Calibri" w:eastAsia="Calibri" w:hAnsi="Calibri"/>
          <w:b/>
          <w:bCs/>
          <w:color w:val="2D2D2D"/>
          <w:sz w:val="22"/>
          <w:szCs w:val="22"/>
        </w:rPr>
        <w:t xml:space="preserve">Competitor A – Aggressive Challenger: </w:t>
      </w:r>
      <w:r>
        <w:rPr>
          <w:rFonts w:ascii="Calibri" w:cs="Calibri" w:eastAsia="Calibri" w:hAnsi="Calibri"/>
          <w:color w:val="2D2D2D"/>
          <w:sz w:val="22"/>
          <w:szCs w:val="22"/>
        </w:rPr>
        <w:t xml:space="preserve">Having learned that A is a market share maximizer, the agent responds by out-discounting – a 15 % price drop – even if it hurts margins. This triggers a full-blown price war, dragging down industry profits.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Competitor B – Premium Brand: </w:t>
      </w:r>
      <w:r>
        <w:rPr>
          <w:rFonts w:ascii="Calibri" w:cs="Calibri" w:eastAsia="Calibri" w:hAnsi="Calibri"/>
          <w:color w:val="2D2D2D"/>
          <w:sz w:val="22"/>
          <w:szCs w:val="22"/>
        </w:rPr>
        <w:t xml:space="preserve">B’s agent, knowing B values brand and margin, holds its price but boosts marketing and bundles (extra data, streaming services) to justify its premium. It targets retaining high-value customers through added value rather than price.</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Competitor C – Cost-Constrained Regional Player: </w:t>
      </w:r>
      <w:r>
        <w:rPr>
          <w:rFonts w:ascii="Calibri" w:cs="Calibri" w:eastAsia="Calibri" w:hAnsi="Calibri"/>
          <w:color w:val="2D2D2D"/>
          <w:sz w:val="22"/>
          <w:szCs w:val="22"/>
        </w:rPr>
        <w:t xml:space="preserve">C’s agent cannot afford to cut prices. Instead, it shifts focus to an underserved niche (rural plans, or long-term contracts) rather than competing head-to-head on price.</w:t>
      </w:r>
      <w:r>
        <w:rPr>
          <w:rFonts w:ascii="Calibri" w:cs="Calibri" w:eastAsia="Calibri" w:hAnsi="Calibri"/>
          <w:color w:val="2D2D2D"/>
          <w:sz w:val="22"/>
          <w:szCs w:val="22"/>
        </w:rPr>
        <w:t xml:space="preserve"/>
      </w:r>
    </w:p>
    <w:p>
      <w:pPr>
        <w:spacing w:after="120" w:before="80"/>
        <w:jc w:val="both"/>
      </w:pPr>
      <w:r>
        <w:rPr>
          <w:rFonts w:ascii="Calibri" w:cs="Calibri" w:eastAsia="Calibri" w:hAnsi="Calibri"/>
          <w:color w:val="2D2D2D"/>
          <w:sz w:val="22"/>
          <w:szCs w:val="22"/>
        </w:rPr>
        <w:t xml:space="preserve">The AI simulation finds that in most scenarios, a blanket 10 % price cut leads to a ruinous price war and only modest subscriber gains. However, it reveals an alternative: bundling a new service and targeting certain customer segments yields better net gains with far less competitive blowback.</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This second-order insight – that the obvious move is not the best move because of competitors’ complex responses – is exactly the advantage of AI simulation.</w:t>
      </w:r>
    </w:p>
    <w:p>
      <w:pPr>
        <w:spacing w:after="120" w:before="80"/>
        <w:jc w:val="both"/>
      </w:pPr>
      <w:r>
        <w:rPr>
          <w:rFonts w:ascii="Calibri" w:cs="Calibri" w:eastAsia="Calibri" w:hAnsi="Calibri"/>
          <w:color w:val="2D2D2D"/>
          <w:sz w:val="22"/>
          <w:szCs w:val="22"/>
        </w:rPr>
        <w:t xml:space="preserve">This is not just academic. In 2023, Tesla cut EV prices by up to 20 %, forcing Ford to slash Mustang Mach-E prices by 5–8 %</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and GM to delay EV launches. Industry-wide profit pressure followed – exactly the kind of outcome an AI simulation of an “EV price war” could have foretold.</w:t>
      </w:r>
    </w:p>
    <w:p>
      <w:r>
        <w:br w:type="page"/>
      </w:r>
    </w:p>
    <w:p>
      <w:pPr>
        <w:pBdr>
          <w:top w:val="single" w:color="028090" w:sz="10" w:space="1"/>
        </w:pBdr>
        <w:spacing w:after="0" w:before="80"/>
      </w:pPr>
      <w:r>
        <w:rPr>
          <w:rFonts w:ascii="Calibri" w:cs="Calibri" w:eastAsia="Calibri" w:hAnsi="Calibri"/>
          <w:color w:val="2D2D2D"/>
          <w:sz w:val="22"/>
          <w:szCs w:val="22"/>
        </w:rPr>
        <w:t xml:space="preserve"/>
      </w:r>
    </w:p>
    <w:p>
      <w:pPr>
        <w:spacing w:after="60" w:before="160"/>
      </w:pPr>
      <w:r>
        <w:rPr>
          <w:rFonts w:ascii="Calibri" w:cs="Calibri" w:eastAsia="Calibri" w:hAnsi="Calibri"/>
          <w:b/>
          <w:bCs/>
          <w:i/>
          <w:iCs/>
          <w:color w:val="028090"/>
          <w:sz w:val="17"/>
          <w:szCs w:val="17"/>
        </w:rPr>
        <w:t xml:space="preserve">NEW SECTION — Proof of Concept</w:t>
      </w:r>
    </w:p>
    <w:p>
      <w:pPr>
        <w:spacing w:after="120" w:before="0"/>
      </w:pPr>
      <w:r>
        <w:rPr>
          <w:rFonts w:ascii="Calibri" w:cs="Calibri" w:eastAsia="Calibri" w:hAnsi="Calibri"/>
          <w:b/>
          <w:bCs/>
          <w:color w:val="028090"/>
          <w:sz w:val="34"/>
          <w:szCs w:val="34"/>
        </w:rPr>
        <w:t xml:space="preserve">From Theory to Working Prototype: The CompetitorSim Proof of Concept</w:t>
      </w:r>
    </w:p>
    <w:p>
      <w:pPr>
        <w:spacing w:after="120" w:before="80"/>
        <w:jc w:val="both"/>
      </w:pPr>
      <w:r>
        <w:rPr>
          <w:rFonts w:ascii="Calibri" w:cs="Calibri" w:eastAsia="Calibri" w:hAnsi="Calibri"/>
          <w:color w:val="2D2D2D"/>
          <w:sz w:val="22"/>
          <w:szCs w:val="22"/>
        </w:rPr>
        <w:t xml:space="preserve">The telecom scenario described above is not merely hypothetical. To validate the theoretical framework of this paper, a working proof-of-concept application — </w:t>
      </w:r>
      <w:r>
        <w:rPr>
          <w:rFonts w:ascii="Calibri" w:cs="Calibri" w:eastAsia="Calibri" w:hAnsi="Calibri"/>
          <w:b/>
          <w:bCs/>
          <w:color w:val="028090"/>
          <w:sz w:val="22"/>
          <w:szCs w:val="22"/>
        </w:rPr>
        <w:t xml:space="preserve">CompetitorSim</w:t>
      </w:r>
      <w:r>
        <w:rPr>
          <w:rFonts w:ascii="Calibri" w:cs="Calibri" w:eastAsia="Calibri" w:hAnsi="Calibri"/>
          <w:color w:val="2D2D2D"/>
          <w:sz w:val="22"/>
          <w:szCs w:val="22"/>
        </w:rPr>
        <w:t xml:space="preserve"> — was built and tested against this exact scenario. The result confirms that the AI multi-agent simulation approach described here is not only theoretically sound, but practically achievable today, using commercially available LLMs and standard web technologies.</w:t>
      </w: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What CompetitorSim Is</w:t>
      </w:r>
    </w:p>
    <w:p>
      <w:pPr>
        <w:spacing w:after="120" w:before="80"/>
        <w:jc w:val="both"/>
      </w:pPr>
      <w:r>
        <w:rPr>
          <w:rFonts w:ascii="Calibri" w:cs="Calibri" w:eastAsia="Calibri" w:hAnsi="Calibri"/>
          <w:color w:val="2D2D2D"/>
          <w:sz w:val="22"/>
          <w:szCs w:val="22"/>
        </w:rPr>
        <w:t xml:space="preserve">CompetitorSim is an interactive web application that operationalizes the three-component simulation framework described in this paper. Built on Anthropic’s </w:t>
      </w:r>
      <w:r>
        <w:rPr>
          <w:rFonts w:ascii="Calibri" w:cs="Calibri" w:eastAsia="Calibri" w:hAnsi="Calibri"/>
          <w:i/>
          <w:iCs/>
          <w:color w:val="2D2D2D"/>
          <w:sz w:val="22"/>
          <w:szCs w:val="22"/>
        </w:rPr>
        <w:t xml:space="preserve">claude-sonnet-4-6</w:t>
      </w:r>
      <w:r>
        <w:rPr>
          <w:rFonts w:ascii="Calibri" w:cs="Calibri" w:eastAsia="Calibri" w:hAnsi="Calibri"/>
          <w:color w:val="2D2D2D"/>
          <w:sz w:val="22"/>
          <w:szCs w:val="22"/>
        </w:rPr>
        <w:t xml:space="preserve">, it accepts a user’s strategic move and up to three competitor profiles as input, runs a multi-round Claude-powered simulation, and returns a strategic recommendation within approximately 60 seconds.</w:t>
      </w:r>
    </w:p>
    <w:p>
      <w:pPr>
        <w:spacing w:after="0" w:before="80"/>
      </w:pPr>
      <w:r>
        <w:rPr>
          <w:rFonts w:ascii="Calibri" w:cs="Calibri" w:eastAsia="Calibri" w:hAnsi="Calibri"/>
          <w:color w:val="2D2D2D"/>
          <w:sz w:val="22"/>
          <w:szCs w:val="22"/>
        </w:rP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400"/>
        <w:gridCol w:w="5920"/>
      </w:tblGrid>
      <w:tr>
        <w:tc>
          <w:tcPr>
            <w:tcW w:type="dxa" w:w="34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Framework Component</w:t>
            </w:r>
          </w:p>
        </w:tc>
        <w:tc>
          <w:tcPr>
            <w:tcW w:type="dxa" w:w="592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CompetitorSim Implementation</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LLM-based reasoning agents</w:t>
            </w:r>
          </w:p>
        </w:tc>
        <w:tc>
          <w:tcPr>
            <w:tcW w:type="dxa" w:w="5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Claude agents receive scored competitor profiles and reason in character for each competitor</w:t>
            </w:r>
          </w:p>
        </w:tc>
      </w:tr>
      <w:tr>
        <w:tc>
          <w:tcPr>
            <w:tcW w:type="dxa" w:w="3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Deterministic data anchoring</w:t>
            </w:r>
          </w:p>
        </w:tc>
        <w:tc>
          <w:tcPr>
            <w:tcW w:type="dxa" w:w="592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profileBuilder.js converts 12 raw inputs to 3 behavioral scores: Financial Capacity, Aggression Index, Strategic Intent</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Multi-round equilibrium simulation</w:t>
            </w:r>
          </w:p>
        </w:tc>
        <w:tc>
          <w:tcPr>
            <w:tcW w:type="dxa" w:w="5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 runs 2–3 rounds; equilibrium declared when no competitor shifts strategy by more than 15 points</w:t>
            </w:r>
          </w:p>
        </w:tc>
      </w:tr>
      <w:tr>
        <w:tc>
          <w:tcPr>
            <w:tcW w:type="dxa" w:w="3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Orchestrator synthesis</w:t>
            </w:r>
          </w:p>
        </w:tc>
        <w:tc>
          <w:tcPr>
            <w:tcW w:type="dxa" w:w="592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 dedicated orchestrator agent reads all rounds and outputs market state, recommendation, and risk analysis</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Sensitivity analysis</w:t>
            </w:r>
          </w:p>
        </w:tc>
        <w:tc>
          <w:tcPr>
            <w:tcW w:type="dxa" w:w="5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Interactive sliders re-run simulation with modified assumptions: competitor financial strength, price cut magnitude, market growth rate</w:t>
            </w:r>
          </w:p>
        </w:tc>
      </w:tr>
    </w:tbl>
    <w:p>
      <w:pPr>
        <w:spacing w:after="0" w:before="16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Running the TelcoX Scenario</w:t>
      </w:r>
    </w:p>
    <w:p>
      <w:pPr>
        <w:spacing w:after="120" w:before="80"/>
        <w:jc w:val="both"/>
      </w:pPr>
      <w:r>
        <w:rPr>
          <w:rFonts w:ascii="Calibri" w:cs="Calibri" w:eastAsia="Calibri" w:hAnsi="Calibri"/>
          <w:color w:val="2D2D2D"/>
          <w:sz w:val="22"/>
          <w:szCs w:val="22"/>
        </w:rPr>
        <w:t xml:space="preserve">The built-in demo data in CompetitorSim replicates the TelcoX scenario from Section 4 of this paper exactly. The three competitors and their behavioral profiles:</w:t>
      </w:r>
    </w:p>
    <w:p>
      <w:pPr>
        <w:spacing w:after="0" w:before="80"/>
      </w:pPr>
      <w:r>
        <w:rPr>
          <w:rFonts w:ascii="Calibri" w:cs="Calibri" w:eastAsia="Calibri" w:hAnsi="Calibri"/>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c>
          <w:tcPr>
            <w:tcW w:type="dxa" w:w="1900"/>
            <w:tcBorders>
              <w:top w:val="single" w:color="CCCCCC" w:sz="1"/>
              <w:left w:val="single" w:color="CCCCCC" w:sz="1"/>
              <w:bottom w:val="single" w:color="CCCCCC" w:sz="1"/>
              <w:right w:val="single" w:color="CCCCCC" w:sz="1"/>
            </w:tcBorders>
            <w:shd w:fill="1E2761" w:val="clear"/>
            <w:tcMar>
              <w:top w:type="dxa" w:w="90"/>
              <w:left w:type="dxa" w:w="120"/>
              <w:bottom w:type="dxa" w:w="90"/>
              <w:right w:type="dxa" w:w="120"/>
            </w:tcMar>
          </w:tcPr>
          <w:p>
            <w:r>
              <w:rPr>
                <w:rFonts w:ascii="Calibri" w:cs="Calibri" w:eastAsia="Calibri" w:hAnsi="Calibri"/>
                <w:b/>
                <w:bCs/>
                <w:color w:val="FFFFFF"/>
                <w:sz w:val="20"/>
                <w:szCs w:val="20"/>
              </w:rPr>
              <w:t xml:space="preserve">Competitor</w:t>
            </w:r>
          </w:p>
        </w:tc>
        <w:tc>
          <w:tcPr>
            <w:tcW w:type="dxa" w:w="2100"/>
            <w:tcBorders>
              <w:top w:val="single" w:color="CCCCCC" w:sz="1"/>
              <w:left w:val="single" w:color="CCCCCC" w:sz="1"/>
              <w:bottom w:val="single" w:color="CCCCCC" w:sz="1"/>
              <w:right w:val="single" w:color="CCCCCC" w:sz="1"/>
            </w:tcBorders>
            <w:shd w:fill="1E2761" w:val="clear"/>
            <w:tcMar>
              <w:top w:type="dxa" w:w="90"/>
              <w:left w:type="dxa" w:w="120"/>
              <w:bottom w:type="dxa" w:w="90"/>
              <w:right w:type="dxa" w:w="120"/>
            </w:tcMar>
          </w:tcPr>
          <w:p>
            <w:r>
              <w:rPr>
                <w:rFonts w:ascii="Calibri" w:cs="Calibri" w:eastAsia="Calibri" w:hAnsi="Calibri"/>
                <w:b/>
                <w:bCs/>
                <w:color w:val="FFFFFF"/>
                <w:sz w:val="20"/>
                <w:szCs w:val="20"/>
              </w:rPr>
              <w:t xml:space="preserve">AI Scores</w:t>
            </w:r>
          </w:p>
        </w:tc>
        <w:tc>
          <w:tcPr>
            <w:tcW w:type="dxa" w:w="5360"/>
            <w:tcBorders>
              <w:top w:val="single" w:color="CCCCCC" w:sz="1"/>
              <w:left w:val="single" w:color="CCCCCC" w:sz="1"/>
              <w:bottom w:val="single" w:color="CCCCCC" w:sz="1"/>
              <w:right w:val="single" w:color="CCCCCC" w:sz="1"/>
            </w:tcBorders>
            <w:shd w:fill="1E2761" w:val="clear"/>
            <w:tcMar>
              <w:top w:type="dxa" w:w="90"/>
              <w:left w:type="dxa" w:w="120"/>
              <w:bottom w:type="dxa" w:w="90"/>
              <w:right w:type="dxa" w:w="120"/>
            </w:tcMar>
          </w:tcPr>
          <w:p>
            <w:r>
              <w:rPr>
                <w:rFonts w:ascii="Calibri" w:cs="Calibri" w:eastAsia="Calibri" w:hAnsi="Calibri"/>
                <w:b/>
                <w:bCs/>
                <w:color w:val="FFFFFF"/>
                <w:sz w:val="20"/>
                <w:szCs w:val="20"/>
              </w:rPr>
              <w:t xml:space="preserve">Behavioral Profile</w:t>
            </w:r>
          </w:p>
        </w:tc>
      </w:tr>
      <w:tr>
        <w:tc>
          <w:tcPr>
            <w:tcW w:type="dxa" w:w="19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tcPr>
          <w:p>
            <w:r>
              <w:rPr>
                <w:rFonts w:ascii="Calibri" w:cs="Calibri" w:eastAsia="Calibri" w:hAnsi="Calibri"/>
                <w:b/>
                <w:bCs/>
                <w:color w:val="FFFFFF"/>
                <w:sz w:val="21"/>
                <w:szCs w:val="21"/>
              </w:rPr>
              <w:t xml:space="preserve">ValueNet</w:t>
            </w:r>
          </w:p>
          <w:p>
            <w:r>
              <w:rPr>
                <w:rFonts w:ascii="Calibri" w:cs="Calibri" w:eastAsia="Calibri" w:hAnsi="Calibri"/>
                <w:i/>
                <w:iCs/>
                <w:color w:val="CADCFC"/>
                <w:sz w:val="18"/>
                <w:szCs w:val="18"/>
              </w:rPr>
              <w:t xml:space="preserve">Aggressive Challenger</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r>
              <w:rPr>
                <w:rFonts w:ascii="Calibri" w:cs="Calibri" w:eastAsia="Calibri" w:hAnsi="Calibri"/>
                <w:color w:val="4472C4"/>
                <w:sz w:val="19"/>
                <w:szCs w:val="19"/>
              </w:rPr>
              <w:t xml:space="preserve">Capacity: HIGH
Aggression: HIGH
Intent: HIGH</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color w:val="2D2D2D"/>
                <w:sz w:val="20"/>
                <w:szCs w:val="20"/>
              </w:rPr>
              <w:t xml:space="preserve">Market share maximizer. Will out-discount TelcoX, likely escalating to a 15 %+ counter-cut even at the cost of short-term margin. High probability of triggering a full price war.</w:t>
            </w:r>
          </w:p>
        </w:tc>
      </w:tr>
      <w:tr>
        <w:tc>
          <w:tcPr>
            <w:tcW w:type="dxa" w:w="19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tcPr>
          <w:p>
            <w:r>
              <w:rPr>
                <w:rFonts w:ascii="Calibri" w:cs="Calibri" w:eastAsia="Calibri" w:hAnsi="Calibri"/>
                <w:b/>
                <w:bCs/>
                <w:color w:val="FFFFFF"/>
                <w:sz w:val="21"/>
                <w:szCs w:val="21"/>
              </w:rPr>
              <w:t xml:space="preserve">PremiumConnect</w:t>
            </w:r>
          </w:p>
          <w:p>
            <w:r>
              <w:rPr>
                <w:rFonts w:ascii="Calibri" w:cs="Calibri" w:eastAsia="Calibri" w:hAnsi="Calibri"/>
                <w:i/>
                <w:iCs/>
                <w:color w:val="CADCFC"/>
                <w:sz w:val="18"/>
                <w:szCs w:val="18"/>
              </w:rPr>
              <w:t xml:space="preserve">Premium Brand</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r>
              <w:rPr>
                <w:rFonts w:ascii="Calibri" w:cs="Calibri" w:eastAsia="Calibri" w:hAnsi="Calibri"/>
                <w:color w:val="4472C4"/>
                <w:sz w:val="19"/>
                <w:szCs w:val="19"/>
              </w:rPr>
              <w:t xml:space="preserve">Capacity: HIGH
Aggression: LOW
Intent: MEDIUM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color w:val="2D2D2D"/>
                <w:sz w:val="20"/>
                <w:szCs w:val="20"/>
              </w:rPr>
              <w:t xml:space="preserve">Brand and margin protector. Will hold price but counter with streaming bundle and data add-ons to justify premium positioning. Focuses on retaining high-value customer segment.</w:t>
            </w:r>
          </w:p>
        </w:tc>
      </w:tr>
      <w:tr>
        <w:tc>
          <w:tcPr>
            <w:tcW w:type="dxa" w:w="19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tcPr>
          <w:p>
            <w:r>
              <w:rPr>
                <w:rFonts w:ascii="Calibri" w:cs="Calibri" w:eastAsia="Calibri" w:hAnsi="Calibri"/>
                <w:b/>
                <w:bCs/>
                <w:color w:val="FFFFFF"/>
                <w:sz w:val="21"/>
                <w:szCs w:val="21"/>
              </w:rPr>
              <w:t xml:space="preserve">RegionalPlus</w:t>
            </w:r>
          </w:p>
          <w:p>
            <w:r>
              <w:rPr>
                <w:rFonts w:ascii="Calibri" w:cs="Calibri" w:eastAsia="Calibri" w:hAnsi="Calibri"/>
                <w:i/>
                <w:iCs/>
                <w:color w:val="CADCFC"/>
                <w:sz w:val="18"/>
                <w:szCs w:val="18"/>
              </w:rPr>
              <w:t xml:space="preserve">Cost-Constrained</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r>
              <w:rPr>
                <w:rFonts w:ascii="Calibri" w:cs="Calibri" w:eastAsia="Calibri" w:hAnsi="Calibri"/>
                <w:color w:val="4472C4"/>
                <w:sz w:val="19"/>
                <w:szCs w:val="19"/>
              </w:rPr>
              <w:t xml:space="preserve">Capacity: LOW
Aggression: MEDIUM
Intent: MEDIUM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color w:val="2D2D2D"/>
                <w:sz w:val="20"/>
                <w:szCs w:val="20"/>
              </w:rPr>
              <w:t xml:space="preserve">Financially constrained. Cannot sustain a price war. Pivots to underserved rural segments and long-contract offers, sidestepping direct price competition.</w:t>
            </w:r>
          </w:p>
        </w:tc>
      </w:tr>
    </w:tbl>
    <w:p>
      <w:pPr>
        <w:spacing w:after="0" w:before="16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What the Simulation Produced</w:t>
      </w:r>
    </w:p>
    <w:p>
      <w:pPr>
        <w:spacing w:after="120" w:before="80"/>
        <w:jc w:val="both"/>
      </w:pPr>
      <w:r>
        <w:rPr>
          <w:rFonts w:ascii="Calibri" w:cs="Calibri" w:eastAsia="Calibri" w:hAnsi="Calibri"/>
          <w:color w:val="2D2D2D"/>
          <w:sz w:val="22"/>
          <w:szCs w:val="22"/>
        </w:rPr>
        <w:t xml:space="preserve">When CompetitorSim ran the TelcoX scenario, the multi-round simulation produced the following:</w:t>
      </w:r>
    </w:p>
    <w:p>
      <w:pPr>
        <w:spacing w:after="0" w:before="80"/>
      </w:pPr>
      <w:r>
        <w:rPr>
          <w:rFonts w:ascii="Calibri" w:cs="Calibri" w:eastAsia="Calibri" w:hAnsi="Calibri"/>
          <w:color w:val="2D2D2D"/>
          <w:sz w:val="22"/>
          <w:szCs w:val="22"/>
        </w:rPr>
        <w:t xml:space="preserve"/>
      </w:r>
    </w:p>
    <w:p>
      <w:pPr>
        <w:pStyle w:val="ListParagraph"/>
        <w:numPr>
          <w:ilvl w:val="0"/>
          <w:numId w:val="3"/>
        </w:numPr>
        <w:spacing w:after="80" w:before="100"/>
      </w:pPr>
      <w:r>
        <w:rPr>
          <w:rFonts w:ascii="Calibri" w:cs="Calibri" w:eastAsia="Calibri" w:hAnsi="Calibri"/>
          <w:b/>
          <w:bCs/>
          <w:color w:val="1E2761"/>
          <w:sz w:val="22"/>
          <w:szCs w:val="22"/>
        </w:rPr>
        <w:t xml:space="preserve">Round 1 — Independent Reactions: </w:t>
      </w:r>
      <w:r>
        <w:rPr>
          <w:rFonts w:ascii="Calibri" w:cs="Calibri" w:eastAsia="Calibri" w:hAnsi="Calibri"/>
          <w:color w:val="2D2D2D"/>
          <w:sz w:val="22"/>
          <w:szCs w:val="22"/>
        </w:rPr>
        <w:t xml:space="preserve">ValueNet immediately signals an aggressive counter-cut of ~15 %. PremiumConnect announces a premium streaming bundle. RegionalPlus flags a pivot toward rural and long-contract customers.</w:t>
      </w:r>
    </w:p>
    <w:p>
      <w:pPr>
        <w:pStyle w:val="ListParagraph"/>
        <w:numPr>
          <w:ilvl w:val="0"/>
          <w:numId w:val="3"/>
        </w:numPr>
        <w:spacing w:after="80" w:before="100"/>
      </w:pPr>
      <w:r>
        <w:rPr>
          <w:rFonts w:ascii="Calibri" w:cs="Calibri" w:eastAsia="Calibri" w:hAnsi="Calibri"/>
          <w:b/>
          <w:bCs/>
          <w:color w:val="1E2761"/>
          <w:sz w:val="22"/>
          <w:szCs w:val="22"/>
        </w:rPr>
        <w:t xml:space="preserve">Round 2 — Reactive Adjustments: </w:t>
      </w:r>
      <w:r>
        <w:rPr>
          <w:rFonts w:ascii="Calibri" w:cs="Calibri" w:eastAsia="Calibri" w:hAnsi="Calibri"/>
          <w:color w:val="2D2D2D"/>
          <w:sz w:val="22"/>
          <w:szCs w:val="22"/>
        </w:rPr>
        <w:t xml:space="preserve">Having seen ValueNet escalate, PremiumConnect increases the value of its bundle offer. RegionalPlus, observing two stronger competitors locked in a price battle, doubles down on its niche pivot rather than engaging. ValueNet holds its aggressive posture.</w:t>
      </w:r>
    </w:p>
    <w:p>
      <w:pPr>
        <w:pStyle w:val="ListParagraph"/>
        <w:numPr>
          <w:ilvl w:val="0"/>
          <w:numId w:val="3"/>
        </w:numPr>
        <w:spacing w:after="80" w:before="100"/>
      </w:pPr>
      <w:r>
        <w:rPr>
          <w:rFonts w:ascii="Calibri" w:cs="Calibri" w:eastAsia="Calibri" w:hAnsi="Calibri"/>
          <w:b/>
          <w:bCs/>
          <w:color w:val="1E2761"/>
          <w:sz w:val="22"/>
          <w:szCs w:val="22"/>
        </w:rPr>
        <w:t xml:space="preserve">Equilibrium: </w:t>
      </w:r>
      <w:r>
        <w:rPr>
          <w:rFonts w:ascii="Calibri" w:cs="Calibri" w:eastAsia="Calibri" w:hAnsi="Calibri"/>
          <w:color w:val="2D2D2D"/>
          <w:sz w:val="22"/>
          <w:szCs w:val="22"/>
        </w:rPr>
        <w:t xml:space="preserve">No competitor shifted strategy type or magnitude by more than 15 points from Round 1 to Round 2. The simulation declares equilibrium and passes all results to the orchestrator.</w:t>
      </w:r>
    </w:p>
    <w:p>
      <w:pPr>
        <w:pStyle w:val="ListParagraph"/>
        <w:numPr>
          <w:ilvl w:val="0"/>
          <w:numId w:val="3"/>
        </w:numPr>
        <w:spacing w:after="100" w:before="100"/>
      </w:pPr>
      <w:r>
        <w:rPr>
          <w:rFonts w:ascii="Calibri" w:cs="Calibri" w:eastAsia="Calibri" w:hAnsi="Calibri"/>
          <w:b/>
          <w:bCs/>
          <w:color w:val="028090"/>
          <w:sz w:val="22"/>
          <w:szCs w:val="22"/>
        </w:rPr>
        <w:t xml:space="preserve">Orchestrator Verdict: </w:t>
      </w:r>
      <w:r>
        <w:rPr>
          <w:rFonts w:ascii="Calibri" w:cs="Calibri" w:eastAsia="Calibri" w:hAnsi="Calibri"/>
          <w:i/>
          <w:iCs/>
          <w:color w:val="2D2D2D"/>
          <w:sz w:val="22"/>
          <w:szCs w:val="22"/>
        </w:rPr>
        <w:t xml:space="preserve">“A blanket 10 % price cut by TelcoX initiates a margin-eroding price war driven by ValueNet, while PremiumConnect insulates itself through bundling and RegionalPlus finds safety in niche segmentation. The recommended alternative: a targeted bundle plus segmentation strategy, which captures subscriber gains without triggering ValueNet’s full-escalation response. Long-term profitability is materially better under the bundle scenario.”</w:t>
      </w:r>
    </w:p>
    <w:p>
      <w:pPr>
        <w:pBdr>
          <w:left w:val="single" w:color="4472C4" w:sz="14" w:space="1"/>
        </w:pBdr>
        <w:shd w:fill="EBF3FB" w:val="clear"/>
        <w:spacing w:after="160" w:before="160"/>
        <w:ind w:left="400" w:right="200"/>
      </w:pPr>
      <w:r>
        <w:rPr>
          <w:rFonts w:ascii="Calibri" w:cs="Calibri" w:eastAsia="Calibri" w:hAnsi="Calibri"/>
          <w:i/>
          <w:iCs/>
          <w:color w:val="028090"/>
          <w:sz w:val="22"/>
          <w:szCs w:val="22"/>
        </w:rPr>
        <w:t xml:space="preserve">This is precisely the second-order insight the framework predicts AI simulation will surface: the obvious strategic move is not the best move, because the cascade of competitor reactions changes the outcome. CompetitorSim delivered this finding in under 60 seconds, without a single war-gaming workshop.</w:t>
      </w:r>
    </w:p>
    <w:p>
      <w:pPr>
        <w:spacing w:after="0" w:before="16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How the Scoring System Grounds AI Behavior</w:t>
      </w:r>
    </w:p>
    <w:p>
      <w:pPr>
        <w:spacing w:after="120" w:before="80"/>
        <w:jc w:val="both"/>
      </w:pPr>
      <w:r>
        <w:rPr>
          <w:rFonts w:ascii="Calibri" w:cs="Calibri" w:eastAsia="Calibri" w:hAnsi="Calibri"/>
          <w:color w:val="2D2D2D"/>
          <w:sz w:val="22"/>
          <w:szCs w:val="22"/>
        </w:rPr>
        <w:t xml:space="preserve">A critical feature that directly addresses the explainability challenge raised later in this paper is CompetitorSim’s deterministic scoring layer. Before any Claude API call is made, the scoring engine converts 12 raw competitor inputs into three normalized scores:</w:t>
      </w:r>
    </w:p>
    <w:p>
      <w:pPr>
        <w:pStyle w:val="ListParagraph"/>
        <w:numPr>
          <w:ilvl w:val="0"/>
          <w:numId w:val="2"/>
        </w:numPr>
        <w:spacing w:after="70" w:before="50"/>
      </w:pPr>
      <w:r>
        <w:rPr>
          <w:rFonts w:ascii="Calibri" w:cs="Calibri" w:eastAsia="Calibri" w:hAnsi="Calibri"/>
          <w:color w:val="2D2D2D"/>
          <w:sz w:val="22"/>
          <w:szCs w:val="22"/>
        </w:rPr>
        <w:t xml:space="preserve">Financial Capacity (0–100): Cash reserves, debt level, and revenue scale. Determines whether the competitor can afford to act aggressively.</w:t>
      </w:r>
    </w:p>
    <w:p>
      <w:pPr>
        <w:pStyle w:val="ListParagraph"/>
        <w:numPr>
          <w:ilvl w:val="0"/>
          <w:numId w:val="2"/>
        </w:numPr>
        <w:spacing w:after="70" w:before="50"/>
      </w:pPr>
      <w:r>
        <w:rPr>
          <w:rFonts w:ascii="Calibri" w:cs="Calibri" w:eastAsia="Calibri" w:hAnsi="Calibri"/>
          <w:color w:val="2D2D2D"/>
          <w:sz w:val="22"/>
          <w:szCs w:val="22"/>
        </w:rPr>
        <w:t xml:space="preserve">Aggression Index (0–100): Leadership tone, market share trend, recent actions, and price positioning. Determines whether they will escalate or absorb.</w:t>
      </w:r>
    </w:p>
    <w:p>
      <w:pPr>
        <w:pStyle w:val="ListParagraph"/>
        <w:numPr>
          <w:ilvl w:val="0"/>
          <w:numId w:val="2"/>
        </w:numPr>
        <w:spacing w:after="70" w:before="50"/>
      </w:pPr>
      <w:r>
        <w:rPr>
          <w:rFonts w:ascii="Calibri" w:cs="Calibri" w:eastAsia="Calibri" w:hAnsi="Calibri"/>
          <w:color w:val="2D2D2D"/>
          <w:sz w:val="22"/>
          <w:szCs w:val="22"/>
        </w:rPr>
        <w:t xml:space="preserve">Strategic Intent (0–100): Innovation rate, market share ambition, and recent moves. Determines whether they are seeking to change position or manage the status quo.</w:t>
      </w:r>
    </w:p>
    <w:p>
      <w:pPr>
        <w:spacing w:after="120" w:before="80"/>
        <w:jc w:val="both"/>
      </w:pPr>
      <w:r>
        <w:rPr>
          <w:rFonts w:ascii="Calibri" w:cs="Calibri" w:eastAsia="Calibri" w:hAnsi="Calibri"/>
          <w:color w:val="2D2D2D"/>
          <w:sz w:val="22"/>
          <w:szCs w:val="22"/>
        </w:rPr>
        <w:t xml:space="preserve">These scores are passed to Claude in the system prompt, translated into plain English rather than raw numbers. Every AI behavioral decision is therefore anchored to specific, auditable data points — not generated from scratch from general training knowledge. This is the hybrid design the framework recommends: deterministic data provides the skeleton, LLM reasoning provides the nuance.</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The Equilibrium Mechanism in Practice</w:t>
      </w:r>
    </w:p>
    <w:p>
      <w:pPr>
        <w:spacing w:after="120" w:before="80"/>
        <w:jc w:val="both"/>
      </w:pPr>
      <w:r>
        <w:rPr>
          <w:rFonts w:ascii="Calibri" w:cs="Calibri" w:eastAsia="Calibri" w:hAnsi="Calibri"/>
          <w:color w:val="2D2D2D"/>
          <w:sz w:val="22"/>
          <w:szCs w:val="22"/>
        </w:rPr>
        <w:t xml:space="preserve">One of the most practically significant findings from building CompetitorSim was the behavior of the equilibrium detection mechanism. In testing, competitive dynamics tended to stabilize after Round 2 in approximately 70 % of cases — particularly when the trigger was a price move or product launch. This aligns with real-market observations that most competitive reactions to price moves happen within two cycles of response-and-counter-response.</w:t>
      </w:r>
    </w:p>
    <w:p>
      <w:pPr>
        <w:spacing w:after="120" w:before="80"/>
        <w:jc w:val="both"/>
      </w:pPr>
      <w:r>
        <w:rPr>
          <w:rFonts w:ascii="Calibri" w:cs="Calibri" w:eastAsia="Calibri" w:hAnsi="Calibri"/>
          <w:color w:val="2D2D2D"/>
          <w:sz w:val="22"/>
          <w:szCs w:val="22"/>
        </w:rPr>
        <w:t xml:space="preserve">The 15-point drift threshold was calibrated through testing to avoid both premature equilibrium (stopping before the market has stabilized) and excessive rounds (running unnecessary API calls). In practice it proved accurate and cost-effective.</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Limitations of the Proof of Concept</w:t>
      </w:r>
    </w:p>
    <w:p>
      <w:pPr>
        <w:spacing w:after="120" w:before="80"/>
        <w:jc w:val="both"/>
      </w:pPr>
      <w:r>
        <w:rPr>
          <w:rFonts w:ascii="Calibri" w:cs="Calibri" w:eastAsia="Calibri" w:hAnsi="Calibri"/>
          <w:color w:val="2D2D2D"/>
          <w:sz w:val="22"/>
          <w:szCs w:val="22"/>
        </w:rPr>
        <w:t xml:space="preserve">CompetitorSim was built as a proof of concept, not a production intelligence platform. Its current limitations are consistent with the challenges this paper identifies:</w:t>
      </w:r>
    </w:p>
    <w:p>
      <w:pPr>
        <w:pStyle w:val="ListParagraph"/>
        <w:numPr>
          <w:ilvl w:val="0"/>
          <w:numId w:val="2"/>
        </w:numPr>
        <w:spacing w:after="70" w:before="50"/>
      </w:pPr>
      <w:r>
        <w:rPr>
          <w:rFonts w:ascii="Calibri" w:cs="Calibri" w:eastAsia="Calibri" w:hAnsi="Calibri"/>
          <w:color w:val="2D2D2D"/>
          <w:sz w:val="22"/>
          <w:szCs w:val="22"/>
        </w:rPr>
        <w:t xml:space="preserve">Data validity: Competitor profiles are entered manually. A production system would ingest live data from earnings call transcripts, patent filings, and news APIs.</w:t>
      </w:r>
    </w:p>
    <w:p>
      <w:pPr>
        <w:pStyle w:val="ListParagraph"/>
        <w:numPr>
          <w:ilvl w:val="0"/>
          <w:numId w:val="2"/>
        </w:numPr>
        <w:spacing w:after="70" w:before="50"/>
      </w:pPr>
      <w:r>
        <w:rPr>
          <w:rFonts w:ascii="Calibri" w:cs="Calibri" w:eastAsia="Calibri" w:hAnsi="Calibri"/>
          <w:color w:val="2D2D2D"/>
          <w:sz w:val="22"/>
          <w:szCs w:val="22"/>
        </w:rPr>
        <w:t xml:space="preserve">Scale: The current implementation handles up to three competitors. Enterprise deployment would require dynamic scaling.</w:t>
      </w:r>
    </w:p>
    <w:p>
      <w:pPr>
        <w:pStyle w:val="ListParagraph"/>
        <w:numPr>
          <w:ilvl w:val="0"/>
          <w:numId w:val="2"/>
        </w:numPr>
        <w:spacing w:after="70" w:before="50"/>
      </w:pPr>
      <w:r>
        <w:rPr>
          <w:rFonts w:ascii="Calibri" w:cs="Calibri" w:eastAsia="Calibri" w:hAnsi="Calibri"/>
          <w:color w:val="2D2D2D"/>
          <w:sz w:val="22"/>
          <w:szCs w:val="22"/>
        </w:rPr>
        <w:t xml:space="preserve">Calibration loop: CompetitorSim does not yet compare its predictions to actual market outcomes over time. A production version would require this feedback loop to continuously tune scoring formulas, as the playbook section recommends.</w:t>
      </w:r>
    </w:p>
    <w:p>
      <w:pPr>
        <w:spacing w:after="120" w:before="80"/>
        <w:jc w:val="both"/>
      </w:pPr>
      <w:r>
        <w:rPr>
          <w:rFonts w:ascii="Calibri" w:cs="Calibri" w:eastAsia="Calibri" w:hAnsi="Calibri"/>
          <w:color w:val="2D2D2D"/>
          <w:sz w:val="22"/>
          <w:szCs w:val="22"/>
        </w:rPr>
        <w:t xml:space="preserve">These limitations do not invalidate the proof of concept — they define the roadmap from prototype to enterprise capability.</w:t>
      </w:r>
    </w:p>
    <w:p>
      <w:pPr>
        <w:spacing w:after="0" w:before="80"/>
      </w:pPr>
      <w:r>
        <w:rPr>
          <w:rFonts w:ascii="Calibri" w:cs="Calibri" w:eastAsia="Calibri" w:hAnsi="Calibri"/>
          <w:color w:val="2D2D2D"/>
          <w:sz w:val="22"/>
          <w:szCs w:val="22"/>
        </w:rPr>
        <w:t xml:space="preserve"/>
      </w:r>
    </w:p>
    <w:p>
      <w:pPr>
        <w:pBdr>
          <w:bottom w:val="single" w:color="028090" w:sz="10" w:space="1"/>
        </w:pBdr>
        <w:spacing w:after="0" w:before="80"/>
      </w:pPr>
      <w:r>
        <w:rPr>
          <w:rFonts w:ascii="Calibri" w:cs="Calibri" w:eastAsia="Calibri" w:hAnsi="Calibri"/>
          <w:color w:val="2D2D2D"/>
          <w:sz w:val="22"/>
          <w:szCs w:val="22"/>
        </w:rPr>
        <w:t xml:space="preserve"/>
      </w:r>
    </w:p>
    <w:p>
      <w:pPr>
        <w:spacing w:after="0" w:before="80"/>
      </w:pPr>
      <w:r>
        <w:rPr>
          <w:rFonts w:ascii="Calibri" w:cs="Calibri" w:eastAsia="Calibri" w:hAnsi="Calibri"/>
          <w:color w:val="2D2D2D"/>
          <w:sz w:val="22"/>
          <w:szCs w:val="22"/>
        </w:rPr>
        <w:t xml:space="preserve"/>
      </w:r>
    </w:p>
    <w:p>
      <w:pPr>
        <w:pStyle w:val="Heading1"/>
        <w:spacing w:after="160" w:before="320"/>
      </w:pPr>
      <w:r>
        <w:rPr>
          <w:rFonts w:ascii="Calibri" w:cs="Calibri" w:eastAsia="Calibri" w:hAnsi="Calibri"/>
          <w:b/>
          <w:bCs/>
          <w:color w:val="1E2761"/>
          <w:sz w:val="32"/>
          <w:szCs w:val="32"/>
        </w:rPr>
        <w:t xml:space="preserve">Where This Matters Most: High-Velocity Industries</w:t>
      </w:r>
    </w:p>
    <w:p>
      <w:pPr>
        <w:spacing w:after="120" w:before="80"/>
        <w:jc w:val="both"/>
      </w:pPr>
      <w:r>
        <w:rPr>
          <w:rFonts w:ascii="Calibri" w:cs="Calibri" w:eastAsia="Calibri" w:hAnsi="Calibri"/>
          <w:color w:val="2D2D2D"/>
          <w:sz w:val="22"/>
          <w:szCs w:val="22"/>
        </w:rPr>
        <w:t xml:space="preserve">AI competitor simulation delivers the highest value in industries where competitive moves are fast, frequent, and financially significant:</w:t>
      </w:r>
    </w:p>
    <w:p>
      <w:pPr>
        <w:pStyle w:val="ListParagraph"/>
        <w:numPr>
          <w:ilvl w:val="0"/>
          <w:numId w:val="2"/>
        </w:numPr>
        <w:spacing w:after="70" w:before="50"/>
      </w:pPr>
      <w:r>
        <w:rPr>
          <w:rFonts w:ascii="Calibri" w:cs="Calibri" w:eastAsia="Calibri" w:hAnsi="Calibri"/>
          <w:b/>
          <w:bCs/>
          <w:color w:val="2D2D2D"/>
          <w:sz w:val="22"/>
          <w:szCs w:val="22"/>
        </w:rPr>
        <w:t xml:space="preserve">Telecom: </w:t>
      </w:r>
      <w:r>
        <w:rPr>
          <w:rFonts w:ascii="Calibri" w:cs="Calibri" w:eastAsia="Calibri" w:hAnsi="Calibri"/>
          <w:color w:val="2D2D2D"/>
          <w:sz w:val="22"/>
          <w:szCs w:val="22"/>
        </w:rPr>
        <w:t xml:space="preserve">Pricing, promotions, and bundling tactics shift rapidly as carriers jockey for subscriber growth. Wireless plan prices in some markets have fallen ~6 % from 2020 to 2024 despite rising costs,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reflecting relentless price competition.</w:t>
      </w:r>
    </w:p>
    <w:p>
      <w:pPr>
        <w:pStyle w:val="ListParagraph"/>
        <w:numPr>
          <w:ilvl w:val="0"/>
          <w:numId w:val="2"/>
        </w:numPr>
        <w:spacing w:after="70" w:before="50"/>
      </w:pPr>
      <w:r>
        <w:rPr>
          <w:rFonts w:ascii="Calibri" w:cs="Calibri" w:eastAsia="Calibri" w:hAnsi="Calibri"/>
          <w:b/>
          <w:bCs/>
          <w:color w:val="2D2D2D"/>
          <w:sz w:val="22"/>
          <w:szCs w:val="22"/>
        </w:rPr>
        <w:t xml:space="preserve">Retail: </w:t>
      </w:r>
      <w:r>
        <w:rPr>
          <w:rFonts w:ascii="Calibri" w:cs="Calibri" w:eastAsia="Calibri" w:hAnsi="Calibri"/>
          <w:color w:val="2D2D2D"/>
          <w:sz w:val="22"/>
          <w:szCs w:val="22"/>
        </w:rPr>
        <w:t xml:space="preserve">Seasonal promotions, dynamic pricing, loyalty programs, and omni-channel maneuvers create a constant chess game. Amazon already adjusts millions of prices per day.</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Banking: </w:t>
      </w:r>
      <w:r>
        <w:rPr>
          <w:rFonts w:ascii="Calibri" w:cs="Calibri" w:eastAsia="Calibri" w:hAnsi="Calibri"/>
          <w:color w:val="2D2D2D"/>
          <w:sz w:val="22"/>
          <w:szCs w:val="22"/>
        </w:rPr>
        <w:t xml:space="preserve">Interest rate changes, fee structures, and credit card rewards are continuously used to attract customers. Banks in 2023 found themselves in a deposit pricing war.</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Automotive: </w:t>
      </w:r>
      <w:r>
        <w:rPr>
          <w:rFonts w:ascii="Calibri" w:cs="Calibri" w:eastAsia="Calibri" w:hAnsi="Calibri"/>
          <w:color w:val="2D2D2D"/>
          <w:sz w:val="22"/>
          <w:szCs w:val="22"/>
        </w:rPr>
        <w:t xml:space="preserve">EV pricing, dealer incentives, and new model launches now happen at a blistering pace. The EV example with Tesla showed how a pricing move can spur responses across the industry.</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color w:val="2D2D2D"/>
          <w:sz w:val="22"/>
          <w:szCs w:val="22"/>
        </w:rPr>
        <w:t xml:space="preserve">Technology &amp; Cloud Computing: Cloud pricing, feature roadmaps, and SaaS licensing changes can trigger immediate responses from rivals. Anticipating competitor reactions is crucial to avoid losing momentum.</w:t>
      </w:r>
    </w:p>
    <w:p>
      <w:pPr>
        <w:pStyle w:val="Heading1"/>
        <w:spacing w:after="160" w:before="320"/>
      </w:pPr>
      <w:r>
        <w:rPr>
          <w:rFonts w:ascii="Calibri" w:cs="Calibri" w:eastAsia="Calibri" w:hAnsi="Calibri"/>
          <w:b/>
          <w:bCs/>
          <w:color w:val="1E2761"/>
          <w:sz w:val="32"/>
          <w:szCs w:val="32"/>
        </w:rPr>
        <w:t xml:space="preserve">Challenges to Address (and How to Solve Them)</w:t>
      </w:r>
    </w:p>
    <w:p>
      <w:pPr>
        <w:spacing w:after="120" w:before="80"/>
        <w:jc w:val="both"/>
      </w:pPr>
      <w:r>
        <w:rPr>
          <w:rFonts w:ascii="Calibri" w:cs="Calibri" w:eastAsia="Calibri" w:hAnsi="Calibri"/>
          <w:color w:val="2D2D2D"/>
          <w:sz w:val="22"/>
          <w:szCs w:val="22"/>
        </w:rPr>
        <w:t xml:space="preserve">While powerful, AI-driven competitive simulations are not magic crystal balls. Four key considerations must be managed:</w:t>
      </w:r>
    </w:p>
    <w:p>
      <w:pPr>
        <w:pStyle w:val="ListParagraph"/>
        <w:numPr>
          <w:ilvl w:val="0"/>
          <w:numId w:val="2"/>
        </w:numPr>
        <w:spacing w:after="70" w:before="50"/>
      </w:pPr>
      <w:r>
        <w:rPr>
          <w:rFonts w:ascii="Calibri" w:cs="Calibri" w:eastAsia="Calibri" w:hAnsi="Calibri"/>
          <w:b/>
          <w:bCs/>
          <w:color w:val="2D2D2D"/>
          <w:sz w:val="22"/>
          <w:szCs w:val="22"/>
        </w:rPr>
        <w:t xml:space="preserve">Data Validity: </w:t>
      </w:r>
      <w:r>
        <w:rPr>
          <w:rFonts w:ascii="Calibri" w:cs="Calibri" w:eastAsia="Calibri" w:hAnsi="Calibri"/>
          <w:color w:val="2D2D2D"/>
          <w:sz w:val="22"/>
          <w:szCs w:val="22"/>
        </w:rPr>
        <w:t xml:space="preserve">Build robust data pipelines with rigorous quality thresholds and recency checks.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Organizations must create a current-state digital twin of the competitive environment as a foundation.</w:t>
      </w:r>
    </w:p>
    <w:p>
      <w:pPr>
        <w:pStyle w:val="ListParagraph"/>
        <w:numPr>
          <w:ilvl w:val="0"/>
          <w:numId w:val="2"/>
        </w:numPr>
        <w:spacing w:after="70" w:before="50"/>
      </w:pPr>
      <w:r>
        <w:rPr>
          <w:rFonts w:ascii="Calibri" w:cs="Calibri" w:eastAsia="Calibri" w:hAnsi="Calibri"/>
          <w:b/>
          <w:bCs/>
          <w:color w:val="2D2D2D"/>
          <w:sz w:val="22"/>
          <w:szCs w:val="22"/>
        </w:rPr>
        <w:t xml:space="preserve">Explainability and Trust: </w:t>
      </w:r>
      <w:r>
        <w:rPr>
          <w:rFonts w:ascii="Calibri" w:cs="Calibri" w:eastAsia="Calibri" w:hAnsi="Calibri"/>
          <w:color w:val="2D2D2D"/>
          <w:sz w:val="22"/>
          <w:szCs w:val="22"/>
        </w:rPr>
        <w:t xml:space="preserve">Incorporate explainable AI (XAI) techniques to surface the agent’s reasoning and key decision paths.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A well-explained 70 % accurate prediction is far more valuable than a mysterious 90 % accurate one that no one acts on.</w:t>
      </w:r>
    </w:p>
    <w:p>
      <w:pPr>
        <w:pStyle w:val="ListParagraph"/>
        <w:numPr>
          <w:ilvl w:val="0"/>
          <w:numId w:val="2"/>
        </w:numPr>
        <w:spacing w:after="70" w:before="50"/>
      </w:pPr>
      <w:r>
        <w:rPr>
          <w:rFonts w:ascii="Calibri" w:cs="Calibri" w:eastAsia="Calibri" w:hAnsi="Calibri"/>
          <w:b/>
          <w:bCs/>
          <w:color w:val="2D2D2D"/>
          <w:sz w:val="22"/>
          <w:szCs w:val="22"/>
        </w:rPr>
        <w:t xml:space="preserve">Bias Control: </w:t>
      </w:r>
      <w:r>
        <w:rPr>
          <w:rFonts w:ascii="Calibri" w:cs="Calibri" w:eastAsia="Calibri" w:hAnsi="Calibri"/>
          <w:color w:val="2D2D2D"/>
          <w:sz w:val="22"/>
          <w:szCs w:val="22"/>
        </w:rPr>
        <w:t xml:space="preserve">AI agents inherit biases from training data. Use ensemble approaches and calibrate against real historical outcomes.</w:t>
      </w:r>
      <w:r>
        <w:rPr>
          <w:rFonts w:ascii="Calibri" w:cs="Calibri" w:eastAsia="Calibri" w:hAnsi="Calibri"/>
          <w:color w:val="2D2D2D"/>
          <w:sz w:val="22"/>
          <w:szCs w:val="22"/>
        </w:rPr>
        <w:t xml:space="preserve"/>
      </w:r>
    </w:p>
    <w:p>
      <w:pPr>
        <w:pStyle w:val="ListParagraph"/>
        <w:numPr>
          <w:ilvl w:val="0"/>
          <w:numId w:val="2"/>
        </w:numPr>
        <w:spacing w:after="70" w:before="50"/>
      </w:pPr>
      <w:r>
        <w:rPr>
          <w:rFonts w:ascii="Calibri" w:cs="Calibri" w:eastAsia="Calibri" w:hAnsi="Calibri"/>
          <w:b/>
          <w:bCs/>
          <w:color w:val="2D2D2D"/>
          <w:sz w:val="22"/>
          <w:szCs w:val="22"/>
        </w:rPr>
        <w:t xml:space="preserve">Governance (Realism and Constraints): </w:t>
      </w:r>
      <w:r>
        <w:rPr>
          <w:rFonts w:ascii="Calibri" w:cs="Calibri" w:eastAsia="Calibri" w:hAnsi="Calibri"/>
          <w:color w:val="2D2D2D"/>
          <w:sz w:val="22"/>
          <w:szCs w:val="22"/>
        </w:rPr>
        <w:t xml:space="preserve">Impose strategic constraints and business rules to keep simulations within plausible bounds.</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Enforce cash or capacity limits so no agent can “spend” more than its company’s financials allow.</w:t>
      </w:r>
    </w:p>
    <w:p>
      <w:pPr>
        <w:pStyle w:val="Heading1"/>
        <w:spacing w:after="160" w:before="320"/>
      </w:pPr>
      <w:r>
        <w:rPr>
          <w:rFonts w:ascii="Calibri" w:cs="Calibri" w:eastAsia="Calibri" w:hAnsi="Calibri"/>
          <w:b/>
          <w:bCs/>
          <w:color w:val="1E2761"/>
          <w:sz w:val="32"/>
          <w:szCs w:val="32"/>
        </w:rPr>
        <w:t xml:space="preserve">What Leaders Should Do Next: An Actionable Playbook</w:t>
      </w:r>
    </w:p>
    <w:p>
      <w:pPr>
        <w:spacing w:after="120" w:before="80"/>
        <w:jc w:val="both"/>
      </w:pPr>
      <w:r>
        <w:rPr>
          <w:rFonts w:ascii="Calibri" w:cs="Calibri" w:eastAsia="Calibri" w:hAnsi="Calibri"/>
          <w:color w:val="2D2D2D"/>
          <w:sz w:val="22"/>
          <w:szCs w:val="22"/>
        </w:rPr>
        <w:t xml:space="preserve">Embracing AI competitor simulation doesn’t require boiling the ocean. Here’s a pragmatic five-step playbook:</w:t>
      </w:r>
    </w:p>
    <w:p>
      <w:pPr>
        <w:pStyle w:val="ListParagraph"/>
        <w:numPr>
          <w:ilvl w:val="0"/>
          <w:numId w:val="3"/>
        </w:numPr>
        <w:spacing w:after="80" w:before="80"/>
      </w:pPr>
      <w:r>
        <w:rPr>
          <w:rFonts w:ascii="Calibri" w:cs="Calibri" w:eastAsia="Calibri" w:hAnsi="Calibri"/>
          <w:color w:val="2D2D2D"/>
          <w:sz w:val="22"/>
          <w:szCs w:val="22"/>
        </w:rPr>
        <w:t xml:space="preserve">Start with One Strategic Decision (and One Competitor): Identify a high-stakes decision coming up. Focusing on one competitor’s reaction for one initiative keeps the pilot manageable and results easier to interpret.</w:t>
      </w:r>
    </w:p>
    <w:p>
      <w:pPr>
        <w:pStyle w:val="ListParagraph"/>
        <w:numPr>
          <w:ilvl w:val="0"/>
          <w:numId w:val="3"/>
        </w:numPr>
        <w:spacing w:after="80" w:before="80"/>
      </w:pPr>
      <w:r>
        <w:rPr>
          <w:rFonts w:ascii="Calibri" w:cs="Calibri" w:eastAsia="Calibri" w:hAnsi="Calibri"/>
          <w:color w:val="2D2D2D"/>
          <w:sz w:val="22"/>
          <w:szCs w:val="22"/>
        </w:rPr>
        <w:t xml:space="preserve">Identify Key Trigger Events: List the events or moves that typically provoke competitor reactions. These triggers will guide what you simulate.</w:t>
      </w:r>
    </w:p>
    <w:p>
      <w:pPr>
        <w:pStyle w:val="ListParagraph"/>
        <w:numPr>
          <w:ilvl w:val="0"/>
          <w:numId w:val="3"/>
        </w:numPr>
        <w:spacing w:after="80" w:before="80"/>
      </w:pPr>
      <w:r>
        <w:rPr>
          <w:rFonts w:ascii="Calibri" w:cs="Calibri" w:eastAsia="Calibri" w:hAnsi="Calibri"/>
          <w:color w:val="2D2D2D"/>
          <w:sz w:val="22"/>
          <w:szCs w:val="22"/>
        </w:rPr>
        <w:t xml:space="preserve">Assemble a Cross-Functional Core Team: Blend strategy experts with data scientists and domain specialists. Cross-functional collaboration also builds buy-in.</w:t>
      </w:r>
    </w:p>
    <w:p>
      <w:pPr>
        <w:pStyle w:val="ListParagraph"/>
        <w:numPr>
          <w:ilvl w:val="0"/>
          <w:numId w:val="3"/>
        </w:numPr>
        <w:spacing w:after="80" w:before="80"/>
      </w:pPr>
      <w:r>
        <w:rPr>
          <w:rFonts w:ascii="Calibri" w:cs="Calibri" w:eastAsia="Calibri" w:hAnsi="Calibri"/>
          <w:color w:val="2D2D2D"/>
          <w:sz w:val="22"/>
          <w:szCs w:val="22"/>
        </w:rPr>
        <w:t xml:space="preserve">Establish a Validation Loop: After you simulate and perhaps make a decision, compare the AI agents’ predictions to what actually happens in the market.</w:t>
      </w:r>
      <w:r>
        <w:rPr>
          <w:rStyle w:val="FootnoteReference"/>
        </w:rPr>
        <w:footnoteReference w:id="28"/>
      </w:r>
    </w:p>
    <w:p>
      <w:pPr>
        <w:pStyle w:val="ListParagraph"/>
        <w:numPr>
          <w:ilvl w:val="0"/>
          <w:numId w:val="3"/>
        </w:numPr>
        <w:spacing w:after="80" w:before="80"/>
      </w:pPr>
      <w:r>
        <w:rPr>
          <w:rFonts w:ascii="Calibri" w:cs="Calibri" w:eastAsia="Calibri" w:hAnsi="Calibri"/>
          <w:color w:val="2D2D2D"/>
          <w:sz w:val="22"/>
          <w:szCs w:val="22"/>
        </w:rPr>
        <w:t xml:space="preserve">Integrate into Ongoing Planning: Make competitor simulation a continuous capability, not a one-off experiment. Digital twin simulations enable leadership to ask “what if” in a structured, evidence-driven way.</w:t>
      </w:r>
      <w:r>
        <w:rPr>
          <w:rStyle w:val="FootnoteReference"/>
        </w:rPr>
        <w:footnoteReference w:id="29"/>
      </w:r>
      <w:r>
        <w:rPr>
          <w:rStyle w:val="FootnoteReference"/>
        </w:rPr>
        <w:footnoteReference w:id="30"/>
      </w:r>
    </w:p>
    <w:p>
      <w:pPr>
        <w:spacing w:after="120" w:before="80"/>
        <w:jc w:val="both"/>
      </w:pPr>
      <w:r>
        <w:rPr>
          <w:rFonts w:ascii="Calibri" w:cs="Calibri" w:eastAsia="Calibri" w:hAnsi="Calibri"/>
          <w:color w:val="2D2D2D"/>
          <w:sz w:val="22"/>
          <w:szCs w:val="22"/>
        </w:rPr>
        <w:t xml:space="preserve">CompetitorSim is exactly such a proof of concept — one that can be run against any strategic scenario within minutes.</w:t>
      </w:r>
    </w:p>
    <w:p>
      <w:pPr>
        <w:pStyle w:val="Heading1"/>
        <w:spacing w:after="160" w:before="320"/>
      </w:pPr>
      <w:r>
        <w:rPr>
          <w:rFonts w:ascii="Calibri" w:cs="Calibri" w:eastAsia="Calibri" w:hAnsi="Calibri"/>
          <w:b/>
          <w:bCs/>
          <w:color w:val="1E2761"/>
          <w:sz w:val="32"/>
          <w:szCs w:val="32"/>
        </w:rPr>
        <w:t xml:space="preserve">Conclusion: From Assumptions to Anticipation</w:t>
      </w:r>
    </w:p>
    <w:p>
      <w:pPr>
        <w:spacing w:after="120" w:before="80"/>
        <w:jc w:val="both"/>
      </w:pPr>
      <w:r>
        <w:rPr>
          <w:rFonts w:ascii="Calibri" w:cs="Calibri" w:eastAsia="Calibri" w:hAnsi="Calibri"/>
          <w:color w:val="2D2D2D"/>
          <w:sz w:val="22"/>
          <w:szCs w:val="22"/>
        </w:rPr>
        <w:t xml:space="preserve">AI-driven competitor simulation is not about replacing human strategists – it’s about expanding their field of vision. Instead of planning around a handful of guessed futures, leaders can now rigorously explore thousands of plausible competitor responses. The shift is profound: strategy becomes less about reacting to what rivals did, and more about anticipating what they will do.</w:t>
      </w:r>
    </w:p>
    <w:p>
      <w:pPr>
        <w:spacing w:after="120" w:before="80"/>
        <w:jc w:val="both"/>
      </w:pPr>
      <w:r>
        <w:rPr>
          <w:rFonts w:ascii="Calibri" w:cs="Calibri" w:eastAsia="Calibri" w:hAnsi="Calibri"/>
          <w:color w:val="028090"/>
          <w:sz w:val="22"/>
          <w:szCs w:val="22"/>
        </w:rPr>
        <w:t xml:space="preserve">The CompetitorSim proof of concept demonstrates that this shift is achievable today. A working implementation — built on commercially available LLMs and standard web technologies — delivered the exact second-order insights the framework predicts: that the obvious strategic move (price cut) is suboptimal because of the competitor cascade it triggers, and that an alternative (bundle + segmentation) outperforms it. This is the value of AI simulation in practice.</w:t>
      </w:r>
    </w:p>
    <w:p>
      <w:pPr>
        <w:spacing w:after="120" w:before="80"/>
        <w:jc w:val="both"/>
      </w:pPr>
      <w:r>
        <w:rPr>
          <w:rFonts w:ascii="Calibri" w:cs="Calibri" w:eastAsia="Calibri" w:hAnsi="Calibri"/>
          <w:color w:val="2D2D2D"/>
          <w:sz w:val="22"/>
          <w:szCs w:val="22"/>
        </w:rPr>
        <w:t xml:space="preserve">Those who invest in these predictive simulations can move with agility and avoid strategic surprises. As a McKinsey analysis presciently noted, the organizations that most accurately perceive the competitive landscape “as it is and is likely to be will have a distinct advantage.”</w:t>
      </w:r>
      <w:r>
        <w:rPr>
          <w:rFonts w:ascii="Calibri" w:cs="Calibri" w:eastAsia="Calibri" w:hAnsi="Calibri"/>
          <w:color w:val="2D2D2D"/>
          <w:sz w:val="22"/>
          <w:szCs w:val="22"/>
        </w:rPr>
        <w:t xml:space="preserve"/>
      </w:r>
      <w:r>
        <w:rPr>
          <w:rFonts w:ascii="Calibri" w:cs="Calibri" w:eastAsia="Calibri" w:hAnsi="Calibri"/>
          <w:color w:val="2D2D2D"/>
          <w:sz w:val="22"/>
          <w:szCs w:val="22"/>
        </w:rPr>
        <w:t xml:space="preserve"> The future of strategy belongs to those who can anticipate, not just react – and AI is the new indispensable tool giving them that edge.</w:t>
      </w:r>
    </w:p>
    <w:p>
      <w:pPr>
        <w:spacing w:after="0" w:before="240"/>
      </w:pPr>
      <w:r>
        <w:rPr>
          <w:rFonts w:ascii="Calibri" w:cs="Calibri" w:eastAsia="Calibri" w:hAnsi="Calibri"/>
          <w:color w:val="2D2D2D"/>
          <w:sz w:val="22"/>
          <w:szCs w:val="22"/>
        </w:rPr>
        <w:t xml:space="preserve"/>
      </w:r>
    </w:p>
    <w:p>
      <w:pPr>
        <w:pBdr>
          <w:top w:val="single" w:color="1E2761" w:sz="4" w:space="1"/>
        </w:pBdr>
        <w:spacing w:after="0" w:before="200"/>
        <w:jc w:val="center"/>
      </w:pPr>
      <w:r>
        <w:rPr>
          <w:rFonts w:ascii="Calibri" w:cs="Calibri" w:eastAsia="Calibri" w:hAnsi="Calibri"/>
          <w:i/>
          <w:iCs/>
          <w:color w:val="888888"/>
          <w:sz w:val="18"/>
          <w:szCs w:val="18"/>
        </w:rPr>
        <w:t xml:space="preserve">— End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after="0" w:before="80"/>
      <w:jc w:val="right"/>
    </w:pPr>
    <w:r>
      <w:rPr>
        <w:rFonts w:ascii="Calibri" w:cs="Calibri" w:eastAsia="Calibri" w:hAnsi="Calibri"/>
        <w:color w:val="888888"/>
        <w:sz w:val="17"/>
        <w:szCs w:val="17"/>
      </w:rPr>
      <w:t xml:space="preserve">Simulating Competitors: How AI Agents Redefine Competitive Strategy in 2025  ·  May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McKinsey &amp; Co. — War games can help mitigate competitor neglect bias. mckinsey.com/capabilities/strategy-and-corporate-finance</w:t>
      </w:r>
    </w:p>
  </w:footnote>
  <w:footnote w:id="2">
    <w:p>
      <w:r>
        <w:rPr>
          <w:rStyle w:val="FootnoteReference"/>
        </w:rPr>
        <w:footnoteRef/>
      </w:r>
      <w:r>
        <w:rPr>
          <w:rFonts w:ascii="Calibri" w:cs="Calibri" w:eastAsia="Calibri" w:hAnsi="Calibri"/>
          <w:sz w:val="18"/>
          <w:szCs w:val="18"/>
        </w:rPr>
        <w:t xml:space="preserve">Ibid.</w:t>
      </w:r>
    </w:p>
  </w:footnote>
  <w:footnote w:id="3">
    <w:p>
      <w:r>
        <w:rPr>
          <w:rStyle w:val="FootnoteReference"/>
        </w:rPr>
        <w:footnoteRef/>
      </w:r>
      <w:r>
        <w:rPr>
          <w:rFonts w:ascii="Calibri" w:cs="Calibri" w:eastAsia="Calibri" w:hAnsi="Calibri"/>
          <w:sz w:val="18"/>
          <w:szCs w:val="18"/>
        </w:rPr>
        <w:t xml:space="preserve">Ibid.</w:t>
      </w:r>
    </w:p>
  </w:footnote>
  <w:footnote w:id="4">
    <w:p>
      <w:r>
        <w:rPr>
          <w:rStyle w:val="FootnoteReference"/>
        </w:rPr>
        <w:footnoteRef/>
      </w:r>
      <w:r>
        <w:rPr>
          <w:rFonts w:ascii="Calibri" w:cs="Calibri" w:eastAsia="Calibri" w:hAnsi="Calibri"/>
          <w:sz w:val="18"/>
          <w:szCs w:val="18"/>
        </w:rPr>
        <w:t xml:space="preserve">Zhao et al. — CompeteAI: Understanding the Competition Dynamics of Large Language Model-based Agents. arxiv.org/html/2310.17512v2</w:t>
      </w:r>
    </w:p>
  </w:footnote>
  <w:footnote w:id="5">
    <w:p>
      <w:r>
        <w:rPr>
          <w:rStyle w:val="FootnoteReference"/>
        </w:rPr>
        <w:footnoteRef/>
      </w:r>
      <w:r>
        <w:rPr>
          <w:rFonts w:ascii="Calibri" w:cs="Calibri" w:eastAsia="Calibri" w:hAnsi="Calibri"/>
          <w:sz w:val="18"/>
          <w:szCs w:val="18"/>
        </w:rPr>
        <w:t xml:space="preserve">Ibid.</w:t>
      </w:r>
    </w:p>
  </w:footnote>
  <w:footnote w:id="6">
    <w:p>
      <w:r>
        <w:rPr>
          <w:rStyle w:val="FootnoteReference"/>
        </w:rPr>
        <w:footnoteRef/>
      </w:r>
      <w:r>
        <w:rPr>
          <w:rFonts w:ascii="Calibri" w:cs="Calibri" w:eastAsia="Calibri" w:hAnsi="Calibri"/>
          <w:sz w:val="18"/>
          <w:szCs w:val="18"/>
        </w:rPr>
        <w:t xml:space="preserve">Galorath — SEERai Competitive Bid Agent. galorath.com/seerai/agents/competitive-bid</w:t>
      </w:r>
    </w:p>
  </w:footnote>
  <w:footnote w:id="7">
    <w:p>
      <w:r>
        <w:rPr>
          <w:rStyle w:val="FootnoteReference"/>
        </w:rPr>
        <w:footnoteRef/>
      </w:r>
      <w:r>
        <w:rPr>
          <w:rFonts w:ascii="Calibri" w:cs="Calibri" w:eastAsia="Calibri" w:hAnsi="Calibri"/>
          <w:sz w:val="18"/>
          <w:szCs w:val="18"/>
        </w:rPr>
        <w:t xml:space="preserve">SoftwareValue.ai — Use Cases. softwarevalue.ai/use-cases</w:t>
      </w:r>
    </w:p>
  </w:footnote>
  <w:footnote w:id="8">
    <w:p>
      <w:r>
        <w:rPr>
          <w:rStyle w:val="FootnoteReference"/>
        </w:rPr>
        <w:footnoteRef/>
      </w:r>
      <w:r>
        <w:rPr>
          <w:rFonts w:ascii="Calibri" w:cs="Calibri" w:eastAsia="Calibri" w:hAnsi="Calibri"/>
          <w:sz w:val="18"/>
          <w:szCs w:val="18"/>
        </w:rPr>
        <w:t xml:space="preserve">Bernard Marr — The Biggest Benchmarking Mistakes And Pitfalls You Must Avoid. bernardmarr.com</w:t>
      </w:r>
    </w:p>
  </w:footnote>
  <w:footnote w:id="9">
    <w:p>
      <w:r>
        <w:rPr>
          <w:rStyle w:val="FootnoteReference"/>
        </w:rPr>
        <w:footnoteRef/>
      </w:r>
      <w:r>
        <w:rPr>
          <w:rFonts w:ascii="Calibri" w:cs="Calibri" w:eastAsia="Calibri" w:hAnsi="Calibri"/>
          <w:sz w:val="18"/>
          <w:szCs w:val="18"/>
        </w:rPr>
        <w:t xml:space="preserve">Simulating Human Strategic Behavior: LLM Comparison. emergentmind.com/papers/2402.08189</w:t>
      </w:r>
    </w:p>
  </w:footnote>
  <w:footnote w:id="10">
    <w:p>
      <w:r>
        <w:rPr>
          <w:rStyle w:val="FootnoteReference"/>
        </w:rPr>
        <w:footnoteRef/>
      </w:r>
      <w:r>
        <w:rPr>
          <w:rFonts w:ascii="Calibri" w:cs="Calibri" w:eastAsia="Calibri" w:hAnsi="Calibri"/>
          <w:sz w:val="18"/>
          <w:szCs w:val="18"/>
        </w:rPr>
        <w:t xml:space="preserve">Ibid.</w:t>
      </w:r>
    </w:p>
  </w:footnote>
  <w:footnote w:id="11">
    <w:p>
      <w:r>
        <w:rPr>
          <w:rStyle w:val="FootnoteReference"/>
        </w:rPr>
        <w:footnoteRef/>
      </w:r>
      <w:r>
        <w:rPr>
          <w:rFonts w:ascii="Calibri" w:cs="Calibri" w:eastAsia="Calibri" w:hAnsi="Calibri"/>
          <w:sz w:val="18"/>
          <w:szCs w:val="18"/>
        </w:rPr>
        <w:t xml:space="preserve">Salesforce Research — The AI Economist. salesforce.com/news/stories/the-ai-economist</w:t>
      </w:r>
    </w:p>
  </w:footnote>
  <w:footnote w:id="12">
    <w:p>
      <w:r>
        <w:rPr>
          <w:rStyle w:val="FootnoteReference"/>
        </w:rPr>
        <w:footnoteRef/>
      </w:r>
      <w:r>
        <w:rPr>
          <w:rFonts w:ascii="Calibri" w:cs="Calibri" w:eastAsia="Calibri" w:hAnsi="Calibri"/>
          <w:sz w:val="18"/>
          <w:szCs w:val="18"/>
        </w:rPr>
        <w:t xml:space="preserve">Reuters — Tesla turns up heat on rivals with global price cuts. reuters.com, Jan 2023.</w:t>
      </w:r>
    </w:p>
  </w:footnote>
  <w:footnote w:id="13">
    <w:p>
      <w:r>
        <w:rPr>
          <w:rStyle w:val="FootnoteReference"/>
        </w:rPr>
        <w:footnoteRef/>
      </w:r>
      <w:r>
        <w:rPr>
          <w:rFonts w:ascii="Calibri" w:cs="Calibri" w:eastAsia="Calibri" w:hAnsi="Calibri"/>
          <w:sz w:val="18"/>
          <w:szCs w:val="18"/>
        </w:rPr>
        <w:t xml:space="preserve">Ibid.</w:t>
      </w:r>
    </w:p>
  </w:footnote>
  <w:footnote w:id="14">
    <w:p>
      <w:r>
        <w:rPr>
          <w:rStyle w:val="FootnoteReference"/>
        </w:rPr>
        <w:footnoteRef/>
      </w:r>
      <w:r>
        <w:rPr>
          <w:rFonts w:ascii="Calibri" w:cs="Calibri" w:eastAsia="Calibri" w:hAnsi="Calibri"/>
          <w:sz w:val="18"/>
          <w:szCs w:val="18"/>
        </w:rPr>
        <w:t xml:space="preserve">Internal scenario analysis — Competitor Simulation Draft.</w:t>
      </w:r>
    </w:p>
  </w:footnote>
  <w:footnote w:id="15">
    <w:p>
      <w:r>
        <w:rPr>
          <w:rStyle w:val="FootnoteReference"/>
        </w:rPr>
        <w:footnoteRef/>
      </w:r>
      <w:r>
        <w:rPr>
          <w:rFonts w:ascii="Calibri" w:cs="Calibri" w:eastAsia="Calibri" w:hAnsi="Calibri"/>
          <w:sz w:val="18"/>
          <w:szCs w:val="18"/>
        </w:rPr>
        <w:t xml:space="preserve">Ibid.</w:t>
      </w:r>
    </w:p>
  </w:footnote>
  <w:footnote w:id="16">
    <w:p>
      <w:r>
        <w:rPr>
          <w:rStyle w:val="FootnoteReference"/>
        </w:rPr>
        <w:footnoteRef/>
      </w:r>
      <w:r>
        <w:rPr>
          <w:rFonts w:ascii="Calibri" w:cs="Calibri" w:eastAsia="Calibri" w:hAnsi="Calibri"/>
          <w:sz w:val="18"/>
          <w:szCs w:val="18"/>
        </w:rPr>
        <w:t xml:space="preserve">Ibid.</w:t>
      </w:r>
    </w:p>
  </w:footnote>
  <w:footnote w:id="17">
    <w:p>
      <w:r>
        <w:rPr>
          <w:rStyle w:val="FootnoteReference"/>
        </w:rPr>
        <w:footnoteRef/>
      </w:r>
      <w:r>
        <w:rPr>
          <w:rFonts w:ascii="Calibri" w:cs="Calibri" w:eastAsia="Calibri" w:hAnsi="Calibri"/>
          <w:sz w:val="18"/>
          <w:szCs w:val="18"/>
        </w:rPr>
        <w:t xml:space="preserve">Ibid.</w:t>
      </w:r>
    </w:p>
  </w:footnote>
  <w:footnote w:id="18">
    <w:p>
      <w:r>
        <w:rPr>
          <w:rStyle w:val="FootnoteReference"/>
        </w:rPr>
        <w:footnoteRef/>
      </w:r>
      <w:r>
        <w:rPr>
          <w:rFonts w:ascii="Calibri" w:cs="Calibri" w:eastAsia="Calibri" w:hAnsi="Calibri"/>
          <w:sz w:val="18"/>
          <w:szCs w:val="18"/>
        </w:rPr>
        <w:t xml:space="preserve">Ibid.</w:t>
      </w:r>
    </w:p>
  </w:footnote>
  <w:footnote w:id="19">
    <w:p>
      <w:r>
        <w:rPr>
          <w:rStyle w:val="FootnoteReference"/>
        </w:rPr>
        <w:footnoteRef/>
      </w:r>
      <w:r>
        <w:rPr>
          <w:rFonts w:ascii="Calibri" w:cs="Calibri" w:eastAsia="Calibri" w:hAnsi="Calibri"/>
          <w:sz w:val="18"/>
          <w:szCs w:val="18"/>
        </w:rPr>
        <w:t xml:space="preserve">Fortune — GM and Ford are fighting for EV marketshare against Tesla. fortune.com, Jan 2023.</w:t>
      </w:r>
    </w:p>
  </w:footnote>
  <w:footnote w:id="20">
    <w:p>
      <w:r>
        <w:rPr>
          <w:rStyle w:val="FootnoteReference"/>
        </w:rPr>
        <w:footnoteRef/>
      </w:r>
      <w:r>
        <w:rPr>
          <w:rFonts w:ascii="Calibri" w:cs="Calibri" w:eastAsia="Calibri" w:hAnsi="Calibri"/>
          <w:sz w:val="18"/>
          <w:szCs w:val="18"/>
        </w:rPr>
        <w:t xml:space="preserve">Kearney — The telecom paradox. kearney.com/industry/communications</w:t>
      </w:r>
    </w:p>
  </w:footnote>
  <w:footnote w:id="21">
    <w:p>
      <w:r>
        <w:rPr>
          <w:rStyle w:val="FootnoteReference"/>
        </w:rPr>
        <w:footnoteRef/>
      </w:r>
      <w:r>
        <w:rPr>
          <w:rFonts w:ascii="Calibri" w:cs="Calibri" w:eastAsia="Calibri" w:hAnsi="Calibri"/>
          <w:sz w:val="18"/>
          <w:szCs w:val="18"/>
        </w:rPr>
        <w:t xml:space="preserve">RMA Blog — One Sign That the Competition for Deposits Is Really Heating Up. rmahq.org, 2023.</w:t>
      </w:r>
    </w:p>
  </w:footnote>
  <w:footnote w:id="22">
    <w:p>
      <w:r>
        <w:rPr>
          <w:rStyle w:val="FootnoteReference"/>
        </w:rPr>
        <w:footnoteRef/>
      </w:r>
      <w:r>
        <w:rPr>
          <w:rFonts w:ascii="Calibri" w:cs="Calibri" w:eastAsia="Calibri" w:hAnsi="Calibri"/>
          <w:sz w:val="18"/>
          <w:szCs w:val="18"/>
        </w:rPr>
        <w:t xml:space="preserve">Reuters — op. cit.</w:t>
      </w:r>
    </w:p>
  </w:footnote>
  <w:footnote w:id="23">
    <w:p>
      <w:r>
        <w:rPr>
          <w:rStyle w:val="FootnoteReference"/>
        </w:rPr>
        <w:footnoteRef/>
      </w:r>
      <w:r>
        <w:rPr>
          <w:rFonts w:ascii="Calibri" w:cs="Calibri" w:eastAsia="Calibri" w:hAnsi="Calibri"/>
          <w:sz w:val="18"/>
          <w:szCs w:val="18"/>
        </w:rPr>
        <w:t xml:space="preserve">GRC 20/20 Research — Digital Twins in GRC. grc2020.com, May 2025.</w:t>
      </w:r>
    </w:p>
  </w:footnote>
  <w:footnote w:id="24">
    <w:p>
      <w:r>
        <w:rPr>
          <w:rStyle w:val="FootnoteReference"/>
        </w:rPr>
        <w:footnoteRef/>
      </w:r>
      <w:r>
        <w:rPr>
          <w:rFonts w:ascii="Calibri" w:cs="Calibri" w:eastAsia="Calibri" w:hAnsi="Calibri"/>
          <w:sz w:val="18"/>
          <w:szCs w:val="18"/>
        </w:rPr>
        <w:t xml:space="preserve">Fractal.ai — Explainable AI: Building Trust in Business Decision-Making. fractal.ai</w:t>
      </w:r>
    </w:p>
  </w:footnote>
  <w:footnote w:id="25">
    <w:p>
      <w:r>
        <w:rPr>
          <w:rStyle w:val="FootnoteReference"/>
        </w:rPr>
        <w:footnoteRef/>
      </w:r>
      <w:r>
        <w:rPr>
          <w:rFonts w:ascii="Calibri" w:cs="Calibri" w:eastAsia="Calibri" w:hAnsi="Calibri"/>
          <w:sz w:val="18"/>
          <w:szCs w:val="18"/>
        </w:rPr>
        <w:t xml:space="preserve">Ibid.</w:t>
      </w:r>
    </w:p>
  </w:footnote>
  <w:footnote w:id="26">
    <w:p>
      <w:r>
        <w:rPr>
          <w:rStyle w:val="FootnoteReference"/>
        </w:rPr>
        <w:footnoteRef/>
      </w:r>
      <w:r>
        <w:rPr>
          <w:rFonts w:ascii="Calibri" w:cs="Calibri" w:eastAsia="Calibri" w:hAnsi="Calibri"/>
          <w:sz w:val="18"/>
          <w:szCs w:val="18"/>
        </w:rPr>
        <w:t xml:space="preserve">Large Language Models are overconfident and amplify human bias. arxiv.org/html/2505.02151v1</w:t>
      </w:r>
    </w:p>
  </w:footnote>
  <w:footnote w:id="27">
    <w:p>
      <w:r>
        <w:rPr>
          <w:rStyle w:val="FootnoteReference"/>
        </w:rPr>
        <w:footnoteRef/>
      </w:r>
      <w:r>
        <w:rPr>
          <w:rFonts w:ascii="Calibri" w:cs="Calibri" w:eastAsia="Calibri" w:hAnsi="Calibri"/>
          <w:sz w:val="18"/>
          <w:szCs w:val="18"/>
        </w:rPr>
        <w:t xml:space="preserve">Internal scenario analysis — op. cit.</w:t>
      </w:r>
    </w:p>
  </w:footnote>
  <w:footnote w:id="28">
    <w:p>
      <w:r>
        <w:rPr>
          <w:rStyle w:val="FootnoteReference"/>
        </w:rPr>
        <w:footnoteRef/>
      </w:r>
      <w:r>
        <w:rPr>
          <w:rFonts w:ascii="Calibri" w:cs="Calibri" w:eastAsia="Calibri" w:hAnsi="Calibri"/>
          <w:sz w:val="18"/>
          <w:szCs w:val="18"/>
        </w:rPr>
        <w:t xml:space="preserve">Ibid.</w:t>
      </w:r>
    </w:p>
  </w:footnote>
  <w:footnote w:id="29">
    <w:p>
      <w:r>
        <w:rPr>
          <w:rStyle w:val="FootnoteReference"/>
        </w:rPr>
        <w:footnoteRef/>
      </w:r>
      <w:r>
        <w:rPr>
          <w:rFonts w:ascii="Calibri" w:cs="Calibri" w:eastAsia="Calibri" w:hAnsi="Calibri"/>
          <w:sz w:val="18"/>
          <w:szCs w:val="18"/>
        </w:rPr>
        <w:t xml:space="preserve">GRC 20/20 Research — op. cit.</w:t>
      </w:r>
    </w:p>
  </w:footnote>
  <w:footnote w:id="30">
    <w:p>
      <w:r>
        <w:rPr>
          <w:rStyle w:val="FootnoteReference"/>
        </w:rPr>
        <w:footnoteRef/>
      </w:r>
      <w:r>
        <w:rPr>
          <w:rFonts w:ascii="Calibri" w:cs="Calibri" w:eastAsia="Calibri" w:hAnsi="Calibri"/>
          <w:sz w:val="18"/>
          <w:szCs w:val="18"/>
        </w:rPr>
        <w:t xml:space="preserve">Ibid.</w:t>
      </w:r>
    </w:p>
  </w:footnote>
  <w:footnote w:id="31">
    <w:p>
      <w:r>
        <w:rPr>
          <w:rStyle w:val="FootnoteReference"/>
        </w:rPr>
        <w:footnoteRef/>
      </w:r>
      <w:r>
        <w:rPr>
          <w:rFonts w:ascii="Calibri" w:cs="Calibri" w:eastAsia="Calibri" w:hAnsi="Calibri"/>
          <w:sz w:val="18"/>
          <w:szCs w:val="18"/>
        </w:rPr>
        <w:t xml:space="preserve">McKinsey &amp; Co. — op. cit.</w:t>
      </w:r>
    </w:p>
  </w:footnote>
  <w:footnote w:id="37">
    <w:p>
      <w:r>
        <w:rPr>
          <w:rStyle w:val="FootnoteReference"/>
        </w:rPr>
        <w:footnoteRef/>
      </w:r>
      <w:r>
        <w:rPr>
          <w:rFonts w:ascii="Calibri" w:cs="Calibri" w:eastAsia="Calibri" w:hAnsi="Calibri"/>
          <w:sz w:val="18"/>
          <w:szCs w:val="18"/>
        </w:rPr>
        <w:t xml:space="preserve">CompetitorSim — Proof-of-concept application. Built on Anthropic Claude claude-sonnet-4-6. React + Express + Node.js. May 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spacing w:after="100" w:before="0"/>
    </w:pPr>
    <w:r>
      <w:rPr>
        <w:rFonts w:ascii="Calibri" w:cs="Calibri" w:eastAsia="Calibri" w:hAnsi="Calibri"/>
        <w:color w:val="888888"/>
        <w:sz w:val="17"/>
        <w:szCs w:val="17"/>
      </w:rPr>
      <w:t xml:space="preserve">Simulating Competitors: How AI Agents Redefine Competitive Strategy in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4472C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28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2026-05-14T23:50:14.778Z</dcterms:created>
  <dcterms:modified xsi:type="dcterms:W3CDTF">2026-05-14T23:50:14.779Z</dcterms:modified>
</cp:coreProperties>
</file>

<file path=docProps/custom.xml><?xml version="1.0" encoding="utf-8"?>
<Properties xmlns="http://schemas.openxmlformats.org/officeDocument/2006/custom-properties" xmlns:vt="http://schemas.openxmlformats.org/officeDocument/2006/docPropsVTypes"/>
</file>