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pPr>
      <w:r>
        <w:rPr>
          <w:rFonts w:ascii="Arial" w:cs="Arial" w:eastAsia="Arial" w:hAnsi="Arial"/>
          <w:b/>
          <w:bCs/>
          <w:color w:val="1B2A4A"/>
          <w:sz w:val="48"/>
          <w:szCs w:val="48"/>
        </w:rPr>
        <w:t xml:space="preserve">CompetitorSim</w:t>
      </w:r>
    </w:p>
    <w:p>
      <w:pPr>
        <w:spacing w:after="160" w:before="0"/>
      </w:pPr>
      <w:r>
        <w:rPr>
          <w:rFonts w:ascii="Arial" w:cs="Arial" w:eastAsia="Arial" w:hAnsi="Arial"/>
          <w:b/>
          <w:bCs/>
          <w:color w:val="2E5FA3"/>
          <w:sz w:val="32"/>
          <w:szCs w:val="32"/>
        </w:rPr>
        <w:t xml:space="preserve">Validation Study: Coca-Cola 2023 Pricing Strategy</w:t>
      </w:r>
    </w:p>
    <w:p>
      <w:pPr>
        <w:spacing w:after="80" w:before="0"/>
      </w:pPr>
      <w:r>
        <w:rPr>
          <w:rFonts w:ascii="Arial" w:cs="Arial" w:eastAsia="Arial" w:hAnsi="Arial"/>
          <w:i/>
          <w:iCs/>
          <w:color w:val="64748B"/>
          <w:sz w:val="24"/>
          <w:szCs w:val="24"/>
        </w:rPr>
        <w:t xml:space="preserve">AI Simulation Output vs. Verified Real-World Outcomes</w:t>
      </w:r>
    </w:p>
    <w:p>
      <w:pPr>
        <w:spacing w:after="480" w:before="0"/>
      </w:pPr>
      <w:r>
        <w:rPr>
          <w:rFonts w:ascii="Arial" w:cs="Arial" w:eastAsia="Arial" w:hAnsi="Arial"/>
          <w:color w:val="64748B"/>
          <w:sz w:val="18"/>
          <w:szCs w:val="18"/>
        </w:rPr>
        <w:t xml:space="preserve">Proof of Concept Validation  |  Prepared for Executive Review</w:t>
      </w:r>
    </w:p>
    <w:p>
      <w:pPr>
        <w:pBdr>
          <w:bottom w:val="single" w:color="2E5FA3" w:sz="4" w:space="1"/>
        </w:pBdr>
        <w:spacing w:after="160" w:before="160"/>
      </w:pPr>
      <w:r>
        <w:t xml:space="preserve"/>
      </w:r>
    </w:p>
    <w:p>
      <w:pPr>
        <w:pBdr>
          <w:bottom w:val="single" w:color="2E5FA3" w:sz="6" w:space="4"/>
        </w:pBdr>
        <w:spacing w:after="160" w:before="280"/>
      </w:pPr>
      <w:r>
        <w:rPr>
          <w:rFonts w:ascii="Arial" w:cs="Arial" w:eastAsia="Arial" w:hAnsi="Arial"/>
          <w:b/>
          <w:bCs/>
          <w:color w:val="1B2A4A"/>
          <w:sz w:val="22"/>
          <w:szCs w:val="22"/>
        </w:rPr>
        <w:t xml:space="preserve">1.  SCENARIO OVERVIEW</w:t>
      </w:r>
    </w:p>
    <w:p>
      <w:pPr>
        <w:spacing w:after="160" w:before="80"/>
        <w:jc w:val="left"/>
      </w:pPr>
      <w:r>
        <w:rPr>
          <w:rFonts w:ascii="Arial" w:cs="Arial" w:eastAsia="Arial" w:hAnsi="Arial"/>
          <w:b w:val="false"/>
          <w:bCs w:val="false"/>
          <w:i w:val="false"/>
          <w:iCs w:val="false"/>
          <w:color w:val="1E293B"/>
          <w:sz w:val="20"/>
          <w:szCs w:val="20"/>
        </w:rPr>
        <w:t xml:space="preserve">This study tests whether CompetitorSim can predict competitive market dynamics from publicly available data, using the Coca-Cola 2023 US pricing strategy as a real-world backtest. All simulation inputs were sourced exclusively from data available on or before the trigger date.</w:t>
      </w:r>
    </w:p>
    <w:p>
      <w:pPr>
        <w:spacing w:after="80" w:before="180"/>
      </w:pPr>
      <w:r>
        <w:rPr>
          <w:rFonts w:ascii="Arial" w:cs="Arial" w:eastAsia="Arial" w:hAnsi="Arial"/>
          <w:b/>
          <w:bCs/>
          <w:color w:val="1B2A4A"/>
          <w:sz w:val="20"/>
          <w:szCs w:val="20"/>
        </w:rPr>
        <w:t xml:space="preserve">Scenario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Parameter</w:t>
            </w:r>
          </w:p>
        </w:tc>
        <w:tc>
          <w:tcPr>
            <w:tcW w:type="dxa" w:w="656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Detail</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Trigger Company</w:t>
            </w:r>
          </w:p>
        </w:tc>
        <w:tc>
          <w:tcPr>
            <w:tcW w:type="dxa" w:w="65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The Coca-Cola Company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Trigger Event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Announcement of mid-single-digit price increases across the US portfolio for 2023, backed by increased marketing investment — competing on brand strength rather than promotional discounting</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Trigger Date</w:t>
            </w:r>
          </w:p>
        </w:tc>
        <w:tc>
          <w:tcPr>
            <w:tcW w:type="dxa" w:w="65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February 9, 2023  (Q4 2022 earnings call)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Financial Input Period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FY2022 annual data (year ending December 31, 2022)</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Competitors Modelled</w:t>
            </w:r>
          </w:p>
        </w:tc>
        <w:tc>
          <w:tcPr>
            <w:tcW w:type="dxa" w:w="65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PepsiCo;  Keurig Dr Pepper (KDP)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Prediction Window</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Full-year 2023 (12 months post-trigger)</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Verification Sources</w:t>
            </w:r>
          </w:p>
        </w:tc>
        <w:tc>
          <w:tcPr>
            <w:tcW w:type="dxa" w:w="65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FY2023 earnings releases (Coca-Cola, PepsiCo, KDP); SEC filings; Statista US CSD market share data</w:t>
            </w:r>
          </w:p>
        </w:tc>
      </w:tr>
    </w:tbl>
    <w:p>
      <w:pPr>
        <w:spacing w:after="120" w:before="120"/>
        <w:jc w:val="left"/>
      </w:pPr>
      <w:r>
        <w:rPr>
          <w:rFonts w:ascii="Arial" w:cs="Arial" w:eastAsia="Arial" w:hAnsi="Arial"/>
          <w:b w:val="false"/>
          <w:bCs w:val="false"/>
          <w:i/>
          <w:iCs/>
          <w:color w:val="64748B"/>
          <w:sz w:val="17"/>
          <w:szCs w:val="17"/>
        </w:rPr>
        <w:t xml:space="preserve">Note: The simulation had no access to any information created after February 9, 2023. All competitor responses reflect projections, not observations.</w:t>
      </w:r>
    </w:p>
    <w:p>
      <w:pPr>
        <w:pBdr>
          <w:bottom w:val="single" w:color="2E5FA3" w:sz="4" w:space="1"/>
        </w:pBdr>
        <w:spacing w:after="160" w:before="160"/>
      </w:pPr>
      <w:r>
        <w:t xml:space="preserve"/>
      </w:r>
    </w:p>
    <w:p>
      <w:pPr>
        <w:pBdr>
          <w:bottom w:val="single" w:color="2E5FA3" w:sz="6" w:space="4"/>
        </w:pBdr>
        <w:spacing w:after="160" w:before="280"/>
      </w:pPr>
      <w:r>
        <w:rPr>
          <w:rFonts w:ascii="Arial" w:cs="Arial" w:eastAsia="Arial" w:hAnsi="Arial"/>
          <w:b/>
          <w:bCs/>
          <w:color w:val="1B2A4A"/>
          <w:sz w:val="22"/>
          <w:szCs w:val="22"/>
        </w:rPr>
        <w:t xml:space="preserve">2.  SIMULATION OUTPUT SUMMARY</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5FA3" w:sz="12"/>
              <w:left w:val="single" w:color="2E5FA3" w:sz="12"/>
              <w:bottom w:val="none"/>
              <w:right w:val="none"/>
            </w:tcBorders>
            <w:shd w:fill="D6E4F0" w:val="clear"/>
            <w:tcMar>
              <w:top w:type="dxa" w:w="120"/>
              <w:left w:type="dxa" w:w="200"/>
              <w:bottom w:type="dxa" w:w="120"/>
              <w:right w:type="dxa" w:w="200"/>
            </w:tcMar>
          </w:tcPr>
          <w:p>
            <w:pPr>
              <w:spacing w:after="80" w:before="0"/>
            </w:pPr>
            <w:r>
              <w:rPr>
                <w:rFonts w:ascii="Arial" w:cs="Arial" w:eastAsia="Arial" w:hAnsi="Arial"/>
                <w:b/>
                <w:bCs/>
                <w:color w:val="2E5FA3"/>
                <w:sz w:val="18"/>
                <w:szCs w:val="18"/>
              </w:rPr>
              <w:t xml:space="preserve">AI Verdict:  PROCEED WITH CAUTION  |  2 Rounds  |  Equilibrium Reached</w:t>
            </w:r>
          </w:p>
          <w:p>
            <w:pPr>
              <w:spacing w:after="0" w:before="0"/>
            </w:pPr>
            <w:r>
              <w:rPr>
                <w:rFonts w:ascii="Arial" w:cs="Arial" w:eastAsia="Arial" w:hAnsi="Arial"/>
                <w:color w:val="1E293B"/>
                <w:sz w:val="18"/>
                <w:szCs w:val="18"/>
              </w:rPr>
              <w:t xml:space="preserve">The simulation reached market equilibrium after round 2, with no competitor shifting its strategic posture. Coca-Cola was projected to win; both PepsiCo and KDP were projected as neutral.</w:t>
            </w:r>
          </w:p>
        </w:tc>
      </w:tr>
    </w:tbl>
    <w:p>
      <w:pPr>
        <w:spacing w:after="0" w:before="160"/>
      </w:pPr>
      <w:r>
        <w:t xml:space="preserve"/>
      </w:r>
    </w:p>
    <w:p>
      <w:pPr>
        <w:spacing w:after="80" w:before="180"/>
      </w:pPr>
      <w:r>
        <w:rPr>
          <w:rFonts w:ascii="Arial" w:cs="Arial" w:eastAsia="Arial" w:hAnsi="Arial"/>
          <w:b/>
          <w:bCs/>
          <w:color w:val="1B2A4A"/>
          <w:sz w:val="20"/>
          <w:szCs w:val="20"/>
        </w:rPr>
        <w:t xml:space="preserve">Player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3400"/>
        <w:gridCol w:w="3260"/>
      </w:tblGrid>
      <w:tr>
        <w:tc>
          <w:tcPr>
            <w:tcW w:type="dxa" w:w="16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Player</w:t>
            </w:r>
          </w:p>
        </w:tc>
        <w:tc>
          <w:tcPr>
            <w:tcW w:type="dxa" w:w="11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Verdict</w:t>
            </w:r>
          </w:p>
        </w:tc>
        <w:tc>
          <w:tcPr>
            <w:tcW w:type="dxa" w:w="34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Simulation Reasoning</w:t>
            </w:r>
          </w:p>
        </w:tc>
        <w:tc>
          <w:tcPr>
            <w:tcW w:type="dxa" w:w="326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Financial Estimate</w:t>
            </w:r>
          </w:p>
        </w:tc>
      </w:tr>
      <w:tr>
        <w:tc>
          <w:tcPr>
            <w:tcW w:type="dxa" w:w="16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Coca-Cola</w:t>
            </w:r>
          </w:p>
        </w:tc>
        <w:tc>
          <w:tcPr>
            <w:tcW w:type="dxa" w:w="11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Wins</w:t>
            </w:r>
          </w:p>
        </w:tc>
        <w:tc>
          <w:tcPr>
            <w:tcW w:type="dxa" w:w="34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Pushed through mid-single-digit increases with no competitive undercutting. With 11% revenue growth in 2022 and brand equity sustaining the increase, Coke captures meaningful revenue-per-unit gains while protecting brand premium through increased marketing investment.</w:t>
            </w:r>
          </w:p>
        </w:tc>
        <w:tc>
          <w:tcPr>
            <w:tcW w:type="dxa" w:w="326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Estimated 4–6% revenue uplift (~$900M–$1.35B based on ~$22.5B US segment revenue), partially offset by low-to-mid single digit volume softness, yielding a net revenue benefit of ~$300M–$600M.</w:t>
            </w:r>
          </w:p>
        </w:tc>
      </w:tr>
      <w:tr>
        <w:tc>
          <w:tcPr>
            <w:tcW w:type="dxa" w:w="16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PepsiCo</w:t>
            </w:r>
          </w:p>
        </w:tc>
        <w:tc>
          <w:tcPr>
            <w:tcW w:type="dxa" w:w="11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64748B"/>
                <w:sz w:val="18"/>
                <w:szCs w:val="18"/>
              </w:rPr>
              <w:t xml:space="preserve">Neutral</w:t>
            </w:r>
          </w:p>
        </w:tc>
        <w:tc>
          <w:tcPr>
            <w:tcW w:type="dxa" w:w="34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Holding price at zero change protects near-term volume — critical given PBNA volume already fell 2% in Q4 2022 — but leaves revenue per case on the table while Coke's pricing sticks.</w:t>
            </w:r>
          </w:p>
        </w:tc>
        <w:tc>
          <w:tcPr>
            <w:tcW w:type="dxa" w:w="32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Flat to slight volume recovery of 1–2% in North America Beverages; organic growth likely moderates to 3–5% vs. 14.4% in 2022, roughly $600M–$1B less incremental revenue than 2022 pace off a ~$20B PBNA base.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Keurig Dr Pepper</w:t>
            </w:r>
          </w:p>
        </w:tc>
        <w:tc>
          <w:tcPr>
            <w:tcW w:type="dxa" w:w="1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64748B"/>
                <w:sz w:val="18"/>
                <w:szCs w:val="18"/>
              </w:rPr>
              <w:t xml:space="preserve">Neutral</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KDP is a bystander in the cola war. Dr Pepper's flavoured positioning means the Coke–Pepsi marketing arms race does not directly threaten its segment; holding price protects margin recovery after EBITDA declined 8% in 2022.</w:t>
            </w:r>
          </w:p>
        </w:tc>
        <w:tc>
          <w:tcPr>
            <w:tcW w:type="dxa" w:w="32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Mid-single-digit revenue growth appears achievable, implying ~$400M–$600M incremental revenue on KDP's ~$14.8B base; margin recovery depends on input cost relief in H2 2023.</w:t>
            </w:r>
          </w:p>
        </w:tc>
      </w:tr>
    </w:tbl>
    <w:p>
      <w:pPr>
        <w:spacing w:after="0" w:before="160"/>
      </w:pPr>
      <w:r>
        <w:t xml:space="preserve"/>
      </w:r>
    </w:p>
    <w:p>
      <w:pPr>
        <w:spacing w:after="80" w:before="180"/>
      </w:pPr>
      <w:r>
        <w:rPr>
          <w:rFonts w:ascii="Arial" w:cs="Arial" w:eastAsia="Arial" w:hAnsi="Arial"/>
          <w:b/>
          <w:bCs/>
          <w:color w:val="1B2A4A"/>
          <w:sz w:val="20"/>
          <w:szCs w:val="20"/>
        </w:rPr>
        <w:t xml:space="preserve">Competitive Response Matrix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360"/>
        <w:gridCol w:w="1800"/>
      </w:tblGrid>
      <w:tr>
        <w:tc>
          <w:tcPr>
            <w:tcW w:type="dxa" w:w="20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Competitor</w:t>
            </w:r>
          </w:p>
        </w:tc>
        <w:tc>
          <w:tcPr>
            <w:tcW w:type="dxa" w:w="22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Expected Response</w:t>
            </w:r>
          </w:p>
        </w:tc>
        <w:tc>
          <w:tcPr>
            <w:tcW w:type="dxa" w:w="20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Timing</w:t>
            </w:r>
          </w:p>
        </w:tc>
        <w:tc>
          <w:tcPr>
            <w:tcW w:type="dxa" w:w="136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Threat</w:t>
            </w:r>
          </w:p>
        </w:tc>
        <w:tc>
          <w:tcPr>
            <w:tcW w:type="dxa" w:w="18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Implication</w:t>
            </w:r>
          </w:p>
        </w:tc>
      </w:tr>
      <w:tr>
        <w:tc>
          <w:tcPr>
            <w:tcW w:type="dxa" w:w="20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PepsiCo</w:t>
            </w:r>
          </w:p>
        </w:tc>
        <w:tc>
          <w:tcPr>
            <w:tcW w:type="dxa" w:w="22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Price Hold</w:t>
            </w:r>
          </w:p>
        </w:tc>
        <w:tc>
          <w:tcPr>
            <w:tcW w:type="dxa" w:w="20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Wait &amp; See</w:t>
            </w:r>
          </w:p>
        </w:tc>
        <w:tc>
          <w:tcPr>
            <w:tcW w:type="dxa" w:w="13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LOW</w:t>
            </w:r>
          </w:p>
        </w:tc>
        <w:tc>
          <w:tcPr>
            <w:tcW w:type="dxa" w:w="1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No immediate undercutting; monitor Q2 promotional cadence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Keurig Dr Pepper</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Price Hold (+3%)</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This Quarter</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LOW</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Modest price follow validates category pricing environment</w:t>
            </w:r>
          </w:p>
        </w:tc>
      </w:tr>
    </w:tbl>
    <w:p>
      <w:pPr>
        <w:spacing w:after="0" w:before="160"/>
      </w:pPr>
      <w:r>
        <w:t xml:space="preserve"/>
      </w:r>
    </w:p>
    <w:p>
      <w:pPr>
        <w:spacing w:after="80" w:before="180"/>
      </w:pPr>
      <w:r>
        <w:rPr>
          <w:rFonts w:ascii="Arial" w:cs="Arial" w:eastAsia="Arial" w:hAnsi="Arial"/>
          <w:b/>
          <w:bCs/>
          <w:color w:val="1B2A4A"/>
          <w:sz w:val="20"/>
          <w:szCs w:val="20"/>
        </w:rPr>
        <w:t xml:space="preserve">Scenario Range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6B3C"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Best Case</w:t>
            </w:r>
          </w:p>
        </w:tc>
        <w:tc>
          <w:tcPr>
            <w:tcW w:type="dxa" w:w="3120"/>
            <w:tcBorders>
              <w:top w:val="single" w:color="D1D5DB" w:sz="1"/>
              <w:left w:val="single" w:color="D1D5DB" w:sz="1"/>
              <w:bottom w:val="single" w:color="D1D5DB" w:sz="1"/>
              <w:right w:val="single" w:color="D1D5DB" w:sz="1"/>
            </w:tcBorders>
            <w:shd w:fill="2E5FA3"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Base Case</w:t>
            </w:r>
          </w:p>
        </w:tc>
        <w:tc>
          <w:tcPr>
            <w:tcW w:type="dxa" w:w="3120"/>
            <w:tcBorders>
              <w:top w:val="single" w:color="D1D5DB" w:sz="1"/>
              <w:left w:val="single" w:color="D1D5DB" w:sz="1"/>
              <w:bottom w:val="single" w:color="D1D5DB" w:sz="1"/>
              <w:right w:val="single" w:color="D1D5DB" w:sz="1"/>
            </w:tcBorders>
            <w:shd w:fill="9B1C1C"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Worst Case</w:t>
            </w:r>
          </w:p>
        </w:tc>
      </w:tr>
      <w:tr>
        <w:tc>
          <w:tcPr>
            <w:tcW w:type="dxa" w:w="312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1E293B"/>
                <w:sz w:val="18"/>
                <w:szCs w:val="18"/>
              </w:rPr>
              <w:t xml:space="preserve">Pricing holds fully; volume declines &lt;2%; Coke grows US revenue 6–7% in 2023.</w:t>
            </w:r>
          </w:p>
          <w:p>
            <w:pPr>
              <w:spacing w:after="120" w:before="0"/>
              <w:jc w:val="left"/>
            </w:pPr>
            <w:r>
              <w:rPr>
                <w:rFonts w:ascii="Arial" w:cs="Arial" w:eastAsia="Arial" w:hAnsi="Arial"/>
                <w:b w:val="false"/>
                <w:bCs w:val="false"/>
                <w:i/>
                <w:iCs/>
                <w:color w:val="64748B"/>
                <w:sz w:val="17"/>
                <w:szCs w:val="17"/>
              </w:rPr>
              <w:t xml:space="preserve">Conditions: Consumer confidence stabilises in H1; PepsiCo avoids Q2 promotion; commodity costs moderate by mid-year.</w:t>
            </w:r>
          </w:p>
        </w:tc>
        <w:tc>
          <w:tcPr>
            <w:tcW w:type="dxa" w:w="3120"/>
            <w:tcBorders>
              <w:top w:val="single" w:color="D1D5DB" w:sz="1"/>
              <w:left w:val="single" w:color="D1D5DB" w:sz="1"/>
              <w:bottom w:val="single" w:color="D1D5DB" w:sz="1"/>
              <w:right w:val="single" w:color="D1D5DB" w:sz="1"/>
            </w:tcBorders>
            <w:shd w:fill="D6E4F0"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1E293B"/>
                <w:sz w:val="18"/>
                <w:szCs w:val="18"/>
              </w:rPr>
              <w:t xml:space="preserve">Pricing holds; volume declines 2–3% in value-sensitive channels; Coke grows US revenue 4–5%.</w:t>
            </w:r>
          </w:p>
          <w:p>
            <w:pPr>
              <w:spacing w:after="120" w:before="0"/>
              <w:jc w:val="left"/>
            </w:pPr>
            <w:r>
              <w:rPr>
                <w:rFonts w:ascii="Arial" w:cs="Arial" w:eastAsia="Arial" w:hAnsi="Arial"/>
                <w:b w:val="false"/>
                <w:bCs w:val="false"/>
                <w:i/>
                <w:iCs/>
                <w:color w:val="64748B"/>
                <w:sz w:val="17"/>
                <w:szCs w:val="17"/>
              </w:rPr>
              <w:t xml:space="preserve">Conditions: Inflation remains elevated through mid-2023; PepsiCo stays passive on price but invests in marketing.</w:t>
            </w:r>
          </w:p>
        </w:tc>
        <w:tc>
          <w:tcPr>
            <w:tcW w:type="dxa" w:w="3120"/>
            <w:tcBorders>
              <w:top w:val="single" w:color="D1D5DB" w:sz="1"/>
              <w:left w:val="single" w:color="D1D5DB" w:sz="1"/>
              <w:bottom w:val="single" w:color="D1D5DB" w:sz="1"/>
              <w:right w:val="single" w:color="D1D5DB" w:sz="1"/>
            </w:tcBorders>
            <w:shd w:fill="FDECEA"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1E293B"/>
                <w:sz w:val="18"/>
                <w:szCs w:val="18"/>
              </w:rPr>
              <w:t xml:space="preserve">Volume declines 4–5%; private label captures 2–3 additional shelf facings; Coke's US revenue growth lands below 2%.</w:t>
            </w:r>
          </w:p>
          <w:p>
            <w:pPr>
              <w:spacing w:after="120" w:before="0"/>
              <w:jc w:val="left"/>
            </w:pPr>
            <w:r>
              <w:rPr>
                <w:rFonts w:ascii="Arial" w:cs="Arial" w:eastAsia="Arial" w:hAnsi="Arial"/>
                <w:b w:val="false"/>
                <w:bCs w:val="false"/>
                <w:i/>
                <w:iCs/>
                <w:color w:val="64748B"/>
                <w:sz w:val="17"/>
                <w:szCs w:val="17"/>
              </w:rPr>
              <w:t xml:space="preserve">Conditions: Consumer confidence deteriorates sharply; major retailer signals private label expansion; PepsiCo runs below-Coke promotional price in Q2.</w:t>
            </w:r>
          </w:p>
        </w:tc>
      </w:tr>
    </w:tbl>
    <w:p>
      <w:pPr>
        <w:spacing w:after="0" w:before="160"/>
      </w:pPr>
      <w:r>
        <w:t xml:space="preserve"/>
      </w:r>
    </w:p>
    <w:p>
      <w:pPr>
        <w:spacing w:after="80" w:before="180"/>
      </w:pPr>
      <w:r>
        <w:rPr>
          <w:rFonts w:ascii="Arial" w:cs="Arial" w:eastAsia="Arial" w:hAnsi="Arial"/>
          <w:b/>
          <w:bCs/>
          <w:color w:val="1B2A4A"/>
          <w:sz w:val="20"/>
          <w:szCs w:val="20"/>
        </w:rPr>
        <w:t xml:space="preserve">Key Watchpoints Flagged  (Simulation)</w:t>
      </w:r>
    </w:p>
    <w:p>
      <w:pPr>
        <w:pStyle w:val="ListParagraph"/>
        <w:numPr>
          <w:ilvl w:val="0"/>
          <w:numId w:val="2"/>
        </w:numPr>
        <w:spacing w:after="100" w:before="60"/>
      </w:pPr>
      <w:r>
        <w:rPr>
          <w:rFonts w:ascii="Arial" w:cs="Arial" w:eastAsia="Arial" w:hAnsi="Arial"/>
          <w:b w:val="false"/>
          <w:bCs w:val="false"/>
          <w:color w:val="1E293B"/>
          <w:sz w:val="20"/>
          <w:szCs w:val="20"/>
        </w:rPr>
        <w:t xml:space="preserve">Watch Walmart / Kroger for expanded private label beverage assortments in Q1 2023 — signals retailers using Coke's increase as cover to grow own-brand margins.</w:t>
      </w:r>
    </w:p>
    <w:p>
      <w:pPr>
        <w:pStyle w:val="ListParagraph"/>
        <w:numPr>
          <w:ilvl w:val="0"/>
          <w:numId w:val="2"/>
        </w:numPr>
        <w:spacing w:after="100" w:before="60"/>
      </w:pPr>
      <w:r>
        <w:rPr>
          <w:rFonts w:ascii="Arial" w:cs="Arial" w:eastAsia="Arial" w:hAnsi="Arial"/>
          <w:b w:val="false"/>
          <w:bCs w:val="false"/>
          <w:color w:val="1E293B"/>
          <w:sz w:val="20"/>
          <w:szCs w:val="20"/>
        </w:rPr>
        <w:t xml:space="preserve">Watch PepsiCo for promotional feature activity in grocery in March–April 2023 — scan data showing feature frequency up &gt;10% vs. Q4 2022 signals a break from wait-and-see.</w:t>
      </w:r>
    </w:p>
    <w:p>
      <w:pPr>
        <w:pStyle w:val="ListParagraph"/>
        <w:numPr>
          <w:ilvl w:val="0"/>
          <w:numId w:val="2"/>
        </w:numPr>
        <w:spacing w:after="100" w:before="60"/>
      </w:pPr>
      <w:r>
        <w:rPr>
          <w:rFonts w:ascii="Arial" w:cs="Arial" w:eastAsia="Arial" w:hAnsi="Arial"/>
          <w:b w:val="false"/>
          <w:bCs w:val="false"/>
          <w:color w:val="1E293B"/>
          <w:sz w:val="20"/>
          <w:szCs w:val="20"/>
        </w:rPr>
        <w:t xml:space="preserve">Watch US CPI readings in March and May 2023 — if headline CPI drops below 5% YoY, consumer trade-down risk diminishes materially.</w:t>
      </w:r>
    </w:p>
    <w:p>
      <w:pPr>
        <w:pStyle w:val="ListParagraph"/>
        <w:numPr>
          <w:ilvl w:val="0"/>
          <w:numId w:val="2"/>
        </w:numPr>
        <w:spacing w:after="100" w:before="60"/>
      </w:pPr>
      <w:r>
        <w:rPr>
          <w:rFonts w:ascii="Arial" w:cs="Arial" w:eastAsia="Arial" w:hAnsi="Arial"/>
          <w:b w:val="false"/>
          <w:bCs w:val="false"/>
          <w:color w:val="1E293B"/>
          <w:sz w:val="20"/>
          <w:szCs w:val="20"/>
        </w:rPr>
        <w:t xml:space="preserve">Watch KDP pricing escalation to magnitude 5+ in Q2 — if KDP follows Coke more aggressively, it validates the pricing environment is more durable than expected.</w:t>
      </w:r>
    </w:p>
    <w:p>
      <w:pPr>
        <w:pBdr>
          <w:bottom w:val="single" w:color="2E5FA3" w:sz="4" w:space="1"/>
        </w:pBdr>
        <w:spacing w:after="160" w:before="160"/>
      </w:pPr>
      <w:r>
        <w:t xml:space="preserve"/>
      </w:r>
    </w:p>
    <w:p>
      <w:pPr>
        <w:pBdr>
          <w:bottom w:val="single" w:color="2E5FA3" w:sz="6" w:space="4"/>
        </w:pBdr>
        <w:spacing w:after="160" w:before="280"/>
      </w:pPr>
      <w:r>
        <w:rPr>
          <w:rFonts w:ascii="Arial" w:cs="Arial" w:eastAsia="Arial" w:hAnsi="Arial"/>
          <w:b/>
          <w:bCs/>
          <w:color w:val="1B2A4A"/>
          <w:sz w:val="22"/>
          <w:szCs w:val="22"/>
        </w:rPr>
        <w:t xml:space="preserve">3.  REALITY: WHAT ACTUALLY HAPPENED IN 2023</w:t>
      </w:r>
    </w:p>
    <w:p>
      <w:pPr>
        <w:spacing w:after="80" w:before="180"/>
      </w:pPr>
      <w:r>
        <w:rPr>
          <w:rFonts w:ascii="Arial" w:cs="Arial" w:eastAsia="Arial" w:hAnsi="Arial"/>
          <w:b/>
          <w:bCs/>
          <w:color w:val="1B2A4A"/>
          <w:sz w:val="20"/>
          <w:szCs w:val="20"/>
        </w:rPr>
        <w:t xml:space="preserve">Coca-Cola  —  FY2023 Actual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Metric</w:t>
            </w:r>
          </w:p>
        </w:tc>
        <w:tc>
          <w:tcPr>
            <w:tcW w:type="dxa" w:w="676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Actual Result</w:t>
            </w:r>
          </w:p>
        </w:tc>
      </w:tr>
      <w:tr>
        <w:tc>
          <w:tcPr>
            <w:tcW w:type="dxa" w:w="26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Net Revenues</w:t>
            </w:r>
          </w:p>
        </w:tc>
        <w:tc>
          <w:tcPr>
            <w:tcW w:type="dxa" w:w="676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$45.8B  |  +6% reported YoY</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Organic Revenue Growth</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+12%  (price/mix +10%,  concentrate sales +2%)</w:t>
            </w:r>
          </w:p>
        </w:tc>
      </w:tr>
      <w:tr>
        <w:tc>
          <w:tcPr>
            <w:tcW w:type="dxa" w:w="26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Unit Case Volume</w:t>
            </w:r>
          </w:p>
        </w:tc>
        <w:tc>
          <w:tcPr>
            <w:tcW w:type="dxa" w:w="676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+2% full year  —  volumes grew, not declined</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Comparable Op. Margin</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29.1%  vs.  28.7% in 2022  —  improved year-on-year</w:t>
            </w:r>
          </w:p>
        </w:tc>
      </w:tr>
      <w:tr>
        <w:tc>
          <w:tcPr>
            <w:tcW w:type="dxa" w:w="26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US Market Position</w:t>
            </w:r>
          </w:p>
        </w:tc>
        <w:tc>
          <w:tcPr>
            <w:tcW w:type="dxa" w:w="676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Gained value share in total US non-alcoholic ready-to-drink beverages, led by sparkling soft drinks</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Source</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Coca-Cola FY2023 earnings release, February 13, 2024  (investors.coca-colacompany.com)</w:t>
            </w:r>
          </w:p>
        </w:tc>
      </w:tr>
    </w:tbl>
    <w:p>
      <w:pPr>
        <w:spacing w:after="0" w:before="160"/>
      </w:pPr>
      <w:r>
        <w:t xml:space="preserve"/>
      </w:r>
    </w:p>
    <w:p>
      <w:pPr>
        <w:spacing w:after="80" w:before="180"/>
      </w:pPr>
      <w:r>
        <w:rPr>
          <w:rFonts w:ascii="Arial" w:cs="Arial" w:eastAsia="Arial" w:hAnsi="Arial"/>
          <w:b/>
          <w:bCs/>
          <w:color w:val="1B2A4A"/>
          <w:sz w:val="20"/>
          <w:szCs w:val="20"/>
        </w:rPr>
        <w:t xml:space="preserve">PepsiCo  —  FY2023 Actual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Metric</w:t>
            </w:r>
          </w:p>
        </w:tc>
        <w:tc>
          <w:tcPr>
            <w:tcW w:type="dxa" w:w="676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Actual Result</w:t>
            </w:r>
          </w:p>
        </w:tc>
      </w:tr>
      <w:tr>
        <w:tc>
          <w:tcPr>
            <w:tcW w:type="dxa" w:w="2600"/>
            <w:tcBorders>
              <w:top w:val="single" w:color="D1D5DB" w:sz="1"/>
              <w:left w:val="single" w:color="D1D5DB" w:sz="1"/>
              <w:bottom w:val="single" w:color="D1D5DB" w:sz="1"/>
              <w:right w:val="single" w:color="D1D5DB" w:sz="1"/>
            </w:tcBorders>
            <w:shd w:fill="FDECE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9B1C1C"/>
                <w:sz w:val="18"/>
                <w:szCs w:val="18"/>
              </w:rPr>
              <w:t xml:space="preserve">PBNA Volume</w:t>
            </w:r>
          </w:p>
        </w:tc>
        <w:tc>
          <w:tcPr>
            <w:tcW w:type="dxa" w:w="6760"/>
            <w:tcBorders>
              <w:top w:val="single" w:color="D1D5DB" w:sz="1"/>
              <w:left w:val="single" w:color="D1D5DB" w:sz="1"/>
              <w:bottom w:val="single" w:color="D1D5DB" w:sz="1"/>
              <w:right w:val="single" w:color="D1D5DB" w:sz="1"/>
            </w:tcBorders>
            <w:shd w:fill="FDECE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–4.5% for 36 weeks ending September 2023;  Q3 2023 alone: –6%</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9B1C1C"/>
                <w:sz w:val="18"/>
                <w:szCs w:val="18"/>
              </w:rPr>
              <w:t xml:space="preserve">Actual 2023 Pricing</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Q1 +16%,  Q2 +15%,  Q3 +11%,  Q4 +9%  —  continued raising aggressively, not holding flat</w:t>
            </w:r>
          </w:p>
        </w:tc>
      </w:tr>
      <w:tr>
        <w:tc>
          <w:tcPr>
            <w:tcW w:type="dxa" w:w="2600"/>
            <w:tcBorders>
              <w:top w:val="single" w:color="D1D5DB" w:sz="1"/>
              <w:left w:val="single" w:color="D1D5DB" w:sz="1"/>
              <w:bottom w:val="single" w:color="D1D5DB" w:sz="1"/>
              <w:right w:val="single" w:color="D1D5DB" w:sz="1"/>
            </w:tcBorders>
            <w:shd w:fill="FDECE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9B1C1C"/>
                <w:sz w:val="18"/>
                <w:szCs w:val="18"/>
              </w:rPr>
              <w:t xml:space="preserve">US CSD Market Share</w:t>
            </w:r>
          </w:p>
        </w:tc>
        <w:tc>
          <w:tcPr>
            <w:tcW w:type="dxa" w:w="6760"/>
            <w:tcBorders>
              <w:top w:val="single" w:color="D1D5DB" w:sz="1"/>
              <w:left w:val="single" w:color="D1D5DB" w:sz="1"/>
              <w:bottom w:val="single" w:color="D1D5DB" w:sz="1"/>
              <w:right w:val="single" w:color="D1D5DB" w:sz="1"/>
            </w:tcBorders>
            <w:shd w:fill="FDECE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Continued declining from 24.7% in 2022  —  no recovery</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9B1C1C"/>
                <w:sz w:val="18"/>
                <w:szCs w:val="18"/>
              </w:rPr>
              <w:t xml:space="preserve">Volume Pattern</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9 consecutive quarters of beverage unit volume decline documented</w:t>
            </w:r>
          </w:p>
        </w:tc>
      </w:tr>
      <w:tr>
        <w:tc>
          <w:tcPr>
            <w:tcW w:type="dxa" w:w="2600"/>
            <w:tcBorders>
              <w:top w:val="single" w:color="D1D5DB" w:sz="1"/>
              <w:left w:val="single" w:color="D1D5DB" w:sz="1"/>
              <w:bottom w:val="single" w:color="D1D5DB" w:sz="1"/>
              <w:right w:val="single" w:color="D1D5DB" w:sz="1"/>
            </w:tcBorders>
            <w:shd w:fill="FDECE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9B1C1C"/>
                <w:sz w:val="18"/>
                <w:szCs w:val="18"/>
              </w:rPr>
              <w:t xml:space="preserve">CEO Statement</w:t>
            </w:r>
          </w:p>
        </w:tc>
        <w:tc>
          <w:tcPr>
            <w:tcW w:type="dxa" w:w="6760"/>
            <w:tcBorders>
              <w:top w:val="single" w:color="D1D5DB" w:sz="1"/>
              <w:left w:val="single" w:color="D1D5DB" w:sz="1"/>
              <w:bottom w:val="single" w:color="D1D5DB" w:sz="1"/>
              <w:right w:val="single" w:color="D1D5DB" w:sz="1"/>
            </w:tcBorders>
            <w:shd w:fill="FDECE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"We have mostly taken the pricing already this year... we think that with the pricing that we've taken already most of our business around the world, that should be sufficient."  — Laguarta, Q1 2023 earnings, April 25, 2023</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9B1C1C"/>
                <w:sz w:val="18"/>
                <w:szCs w:val="18"/>
              </w:rPr>
              <w:t xml:space="preserve">Source</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PepsiCo Q3 2023 SEC 8-K; Insider Monkey Q1 2023 transcript; BeverageDaily April 2024</w:t>
            </w:r>
          </w:p>
        </w:tc>
      </w:tr>
    </w:tbl>
    <w:p>
      <w:pPr>
        <w:spacing w:after="0" w:before="160"/>
      </w:pPr>
      <w:r>
        <w:t xml:space="preserve"/>
      </w:r>
    </w:p>
    <w:p>
      <w:pPr>
        <w:spacing w:after="80" w:before="180"/>
      </w:pPr>
      <w:r>
        <w:rPr>
          <w:rFonts w:ascii="Arial" w:cs="Arial" w:eastAsia="Arial" w:hAnsi="Arial"/>
          <w:b/>
          <w:bCs/>
          <w:color w:val="1B2A4A"/>
          <w:sz w:val="20"/>
          <w:szCs w:val="20"/>
        </w:rPr>
        <w:t xml:space="preserve">Keurig Dr Pepper  —  FY2023 Actual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Metric</w:t>
            </w:r>
          </w:p>
        </w:tc>
        <w:tc>
          <w:tcPr>
            <w:tcW w:type="dxa" w:w="676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Actual Result</w:t>
            </w:r>
          </w:p>
        </w:tc>
      </w:tr>
      <w:tr>
        <w:tc>
          <w:tcPr>
            <w:tcW w:type="dxa" w:w="26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Net Sales</w:t>
            </w:r>
          </w:p>
        </w:tc>
        <w:tc>
          <w:tcPr>
            <w:tcW w:type="dxa" w:w="67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$14.8B  |  +5.4% YoY from $14.1B in 2022</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Competitive Position</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Bystander in the cola war — Dr Pepper's flavoured positioning insulated KDP from Coke–Pepsi dynamics</w:t>
            </w:r>
          </w:p>
        </w:tc>
      </w:tr>
      <w:tr>
        <w:tc>
          <w:tcPr>
            <w:tcW w:type="dxa" w:w="26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Margin</w:t>
            </w:r>
          </w:p>
        </w:tc>
        <w:tc>
          <w:tcPr>
            <w:tcW w:type="dxa" w:w="67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Recovery underway as input costs moderated in H2 2023</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Source</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KDP FY2023 results  (Yahoo Finance / KDP investor relations)</w:t>
            </w:r>
          </w:p>
        </w:tc>
      </w:tr>
    </w:tbl>
    <w:p>
      <w:pPr>
        <w:pBdr>
          <w:bottom w:val="single" w:color="2E5FA3" w:sz="4" w:space="1"/>
        </w:pBdr>
        <w:spacing w:after="160" w:before="160"/>
      </w:pPr>
      <w:r>
        <w:t xml:space="preserve"/>
      </w:r>
    </w:p>
    <w:p>
      <w:pPr>
        <w:pBdr>
          <w:bottom w:val="single" w:color="2E5FA3" w:sz="6" w:space="4"/>
        </w:pBdr>
        <w:spacing w:after="160" w:before="280"/>
      </w:pPr>
      <w:r>
        <w:rPr>
          <w:rFonts w:ascii="Arial" w:cs="Arial" w:eastAsia="Arial" w:hAnsi="Arial"/>
          <w:b/>
          <w:bCs/>
          <w:color w:val="1B2A4A"/>
          <w:sz w:val="22"/>
          <w:szCs w:val="22"/>
        </w:rPr>
        <w:t xml:space="preserve">4.  ACCURACY ASSESSMENT</w:t>
      </w:r>
    </w:p>
    <w:p>
      <w:pPr>
        <w:spacing w:after="80" w:before="180"/>
      </w:pPr>
      <w:r>
        <w:rPr>
          <w:rFonts w:ascii="Arial" w:cs="Arial" w:eastAsia="Arial" w:hAnsi="Arial"/>
          <w:b/>
          <w:bCs/>
          <w:color w:val="1B2A4A"/>
          <w:sz w:val="20"/>
          <w:szCs w:val="20"/>
        </w:rPr>
        <w:t xml:space="preserve">Player-by-Player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060"/>
        <w:gridCol w:w="4100"/>
      </w:tblGrid>
      <w:tr>
        <w:tc>
          <w:tcPr>
            <w:tcW w:type="dxa" w:w="16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Player</w:t>
            </w:r>
          </w:p>
        </w:tc>
        <w:tc>
          <w:tcPr>
            <w:tcW w:type="dxa" w:w="13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Predicted</w:t>
            </w:r>
          </w:p>
        </w:tc>
        <w:tc>
          <w:tcPr>
            <w:tcW w:type="dxa" w:w="13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Actual</w:t>
            </w:r>
          </w:p>
        </w:tc>
        <w:tc>
          <w:tcPr>
            <w:tcW w:type="dxa" w:w="106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Accurate?</w:t>
            </w:r>
          </w:p>
        </w:tc>
        <w:tc>
          <w:tcPr>
            <w:tcW w:type="dxa" w:w="41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Gap / Explanation</w:t>
            </w:r>
          </w:p>
        </w:tc>
      </w:tr>
      <w:tr>
        <w:tc>
          <w:tcPr>
            <w:tcW w:type="dxa" w:w="16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Coca-Cola</w:t>
            </w:r>
          </w:p>
        </w:tc>
        <w:tc>
          <w:tcPr>
            <w:tcW w:type="dxa" w:w="13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Wins</w:t>
            </w:r>
          </w:p>
        </w:tc>
        <w:tc>
          <w:tcPr>
            <w:tcW w:type="dxa" w:w="13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Wins</w:t>
            </w:r>
          </w:p>
        </w:tc>
        <w:tc>
          <w:tcPr>
            <w:tcW w:type="dxa" w:w="106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  Correct</w:t>
            </w:r>
          </w:p>
        </w:tc>
        <w:tc>
          <w:tcPr>
            <w:tcW w:type="dxa" w:w="41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Simulation correctly identified brand equity as the sustaining factor. Financial estimate ($900M–$1.35B uplift) was within range of actual organic growth performance.</w:t>
            </w:r>
          </w:p>
        </w:tc>
      </w:tr>
      <w:tr>
        <w:tc>
          <w:tcPr>
            <w:tcW w:type="dxa" w:w="1600"/>
            <w:tcBorders>
              <w:top w:val="single" w:color="D1D5DB" w:sz="1"/>
              <w:left w:val="single" w:color="D1D5DB" w:sz="1"/>
              <w:bottom w:val="single" w:color="D1D5DB" w:sz="1"/>
              <w:right w:val="single" w:color="D1D5DB" w:sz="1"/>
            </w:tcBorders>
            <w:shd w:fill="FEF3DC"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B45309"/>
                <w:sz w:val="18"/>
                <w:szCs w:val="18"/>
              </w:rPr>
              <w:t xml:space="preserve">PepsiCo</w:t>
            </w:r>
          </w:p>
        </w:tc>
        <w:tc>
          <w:tcPr>
            <w:tcW w:type="dxa" w:w="1300"/>
            <w:tcBorders>
              <w:top w:val="single" w:color="D1D5DB" w:sz="1"/>
              <w:left w:val="single" w:color="D1D5DB" w:sz="1"/>
              <w:bottom w:val="single" w:color="D1D5DB" w:sz="1"/>
              <w:right w:val="single" w:color="D1D5DB" w:sz="1"/>
            </w:tcBorders>
            <w:shd w:fill="FEF3DC"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B45309"/>
                <w:sz w:val="18"/>
                <w:szCs w:val="18"/>
              </w:rPr>
              <w:t xml:space="preserve">Neutral</w:t>
            </w:r>
          </w:p>
        </w:tc>
        <w:tc>
          <w:tcPr>
            <w:tcW w:type="dxa" w:w="1300"/>
            <w:tcBorders>
              <w:top w:val="single" w:color="D1D5DB" w:sz="1"/>
              <w:left w:val="single" w:color="D1D5DB" w:sz="1"/>
              <w:bottom w:val="single" w:color="D1D5DB" w:sz="1"/>
              <w:right w:val="single" w:color="D1D5DB" w:sz="1"/>
            </w:tcBorders>
            <w:shd w:fill="FEF3DC"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B45309"/>
                <w:sz w:val="18"/>
                <w:szCs w:val="18"/>
              </w:rPr>
              <w:t xml:space="preserve">Loses</w:t>
            </w:r>
          </w:p>
        </w:tc>
        <w:tc>
          <w:tcPr>
            <w:tcW w:type="dxa" w:w="1060"/>
            <w:tcBorders>
              <w:top w:val="single" w:color="D1D5DB" w:sz="1"/>
              <w:left w:val="single" w:color="D1D5DB" w:sz="1"/>
              <w:bottom w:val="single" w:color="D1D5DB" w:sz="1"/>
              <w:right w:val="single" w:color="D1D5DB" w:sz="1"/>
            </w:tcBorders>
            <w:shd w:fill="FEF3DC"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B45309"/>
                <w:sz w:val="18"/>
                <w:szCs w:val="18"/>
              </w:rPr>
              <w:t xml:space="preserve">⚠  One Level</w:t>
            </w:r>
          </w:p>
        </w:tc>
        <w:tc>
          <w:tcPr>
            <w:tcW w:type="dxa" w:w="4100"/>
            <w:tcBorders>
              <w:top w:val="single" w:color="D1D5DB" w:sz="1"/>
              <w:left w:val="single" w:color="D1D5DB" w:sz="1"/>
              <w:bottom w:val="single" w:color="D1D5DB" w:sz="1"/>
              <w:right w:val="single" w:color="D1D5DB" w:sz="1"/>
            </w:tcBorders>
            <w:shd w:fill="FEF3DC"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Improved from "Wins" to "Neutral" after CEO statement was corrected to verified verbatim quotes. Still short of "Loses" because PepsiCo's Q1 2023 pricing (+16%) was structurally unknowable at the February 9 trigger date.</w:t>
            </w:r>
          </w:p>
        </w:tc>
      </w:tr>
      <w:tr>
        <w:tc>
          <w:tcPr>
            <w:tcW w:type="dxa" w:w="16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Keurig Dr Pepper</w:t>
            </w:r>
          </w:p>
        </w:tc>
        <w:tc>
          <w:tcPr>
            <w:tcW w:type="dxa" w:w="13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Neutral</w:t>
            </w:r>
          </w:p>
        </w:tc>
        <w:tc>
          <w:tcPr>
            <w:tcW w:type="dxa" w:w="13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Neutral</w:t>
            </w:r>
          </w:p>
        </w:tc>
        <w:tc>
          <w:tcPr>
            <w:tcW w:type="dxa" w:w="106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  Correct</w:t>
            </w:r>
          </w:p>
        </w:tc>
        <w:tc>
          <w:tcPr>
            <w:tcW w:type="dxa" w:w="41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Consistent across both simulation runs. Dr Pepper's segment insulation and margin recovery trajectory were correctly identified.</w:t>
            </w:r>
          </w:p>
        </w:tc>
      </w:tr>
      <w:tr>
        <w:tc>
          <w:tcPr>
            <w:tcW w:type="dxa" w:w="1600"/>
            <w:tcBorders>
              <w:top w:val="single" w:color="D1D5DB" w:sz="1"/>
              <w:left w:val="single" w:color="D1D5DB" w:sz="1"/>
              <w:bottom w:val="single" w:color="D1D5DB" w:sz="1"/>
              <w:right w:val="single" w:color="D1D5DB" w:sz="1"/>
            </w:tcBorders>
            <w:shd w:fill="FEF3DC"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B45309"/>
                <w:sz w:val="18"/>
                <w:szCs w:val="18"/>
              </w:rPr>
              <w:t xml:space="preserve">Overall Verdict</w:t>
            </w:r>
          </w:p>
        </w:tc>
        <w:tc>
          <w:tcPr>
            <w:tcW w:type="dxa" w:w="1300"/>
            <w:tcBorders>
              <w:top w:val="single" w:color="D1D5DB" w:sz="1"/>
              <w:left w:val="single" w:color="D1D5DB" w:sz="1"/>
              <w:bottom w:val="single" w:color="D1D5DB" w:sz="1"/>
              <w:right w:val="single" w:color="D1D5DB" w:sz="1"/>
            </w:tcBorders>
            <w:shd w:fill="FEF3DC"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B45309"/>
                <w:sz w:val="18"/>
                <w:szCs w:val="18"/>
              </w:rPr>
              <w:t xml:space="preserve">Proceed with Caution</w:t>
            </w:r>
          </w:p>
        </w:tc>
        <w:tc>
          <w:tcPr>
            <w:tcW w:type="dxa" w:w="1300"/>
            <w:tcBorders>
              <w:top w:val="single" w:color="D1D5DB" w:sz="1"/>
              <w:left w:val="single" w:color="D1D5DB" w:sz="1"/>
              <w:bottom w:val="single" w:color="D1D5DB" w:sz="1"/>
              <w:right w:val="single" w:color="D1D5DB" w:sz="1"/>
            </w:tcBorders>
            <w:shd w:fill="FEF3DC"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B45309"/>
                <w:sz w:val="18"/>
                <w:szCs w:val="18"/>
              </w:rPr>
              <w:t xml:space="preserve">Should be: Proceed</w:t>
            </w:r>
          </w:p>
        </w:tc>
        <w:tc>
          <w:tcPr>
            <w:tcW w:type="dxa" w:w="1060"/>
            <w:tcBorders>
              <w:top w:val="single" w:color="D1D5DB" w:sz="1"/>
              <w:left w:val="single" w:color="D1D5DB" w:sz="1"/>
              <w:bottom w:val="single" w:color="D1D5DB" w:sz="1"/>
              <w:right w:val="single" w:color="D1D5DB" w:sz="1"/>
            </w:tcBorders>
            <w:shd w:fill="FEF3DC"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B45309"/>
                <w:sz w:val="18"/>
                <w:szCs w:val="18"/>
              </w:rPr>
              <w:t xml:space="preserve">⚠  One Level</w:t>
            </w:r>
          </w:p>
        </w:tc>
        <w:tc>
          <w:tcPr>
            <w:tcW w:type="dxa" w:w="4100"/>
            <w:tcBorders>
              <w:top w:val="single" w:color="D1D5DB" w:sz="1"/>
              <w:left w:val="single" w:color="D1D5DB" w:sz="1"/>
              <w:bottom w:val="single" w:color="D1D5DB" w:sz="1"/>
              <w:right w:val="single" w:color="D1D5DB" w:sz="1"/>
            </w:tcBorders>
            <w:shd w:fill="FEF3DC"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The conservative verdict was driven by PepsiCo being modelled as Neutral rather than Loses. Correcting PepsiCo's posture would have flipped the verdict to PROCEED.</w:t>
            </w:r>
          </w:p>
        </w:tc>
      </w:tr>
    </w:tbl>
    <w:p>
      <w:pPr>
        <w:spacing w:after="0" w:before="160"/>
      </w:pPr>
      <w:r>
        <w:t xml:space="preserve"/>
      </w:r>
    </w:p>
    <w:p>
      <w:pPr>
        <w:spacing w:after="80" w:before="180"/>
      </w:pPr>
      <w:r>
        <w:rPr>
          <w:rFonts w:ascii="Arial" w:cs="Arial" w:eastAsia="Arial" w:hAnsi="Arial"/>
          <w:b/>
          <w:bCs/>
          <w:color w:val="1B2A4A"/>
          <w:sz w:val="20"/>
          <w:szCs w:val="20"/>
        </w:rPr>
        <w:t xml:space="preserve">Scenario Range  —  Where Did Reality Land?</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5FA3" w:sz="12"/>
              <w:left w:val="single" w:color="2E5FA3" w:sz="12"/>
              <w:bottom w:val="none"/>
              <w:right w:val="none"/>
            </w:tcBorders>
            <w:shd w:fill="D6E4F0" w:val="clear"/>
            <w:tcMar>
              <w:top w:type="dxa" w:w="120"/>
              <w:left w:type="dxa" w:w="200"/>
              <w:bottom w:type="dxa" w:w="120"/>
              <w:right w:type="dxa" w:w="200"/>
            </w:tcMar>
          </w:tcPr>
          <w:p>
            <w:pPr>
              <w:spacing w:after="80" w:before="0"/>
            </w:pPr>
            <w:r>
              <w:rPr>
                <w:rFonts w:ascii="Arial" w:cs="Arial" w:eastAsia="Arial" w:hAnsi="Arial"/>
                <w:b/>
                <w:bCs/>
                <w:color w:val="2E5FA3"/>
                <w:sz w:val="18"/>
                <w:szCs w:val="18"/>
              </w:rPr>
              <w:t xml:space="preserve">Actual outcome: Between Base Case and Best Case</w:t>
            </w:r>
          </w:p>
          <w:p>
            <w:pPr>
              <w:spacing w:after="0" w:before="0"/>
            </w:pPr>
            <w:r>
              <w:rPr>
                <w:rFonts w:ascii="Arial" w:cs="Arial" w:eastAsia="Arial" w:hAnsi="Arial"/>
                <w:color w:val="1E293B"/>
                <w:sz w:val="18"/>
                <w:szCs w:val="18"/>
              </w:rPr>
              <w:t xml:space="preserve">Coca-Cola FY2023 organic revenue growth of +12% and unit case volume of +2% exceeded the Base Case (4–5% revenue growth, 2–3% volume decline) and approached Best Case territory. The Worst Case (private label shelf grab, volume –4–5%) did not materialise for Coca-Cola, though private label category growth did occur broadly — consistent with the simulation's primary watchpoint.</w:t>
            </w:r>
          </w:p>
        </w:tc>
      </w:tr>
    </w:tbl>
    <w:p>
      <w:pPr>
        <w:spacing w:after="0" w:before="160"/>
      </w:pPr>
      <w:r>
        <w:t xml:space="preserve"/>
      </w:r>
    </w:p>
    <w:p>
      <w:pPr>
        <w:spacing w:after="80" w:before="180"/>
      </w:pPr>
      <w:r>
        <w:rPr>
          <w:rFonts w:ascii="Arial" w:cs="Arial" w:eastAsia="Arial" w:hAnsi="Arial"/>
          <w:b/>
          <w:bCs/>
          <w:color w:val="1B2A4A"/>
          <w:sz w:val="20"/>
          <w:szCs w:val="20"/>
        </w:rPr>
        <w:t xml:space="preserve">Watchpoint Retrospective  —  4 / 4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80"/>
        <w:gridCol w:w="5680"/>
      </w:tblGrid>
      <w:tr>
        <w:tc>
          <w:tcPr>
            <w:tcW w:type="dxa" w:w="4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w:t>
            </w:r>
          </w:p>
        </w:tc>
        <w:tc>
          <w:tcPr>
            <w:tcW w:type="dxa" w:w="328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Watchpoint (Simulation)</w:t>
            </w:r>
          </w:p>
        </w:tc>
        <w:tc>
          <w:tcPr>
            <w:tcW w:type="dxa" w:w="568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What Actually Happened</w:t>
            </w:r>
          </w:p>
        </w:tc>
      </w:tr>
      <w:tr>
        <w:tc>
          <w:tcPr>
            <w:tcW w:type="dxa" w:w="4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1</w:t>
            </w:r>
          </w:p>
        </w:tc>
        <w:tc>
          <w:tcPr>
            <w:tcW w:type="dxa" w:w="328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Watch Walmart / Kroger for private label beverage expansion in Q1 2023</w:t>
            </w:r>
          </w:p>
        </w:tc>
        <w:tc>
          <w:tcPr>
            <w:tcW w:type="dxa" w:w="568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  Private label beverages gained meaningful shelf space at major US retailers throughout 2023</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2</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Watch PepsiCo for promotional feature activity in March–April 2023</w:t>
            </w:r>
          </w:p>
        </w:tc>
        <w:tc>
          <w:tcPr>
            <w:tcW w:type="dxa" w:w="5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  PepsiCo increased trade spend and promotional activity during 2023 as volumes deteriorated</w:t>
            </w:r>
          </w:p>
        </w:tc>
      </w:tr>
      <w:tr>
        <w:tc>
          <w:tcPr>
            <w:tcW w:type="dxa" w:w="40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3</w:t>
            </w:r>
          </w:p>
        </w:tc>
        <w:tc>
          <w:tcPr>
            <w:tcW w:type="dxa" w:w="328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Watch US CPI — if it drops below 5% YoY, trade-down risk diminishes</w:t>
            </w:r>
          </w:p>
        </w:tc>
        <w:tc>
          <w:tcPr>
            <w:tcW w:type="dxa" w:w="5680"/>
            <w:tcBorders>
              <w:top w:val="single" w:color="D1D5DB" w:sz="1"/>
              <w:left w:val="single" w:color="D1D5DB" w:sz="1"/>
              <w:bottom w:val="single" w:color="D1D5DB" w:sz="1"/>
              <w:right w:val="single" w:color="D1D5DB" w:sz="1"/>
            </w:tcBorders>
            <w:shd w:fill="D4EDD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  US CPI fell from ~6% to ~4% by mid-2023, exactly the signal described</w:t>
            </w:r>
          </w:p>
        </w:tc>
      </w:tr>
      <w:tr>
        <w:tc>
          <w:tcPr>
            <w:tcW w:type="dxa" w:w="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4</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Watch KDP for magnitude-5+ pricing in Q2 — would validate pricing durability</w:t>
            </w:r>
          </w:p>
        </w:tc>
        <w:tc>
          <w:tcPr>
            <w:tcW w:type="dxa" w:w="5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A6B3C"/>
                <w:sz w:val="18"/>
                <w:szCs w:val="18"/>
              </w:rPr>
              <w:t xml:space="preserve">✓  KDP raised prices moderately in 2023, validating a durable category pricing environment</w:t>
            </w:r>
          </w:p>
        </w:tc>
      </w:tr>
    </w:tbl>
    <w:p>
      <w:pPr>
        <w:spacing w:after="120" w:before="120"/>
        <w:jc w:val="left"/>
      </w:pPr>
      <w:r>
        <w:rPr>
          <w:rFonts w:ascii="Arial" w:cs="Arial" w:eastAsia="Arial" w:hAnsi="Arial"/>
          <w:b/>
          <w:bCs/>
          <w:i/>
          <w:iCs/>
          <w:color w:val="1A6B3C"/>
          <w:sz w:val="18"/>
          <w:szCs w:val="18"/>
        </w:rPr>
        <w:t xml:space="preserve">All four watchpoints materialised. The watchpoints section was the most accurate output of the entire simulation.</w:t>
      </w:r>
    </w:p>
    <w:p>
      <w:pPr>
        <w:pBdr>
          <w:bottom w:val="single" w:color="2E5FA3" w:sz="4" w:space="1"/>
        </w:pBdr>
        <w:spacing w:after="160" w:before="160"/>
      </w:pPr>
      <w:r>
        <w:t xml:space="preserve"/>
      </w:r>
    </w:p>
    <w:p>
      <w:pPr>
        <w:pBdr>
          <w:bottom w:val="single" w:color="2E5FA3" w:sz="6" w:space="4"/>
        </w:pBdr>
        <w:spacing w:after="160" w:before="280"/>
      </w:pPr>
      <w:r>
        <w:rPr>
          <w:rFonts w:ascii="Arial" w:cs="Arial" w:eastAsia="Arial" w:hAnsi="Arial"/>
          <w:b/>
          <w:bCs/>
          <w:color w:val="1B2A4A"/>
          <w:sz w:val="22"/>
          <w:szCs w:val="22"/>
        </w:rPr>
        <w:t xml:space="preserve">5.  LIMITATIONS AND HONEST ASSESSMENT</w:t>
      </w:r>
    </w:p>
    <w:p>
      <w:pPr>
        <w:spacing w:after="80" w:before="180"/>
      </w:pPr>
      <w:r>
        <w:rPr>
          <w:rFonts w:ascii="Arial" w:cs="Arial" w:eastAsia="Arial" w:hAnsi="Arial"/>
          <w:b/>
          <w:bCs/>
          <w:color w:val="1B2A4A"/>
          <w:sz w:val="20"/>
          <w:szCs w:val="20"/>
        </w:rPr>
        <w:t xml:space="preserve">Structural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Limitation</w:t>
            </w:r>
          </w:p>
        </w:tc>
        <w:tc>
          <w:tcPr>
            <w:tcW w:type="dxa" w:w="6560"/>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Explanation</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Forward pricing opacity</w:t>
            </w:r>
          </w:p>
        </w:tc>
        <w:tc>
          <w:tcPr>
            <w:tcW w:type="dxa" w:w="65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The single most significant miss was PepsiCo's actual Q1 2023 pricing (+16%). This information did not exist on February 9, 2023. No simulation tool — human or AI — could have predicted a competitor's unreleased pricing decisions. This is a structural constraint of any forward-looking analysis, not a model failure.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Input quality sensitivity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The initial CEO statement for PepsiCo was a paraphrase, not a verbatim quote. When corrected to actual verified quotes, PepsiCo's prediction improved from "Wins" to "Neutral." This demonstrates that input quality is the binding constraint on output accuracy — the reasoning engine is sound.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E293B"/>
                <w:sz w:val="18"/>
                <w:szCs w:val="18"/>
              </w:rPr>
              <w:t xml:space="preserve">Brand equity weighting</w:t>
            </w:r>
          </w:p>
        </w:tc>
        <w:tc>
          <w:tcPr>
            <w:tcW w:type="dxa" w:w="656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1E293B"/>
                <w:sz w:val="18"/>
                <w:szCs w:val="18"/>
              </w:rPr>
              <w:t xml:space="preserve">Coca-Cola's actual outcome (volume +2% despite +10% pricing) exceeded even the simulation's Best Case. The scoring model does not have a dedicated brand equity input; brand moats appear to be underweighted in the current v1 formulation.</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5FA3" w:sz="12"/>
              <w:left w:val="single" w:color="2E5FA3" w:sz="12"/>
              <w:bottom w:val="none"/>
              <w:right w:val="none"/>
            </w:tcBorders>
            <w:shd w:fill="D6E4F0" w:val="clear"/>
            <w:tcMar>
              <w:top w:type="dxa" w:w="120"/>
              <w:left w:type="dxa" w:w="200"/>
              <w:bottom w:type="dxa" w:w="120"/>
              <w:right w:type="dxa" w:w="200"/>
            </w:tcMar>
          </w:tcPr>
          <w:p>
            <w:pPr>
              <w:spacing w:after="80" w:before="0"/>
            </w:pPr>
            <w:r>
              <w:rPr>
                <w:rFonts w:ascii="Arial" w:cs="Arial" w:eastAsia="Arial" w:hAnsi="Arial"/>
                <w:b/>
                <w:bCs/>
                <w:color w:val="2E5FA3"/>
                <w:sz w:val="18"/>
                <w:szCs w:val="18"/>
              </w:rPr>
              <w:t xml:space="preserve">Overall Assessment</w:t>
            </w:r>
          </w:p>
          <w:p>
            <w:pPr>
              <w:spacing w:after="0" w:before="0"/>
            </w:pPr>
            <w:r>
              <w:rPr>
                <w:rFonts w:ascii="Arial" w:cs="Arial" w:eastAsia="Arial" w:hAnsi="Arial"/>
                <w:color w:val="1E293B"/>
                <w:sz w:val="18"/>
                <w:szCs w:val="18"/>
              </w:rPr>
              <w:t xml:space="preserve">CompetitorSim correctly identified the winner (Coca-Cola), correctly identified the neutral party (KDP), and correctly flagged all four key signals to watch. It missed PepsiCo's outcome by one level — Neutral vs. Loses — due to information that was structurally unavailable at the trigger date. The overall verdict (PROCEED WITH CAUTION vs. PROCEED) was one level conservative for the same reason. Financial estimates for Coca-Cola ($900M–$1.35B revenue uplift) were within range of actual results. For a proof-of-concept tool operating solely on publicly available data at the point of decision, this represents a meaningful validation of the underlying methodology.</w:t>
            </w:r>
          </w:p>
        </w:tc>
      </w:tr>
    </w:tbl>
    <w:p>
      <w:pPr>
        <w:pBdr>
          <w:bottom w:val="single" w:color="2E5FA3" w:sz="4" w:space="1"/>
        </w:pBdr>
        <w:spacing w:after="160" w:before="160"/>
      </w:pPr>
      <w:r>
        <w:t xml:space="preserve"/>
      </w:r>
    </w:p>
    <w:p>
      <w:pPr>
        <w:pBdr>
          <w:bottom w:val="single" w:color="2E5FA3" w:sz="6" w:space="4"/>
        </w:pBdr>
        <w:spacing w:after="160" w:before="280"/>
      </w:pPr>
      <w:r>
        <w:rPr>
          <w:rFonts w:ascii="Arial" w:cs="Arial" w:eastAsia="Arial" w:hAnsi="Arial"/>
          <w:b/>
          <w:bCs/>
          <w:color w:val="1B2A4A"/>
          <w:sz w:val="22"/>
          <w:szCs w:val="22"/>
        </w:rPr>
        <w:t xml:space="preserve">6.  SOURCES</w:t>
      </w:r>
    </w:p>
    <w:p>
      <w:pPr>
        <w:spacing w:after="120" w:before="0"/>
        <w:jc w:val="left"/>
      </w:pPr>
      <w:r>
        <w:rPr>
          <w:rFonts w:ascii="Arial" w:cs="Arial" w:eastAsia="Arial" w:hAnsi="Arial"/>
          <w:b w:val="false"/>
          <w:bCs w:val="false"/>
          <w:i/>
          <w:iCs/>
          <w:color w:val="64748B"/>
          <w:sz w:val="18"/>
          <w:szCs w:val="18"/>
        </w:rPr>
        <w:t xml:space="preserve">All data used in this validation study is from primary public sources. No proprietary or paywalled data was used.</w:t>
      </w:r>
    </w:p>
    <w:p>
      <w:pPr>
        <w:spacing w:after="60" w:before="60"/>
      </w:pPr>
      <w:r>
        <w:rPr>
          <w:rFonts w:ascii="Arial" w:cs="Arial" w:eastAsia="Arial" w:hAnsi="Arial"/>
          <w:b/>
          <w:bCs/>
          <w:color w:val="1B2A4A"/>
          <w:sz w:val="18"/>
          <w:szCs w:val="18"/>
        </w:rPr>
        <w:t xml:space="preserve">1.  </w:t>
      </w:r>
      <w:r>
        <w:rPr>
          <w:rFonts w:ascii="Arial" w:cs="Arial" w:eastAsia="Arial" w:hAnsi="Arial"/>
          <w:b/>
          <w:bCs/>
          <w:color w:val="1E293B"/>
          <w:sz w:val="18"/>
          <w:szCs w:val="18"/>
        </w:rPr>
        <w:t xml:space="preserve">Coca-Cola FY2023 Earnings Release</w:t>
      </w:r>
      <w:r>
        <w:rPr>
          <w:rFonts w:ascii="Arial" w:cs="Arial" w:eastAsia="Arial" w:hAnsi="Arial"/>
          <w:color w:val="1E293B"/>
          <w:sz w:val="18"/>
          <w:szCs w:val="18"/>
        </w:rPr>
        <w:t xml:space="preserve">  —  "Coca-Cola Reports Fourth Quarter and Full-Year 2023 Results," February 13, 2024.  </w:t>
      </w:r>
      <w:r>
        <w:rPr>
          <w:rFonts w:ascii="Arial" w:cs="Arial" w:eastAsia="Arial" w:hAnsi="Arial"/>
          <w:i/>
          <w:iCs/>
          <w:color w:val="2E5FA3"/>
          <w:sz w:val="18"/>
          <w:szCs w:val="18"/>
        </w:rPr>
        <w:t xml:space="preserve">investors.coca-colacompany.com  |  businesswire.com</w:t>
      </w:r>
    </w:p>
    <w:p>
      <w:pPr>
        <w:spacing w:after="60" w:before="60"/>
      </w:pPr>
      <w:r>
        <w:rPr>
          <w:rFonts w:ascii="Arial" w:cs="Arial" w:eastAsia="Arial" w:hAnsi="Arial"/>
          <w:b/>
          <w:bCs/>
          <w:color w:val="1B2A4A"/>
          <w:sz w:val="18"/>
          <w:szCs w:val="18"/>
        </w:rPr>
        <w:t xml:space="preserve">2.  </w:t>
      </w:r>
      <w:r>
        <w:rPr>
          <w:rFonts w:ascii="Arial" w:cs="Arial" w:eastAsia="Arial" w:hAnsi="Arial"/>
          <w:b/>
          <w:bCs/>
          <w:color w:val="1E293B"/>
          <w:sz w:val="18"/>
          <w:szCs w:val="18"/>
        </w:rPr>
        <w:t xml:space="preserve">Coca-Cola FY2022 Earnings Release</w:t>
      </w:r>
      <w:r>
        <w:rPr>
          <w:rFonts w:ascii="Arial" w:cs="Arial" w:eastAsia="Arial" w:hAnsi="Arial"/>
          <w:color w:val="1E293B"/>
          <w:sz w:val="18"/>
          <w:szCs w:val="18"/>
        </w:rPr>
        <w:t xml:space="preserve">  —  "Coca-Cola Reports Fourth Quarter and Full-Year 2022 Results," February 9, 2023.  </w:t>
      </w:r>
      <w:r>
        <w:rPr>
          <w:rFonts w:ascii="Arial" w:cs="Arial" w:eastAsia="Arial" w:hAnsi="Arial"/>
          <w:i/>
          <w:iCs/>
          <w:color w:val="2E5FA3"/>
          <w:sz w:val="18"/>
          <w:szCs w:val="18"/>
        </w:rPr>
        <w:t xml:space="preserve">coca-colacompany.com</w:t>
      </w:r>
    </w:p>
    <w:p>
      <w:pPr>
        <w:spacing w:after="60" w:before="60"/>
      </w:pPr>
      <w:r>
        <w:rPr>
          <w:rFonts w:ascii="Arial" w:cs="Arial" w:eastAsia="Arial" w:hAnsi="Arial"/>
          <w:b/>
          <w:bCs/>
          <w:color w:val="1B2A4A"/>
          <w:sz w:val="18"/>
          <w:szCs w:val="18"/>
        </w:rPr>
        <w:t xml:space="preserve">3.  </w:t>
      </w:r>
      <w:r>
        <w:rPr>
          <w:rFonts w:ascii="Arial" w:cs="Arial" w:eastAsia="Arial" w:hAnsi="Arial"/>
          <w:b/>
          <w:bCs/>
          <w:color w:val="1E293B"/>
          <w:sz w:val="18"/>
          <w:szCs w:val="18"/>
        </w:rPr>
        <w:t xml:space="preserve">James Quincey Q4 2022 Pricing Quote</w:t>
      </w:r>
      <w:r>
        <w:rPr>
          <w:rFonts w:ascii="Arial" w:cs="Arial" w:eastAsia="Arial" w:hAnsi="Arial"/>
          <w:color w:val="1E293B"/>
          <w:sz w:val="18"/>
          <w:szCs w:val="18"/>
        </w:rPr>
        <w:t xml:space="preserve">  —  FoodBev Media, February 2023; StockInsights earnings transcript.  </w:t>
      </w:r>
      <w:r>
        <w:rPr>
          <w:rFonts w:ascii="Arial" w:cs="Arial" w:eastAsia="Arial" w:hAnsi="Arial"/>
          <w:i/>
          <w:iCs/>
          <w:color w:val="2E5FA3"/>
          <w:sz w:val="18"/>
          <w:szCs w:val="18"/>
        </w:rPr>
        <w:t xml:space="preserve">foodbev.com  |  stockinsights.ai</w:t>
      </w:r>
    </w:p>
    <w:p>
      <w:pPr>
        <w:spacing w:after="60" w:before="60"/>
      </w:pPr>
      <w:r>
        <w:rPr>
          <w:rFonts w:ascii="Arial" w:cs="Arial" w:eastAsia="Arial" w:hAnsi="Arial"/>
          <w:b/>
          <w:bCs/>
          <w:color w:val="1B2A4A"/>
          <w:sz w:val="18"/>
          <w:szCs w:val="18"/>
        </w:rPr>
        <w:t xml:space="preserve">4.  </w:t>
      </w:r>
      <w:r>
        <w:rPr>
          <w:rFonts w:ascii="Arial" w:cs="Arial" w:eastAsia="Arial" w:hAnsi="Arial"/>
          <w:b/>
          <w:bCs/>
          <w:color w:val="1E293B"/>
          <w:sz w:val="18"/>
          <w:szCs w:val="18"/>
        </w:rPr>
        <w:t xml:space="preserve">PepsiCo FY2022 Annual Report</w:t>
      </w:r>
      <w:r>
        <w:rPr>
          <w:rFonts w:ascii="Arial" w:cs="Arial" w:eastAsia="Arial" w:hAnsi="Arial"/>
          <w:color w:val="1E293B"/>
          <w:sz w:val="18"/>
          <w:szCs w:val="18"/>
        </w:rPr>
        <w:t xml:space="preserve">  —  Form 10-K, filed February 2023.  </w:t>
      </w:r>
      <w:r>
        <w:rPr>
          <w:rFonts w:ascii="Arial" w:cs="Arial" w:eastAsia="Arial" w:hAnsi="Arial"/>
          <w:i/>
          <w:iCs/>
          <w:color w:val="2E5FA3"/>
          <w:sz w:val="18"/>
          <w:szCs w:val="18"/>
        </w:rPr>
        <w:t xml:space="preserve">SEC EDGAR (CIK 0000077476)  |  sec.gov</w:t>
      </w:r>
    </w:p>
    <w:p>
      <w:pPr>
        <w:spacing w:after="60" w:before="60"/>
      </w:pPr>
      <w:r>
        <w:rPr>
          <w:rFonts w:ascii="Arial" w:cs="Arial" w:eastAsia="Arial" w:hAnsi="Arial"/>
          <w:b/>
          <w:bCs/>
          <w:color w:val="1B2A4A"/>
          <w:sz w:val="18"/>
          <w:szCs w:val="18"/>
        </w:rPr>
        <w:t xml:space="preserve">5.  </w:t>
      </w:r>
      <w:r>
        <w:rPr>
          <w:rFonts w:ascii="Arial" w:cs="Arial" w:eastAsia="Arial" w:hAnsi="Arial"/>
          <w:b/>
          <w:bCs/>
          <w:color w:val="1E293B"/>
          <w:sz w:val="18"/>
          <w:szCs w:val="18"/>
        </w:rPr>
        <w:t xml:space="preserve">PepsiCo Q4 2022 Earnings Press Release</w:t>
      </w:r>
      <w:r>
        <w:rPr>
          <w:rFonts w:ascii="Arial" w:cs="Arial" w:eastAsia="Arial" w:hAnsi="Arial"/>
          <w:color w:val="1E293B"/>
          <w:sz w:val="18"/>
          <w:szCs w:val="18"/>
        </w:rPr>
        <w:t xml:space="preserve">  —  February 9, 2023.  </w:t>
      </w:r>
      <w:r>
        <w:rPr>
          <w:rFonts w:ascii="Arial" w:cs="Arial" w:eastAsia="Arial" w:hAnsi="Arial"/>
          <w:i/>
          <w:iCs/>
          <w:color w:val="2E5FA3"/>
          <w:sz w:val="18"/>
          <w:szCs w:val="18"/>
        </w:rPr>
        <w:t xml:space="preserve">investors.pepsico.com</w:t>
      </w:r>
    </w:p>
    <w:p>
      <w:pPr>
        <w:spacing w:after="60" w:before="60"/>
      </w:pPr>
      <w:r>
        <w:rPr>
          <w:rFonts w:ascii="Arial" w:cs="Arial" w:eastAsia="Arial" w:hAnsi="Arial"/>
          <w:b/>
          <w:bCs/>
          <w:color w:val="1B2A4A"/>
          <w:sz w:val="18"/>
          <w:szCs w:val="18"/>
        </w:rPr>
        <w:t xml:space="preserve">6.  </w:t>
      </w:r>
      <w:r>
        <w:rPr>
          <w:rFonts w:ascii="Arial" w:cs="Arial" w:eastAsia="Arial" w:hAnsi="Arial"/>
          <w:b/>
          <w:bCs/>
          <w:color w:val="1E293B"/>
          <w:sz w:val="18"/>
          <w:szCs w:val="18"/>
        </w:rPr>
        <w:t xml:space="preserve">PepsiCo Q1 2023 Earnings Call Transcript</w:t>
      </w:r>
      <w:r>
        <w:rPr>
          <w:rFonts w:ascii="Arial" w:cs="Arial" w:eastAsia="Arial" w:hAnsi="Arial"/>
          <w:color w:val="1E293B"/>
          <w:sz w:val="18"/>
          <w:szCs w:val="18"/>
        </w:rPr>
        <w:t xml:space="preserve">  —  April 25, 2023. Insider Monkey.  </w:t>
      </w:r>
      <w:r>
        <w:rPr>
          <w:rFonts w:ascii="Arial" w:cs="Arial" w:eastAsia="Arial" w:hAnsi="Arial"/>
          <w:i/>
          <w:iCs/>
          <w:color w:val="2E5FA3"/>
          <w:sz w:val="18"/>
          <w:szCs w:val="18"/>
        </w:rPr>
        <w:t xml:space="preserve">insidermonkey.com/blog/pepsico-inc-nasdaqpep-q1-2023-earnings-call-transcript</w:t>
      </w:r>
    </w:p>
    <w:p>
      <w:pPr>
        <w:spacing w:after="60" w:before="60"/>
      </w:pPr>
      <w:r>
        <w:rPr>
          <w:rFonts w:ascii="Arial" w:cs="Arial" w:eastAsia="Arial" w:hAnsi="Arial"/>
          <w:b/>
          <w:bCs/>
          <w:color w:val="1B2A4A"/>
          <w:sz w:val="18"/>
          <w:szCs w:val="18"/>
        </w:rPr>
        <w:t xml:space="preserve">7.  </w:t>
      </w:r>
      <w:r>
        <w:rPr>
          <w:rFonts w:ascii="Arial" w:cs="Arial" w:eastAsia="Arial" w:hAnsi="Arial"/>
          <w:b/>
          <w:bCs/>
          <w:color w:val="1E293B"/>
          <w:sz w:val="18"/>
          <w:szCs w:val="18"/>
        </w:rPr>
        <w:t xml:space="preserve">PepsiCo Q3 2023 SEC 8-K</w:t>
      </w:r>
      <w:r>
        <w:rPr>
          <w:rFonts w:ascii="Arial" w:cs="Arial" w:eastAsia="Arial" w:hAnsi="Arial"/>
          <w:color w:val="1E293B"/>
          <w:sz w:val="18"/>
          <w:szCs w:val="18"/>
        </w:rPr>
        <w:t xml:space="preserve">  —  PBNA volume data.  </w:t>
      </w:r>
      <w:r>
        <w:rPr>
          <w:rFonts w:ascii="Arial" w:cs="Arial" w:eastAsia="Arial" w:hAnsi="Arial"/>
          <w:i/>
          <w:iCs/>
          <w:color w:val="2E5FA3"/>
          <w:sz w:val="18"/>
          <w:szCs w:val="18"/>
        </w:rPr>
        <w:t xml:space="preserve">SEC EDGAR  |  sec.gov</w:t>
      </w:r>
    </w:p>
    <w:p>
      <w:pPr>
        <w:spacing w:after="60" w:before="60"/>
      </w:pPr>
      <w:r>
        <w:rPr>
          <w:rFonts w:ascii="Arial" w:cs="Arial" w:eastAsia="Arial" w:hAnsi="Arial"/>
          <w:b/>
          <w:bCs/>
          <w:color w:val="1B2A4A"/>
          <w:sz w:val="18"/>
          <w:szCs w:val="18"/>
        </w:rPr>
        <w:t xml:space="preserve">8.  </w:t>
      </w:r>
      <w:r>
        <w:rPr>
          <w:rFonts w:ascii="Arial" w:cs="Arial" w:eastAsia="Arial" w:hAnsi="Arial"/>
          <w:b/>
          <w:bCs/>
          <w:color w:val="1E293B"/>
          <w:sz w:val="18"/>
          <w:szCs w:val="18"/>
        </w:rPr>
        <w:t xml:space="preserve">PepsiCo Pricing Signal</w:t>
      </w:r>
      <w:r>
        <w:rPr>
          <w:rFonts w:ascii="Arial" w:cs="Arial" w:eastAsia="Arial" w:hAnsi="Arial"/>
          <w:color w:val="1E293B"/>
          <w:sz w:val="18"/>
          <w:szCs w:val="18"/>
        </w:rPr>
        <w:t xml:space="preserve">  —  Food Navigator USA, April 25, 2023.  </w:t>
      </w:r>
      <w:r>
        <w:rPr>
          <w:rFonts w:ascii="Arial" w:cs="Arial" w:eastAsia="Arial" w:hAnsi="Arial"/>
          <w:i/>
          <w:iCs/>
          <w:color w:val="2E5FA3"/>
          <w:sz w:val="18"/>
          <w:szCs w:val="18"/>
        </w:rPr>
        <w:t xml:space="preserve">foodnavigator-usa.com</w:t>
      </w:r>
    </w:p>
    <w:p>
      <w:pPr>
        <w:spacing w:after="60" w:before="60"/>
      </w:pPr>
      <w:r>
        <w:rPr>
          <w:rFonts w:ascii="Arial" w:cs="Arial" w:eastAsia="Arial" w:hAnsi="Arial"/>
          <w:b/>
          <w:bCs/>
          <w:color w:val="1B2A4A"/>
          <w:sz w:val="18"/>
          <w:szCs w:val="18"/>
        </w:rPr>
        <w:t xml:space="preserve">9.  </w:t>
      </w:r>
      <w:r>
        <w:rPr>
          <w:rFonts w:ascii="Arial" w:cs="Arial" w:eastAsia="Arial" w:hAnsi="Arial"/>
          <w:b/>
          <w:bCs/>
          <w:color w:val="1E293B"/>
          <w:sz w:val="18"/>
          <w:szCs w:val="18"/>
        </w:rPr>
        <w:t xml:space="preserve">PepsiCo Volume Challenges</w:t>
      </w:r>
      <w:r>
        <w:rPr>
          <w:rFonts w:ascii="Arial" w:cs="Arial" w:eastAsia="Arial" w:hAnsi="Arial"/>
          <w:color w:val="1E293B"/>
          <w:sz w:val="18"/>
          <w:szCs w:val="18"/>
        </w:rPr>
        <w:t xml:space="preserve">  —  BeverageDaily, April 2024.  </w:t>
      </w:r>
      <w:r>
        <w:rPr>
          <w:rFonts w:ascii="Arial" w:cs="Arial" w:eastAsia="Arial" w:hAnsi="Arial"/>
          <w:i/>
          <w:iCs/>
          <w:color w:val="2E5FA3"/>
          <w:sz w:val="18"/>
          <w:szCs w:val="18"/>
        </w:rPr>
        <w:t xml:space="preserve">beveragedaily.com</w:t>
      </w:r>
    </w:p>
    <w:p>
      <w:pPr>
        <w:spacing w:after="60" w:before="60"/>
      </w:pPr>
      <w:r>
        <w:rPr>
          <w:rFonts w:ascii="Arial" w:cs="Arial" w:eastAsia="Arial" w:hAnsi="Arial"/>
          <w:b/>
          <w:bCs/>
          <w:color w:val="1B2A4A"/>
          <w:sz w:val="18"/>
          <w:szCs w:val="18"/>
        </w:rPr>
        <w:t xml:space="preserve">10.  </w:t>
      </w:r>
      <w:r>
        <w:rPr>
          <w:rFonts w:ascii="Arial" w:cs="Arial" w:eastAsia="Arial" w:hAnsi="Arial"/>
          <w:b/>
          <w:bCs/>
          <w:color w:val="1E293B"/>
          <w:sz w:val="18"/>
          <w:szCs w:val="18"/>
        </w:rPr>
        <w:t xml:space="preserve">Keurig Dr Pepper FY2022 Earnings</w:t>
      </w:r>
      <w:r>
        <w:rPr>
          <w:rFonts w:ascii="Arial" w:cs="Arial" w:eastAsia="Arial" w:hAnsi="Arial"/>
          <w:color w:val="1E293B"/>
          <w:sz w:val="18"/>
          <w:szCs w:val="18"/>
        </w:rPr>
        <w:t xml:space="preserve">  —  Press Release, February 23, 2023.  </w:t>
      </w:r>
      <w:r>
        <w:rPr>
          <w:rFonts w:ascii="Arial" w:cs="Arial" w:eastAsia="Arial" w:hAnsi="Arial"/>
          <w:i/>
          <w:iCs/>
          <w:color w:val="2E5FA3"/>
          <w:sz w:val="18"/>
          <w:szCs w:val="18"/>
        </w:rPr>
        <w:t xml:space="preserve">PR Newswire  |  prnewswire.com</w:t>
      </w:r>
    </w:p>
    <w:p>
      <w:pPr>
        <w:spacing w:after="60" w:before="60"/>
      </w:pPr>
      <w:r>
        <w:rPr>
          <w:rFonts w:ascii="Arial" w:cs="Arial" w:eastAsia="Arial" w:hAnsi="Arial"/>
          <w:b/>
          <w:bCs/>
          <w:color w:val="1B2A4A"/>
          <w:sz w:val="18"/>
          <w:szCs w:val="18"/>
        </w:rPr>
        <w:t xml:space="preserve">11.  </w:t>
      </w:r>
      <w:r>
        <w:rPr>
          <w:rFonts w:ascii="Arial" w:cs="Arial" w:eastAsia="Arial" w:hAnsi="Arial"/>
          <w:b/>
          <w:bCs/>
          <w:color w:val="1E293B"/>
          <w:sz w:val="18"/>
          <w:szCs w:val="18"/>
        </w:rPr>
        <w:t xml:space="preserve">Keurig Dr Pepper FY2023 Results</w:t>
      </w:r>
      <w:r>
        <w:rPr>
          <w:rFonts w:ascii="Arial" w:cs="Arial" w:eastAsia="Arial" w:hAnsi="Arial"/>
          <w:color w:val="1E293B"/>
          <w:sz w:val="18"/>
          <w:szCs w:val="18"/>
        </w:rPr>
        <w:t xml:space="preserve">  —  Yahoo Finance.  </w:t>
      </w:r>
      <w:r>
        <w:rPr>
          <w:rFonts w:ascii="Arial" w:cs="Arial" w:eastAsia="Arial" w:hAnsi="Arial"/>
          <w:i/>
          <w:iCs/>
          <w:color w:val="2E5FA3"/>
          <w:sz w:val="18"/>
          <w:szCs w:val="18"/>
        </w:rPr>
        <w:t xml:space="preserve">finance.yahoo.com</w:t>
      </w:r>
    </w:p>
    <w:p>
      <w:pPr>
        <w:spacing w:after="60" w:before="60"/>
      </w:pPr>
      <w:r>
        <w:rPr>
          <w:rFonts w:ascii="Arial" w:cs="Arial" w:eastAsia="Arial" w:hAnsi="Arial"/>
          <w:b/>
          <w:bCs/>
          <w:color w:val="1B2A4A"/>
          <w:sz w:val="18"/>
          <w:szCs w:val="18"/>
        </w:rPr>
        <w:t xml:space="preserve">12.  </w:t>
      </w:r>
      <w:r>
        <w:rPr>
          <w:rFonts w:ascii="Arial" w:cs="Arial" w:eastAsia="Arial" w:hAnsi="Arial"/>
          <w:b/>
          <w:bCs/>
          <w:color w:val="1E293B"/>
          <w:sz w:val="18"/>
          <w:szCs w:val="18"/>
        </w:rPr>
        <w:t xml:space="preserve">US CSD Market Share Data</w:t>
      </w:r>
      <w:r>
        <w:rPr>
          <w:rFonts w:ascii="Arial" w:cs="Arial" w:eastAsia="Arial" w:hAnsi="Arial"/>
          <w:color w:val="1E293B"/>
          <w:sz w:val="18"/>
          <w:szCs w:val="18"/>
        </w:rPr>
        <w:t xml:space="preserve">  —  2021–2022 annual share data.  </w:t>
      </w:r>
      <w:r>
        <w:rPr>
          <w:rFonts w:ascii="Arial" w:cs="Arial" w:eastAsia="Arial" w:hAnsi="Arial"/>
          <w:i/>
          <w:iCs/>
          <w:color w:val="2E5FA3"/>
          <w:sz w:val="18"/>
          <w:szCs w:val="18"/>
        </w:rPr>
        <w:t xml:space="preserve">Statista  |  statista.com/statistics/225504</w:t>
      </w:r>
    </w:p>
    <w:p>
      <w:pPr>
        <w:spacing w:after="60" w:before="60"/>
      </w:pPr>
      <w:r>
        <w:rPr>
          <w:rFonts w:ascii="Arial" w:cs="Arial" w:eastAsia="Arial" w:hAnsi="Arial"/>
          <w:b/>
          <w:bCs/>
          <w:color w:val="1B2A4A"/>
          <w:sz w:val="18"/>
          <w:szCs w:val="18"/>
        </w:rPr>
        <w:t xml:space="preserve">13.  </w:t>
      </w:r>
      <w:r>
        <w:rPr>
          <w:rFonts w:ascii="Arial" w:cs="Arial" w:eastAsia="Arial" w:hAnsi="Arial"/>
          <w:b/>
          <w:bCs/>
          <w:color w:val="1E293B"/>
          <w:sz w:val="18"/>
          <w:szCs w:val="18"/>
        </w:rPr>
        <w:t xml:space="preserve">US Consumer Price Index 2023</w:t>
      </w:r>
      <w:r>
        <w:rPr>
          <w:rFonts w:ascii="Arial" w:cs="Arial" w:eastAsia="Arial" w:hAnsi="Arial"/>
          <w:color w:val="1E293B"/>
          <w:sz w:val="18"/>
          <w:szCs w:val="18"/>
        </w:rPr>
        <w:t xml:space="preserve">  —  Monthly CPI data.  </w:t>
      </w:r>
      <w:r>
        <w:rPr>
          <w:rFonts w:ascii="Arial" w:cs="Arial" w:eastAsia="Arial" w:hAnsi="Arial"/>
          <w:i/>
          <w:iCs/>
          <w:color w:val="2E5FA3"/>
          <w:sz w:val="18"/>
          <w:szCs w:val="18"/>
        </w:rPr>
        <w:t xml:space="preserve">US Bureau of Labor Statistics  |  bls.gov</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after="0" w:before="100"/>
    </w:pPr>
    <w:r>
      <w:rPr>
        <w:rFonts w:ascii="Arial" w:cs="Arial" w:eastAsia="Arial" w:hAnsi="Arial"/>
        <w:color w:val="64748B"/>
        <w:sz w:val="16"/>
        <w:szCs w:val="16"/>
      </w:rPr>
      <w:t xml:space="preserve">CompetitorSim | Proof of Concept Validation Study | Confidential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100" w:before="0"/>
    </w:pPr>
    <w:r>
      <w:rPr>
        <w:rFonts w:ascii="Arial" w:cs="Arial" w:eastAsia="Arial" w:hAnsi="Arial"/>
        <w:color w:val="64748B"/>
        <w:sz w:val="16"/>
        <w:szCs w:val="16"/>
      </w:rPr>
      <w:t xml:space="preserve">CompetitorSim  |  Validation Study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2026-06-10T01:27:23.563Z</dcterms:created>
  <dcterms:modified xsi:type="dcterms:W3CDTF">2026-06-10T01:27:23.564Z</dcterms:modified>
</cp:coreProperties>
</file>

<file path=docProps/custom.xml><?xml version="1.0" encoding="utf-8"?>
<Properties xmlns="http://schemas.openxmlformats.org/officeDocument/2006/custom-properties" xmlns:vt="http://schemas.openxmlformats.org/officeDocument/2006/docPropsVTypes"/>
</file>