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C5BF" w14:textId="5E0709E8" w:rsidR="007716C1" w:rsidRPr="001B6BBF" w:rsidRDefault="007716C1" w:rsidP="001C4713">
      <w:pPr>
        <w:spacing w:line="360" w:lineRule="auto"/>
        <w:jc w:val="center"/>
        <w:rPr>
          <w:rFonts w:ascii="Times New Roman" w:hAnsi="Times New Roman" w:cs="Times New Roman"/>
          <w:b/>
          <w:bCs/>
          <w:u w:val="single"/>
          <w:lang w:val="en-US"/>
        </w:rPr>
      </w:pPr>
      <w:r w:rsidRPr="001B6BBF">
        <w:rPr>
          <w:rFonts w:ascii="Times New Roman" w:hAnsi="Times New Roman" w:cs="Times New Roman"/>
          <w:b/>
          <w:bCs/>
          <w:u w:val="single"/>
          <w:lang w:val="en-US"/>
        </w:rPr>
        <w:t>Introduction</w:t>
      </w:r>
    </w:p>
    <w:p w14:paraId="4601F689" w14:textId="1B539C95" w:rsidR="00AC2B04" w:rsidRPr="001B6BBF" w:rsidRDefault="006513F6"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The role of technology, with its capabilities and limitations, is becoming increasingly vital in our personal lives and throughout our societies. How well people can exercise their basic rights is influenced not just by laws and societal standards but by the technological tools available to them. Lately, revelations about the misuse of personal information have elevated the discussion on data privacy to new heights. </w:t>
      </w:r>
      <w:r w:rsidR="001B6BBF">
        <w:rPr>
          <w:rFonts w:ascii="Times New Roman" w:hAnsi="Times New Roman" w:cs="Times New Roman"/>
          <w:lang w:val="en-US"/>
        </w:rPr>
        <w:t>The development and application of technology must</w:t>
      </w:r>
      <w:r w:rsidRPr="001B6BBF">
        <w:rPr>
          <w:rFonts w:ascii="Times New Roman" w:hAnsi="Times New Roman" w:cs="Times New Roman"/>
          <w:lang w:val="en-US"/>
        </w:rPr>
        <w:t xml:space="preserve"> prioritize </w:t>
      </w:r>
      <w:r w:rsidR="001B6BBF">
        <w:rPr>
          <w:rFonts w:ascii="Times New Roman" w:hAnsi="Times New Roman" w:cs="Times New Roman"/>
          <w:lang w:val="en-US"/>
        </w:rPr>
        <w:t>protecting</w:t>
      </w:r>
      <w:r w:rsidRPr="001B6BBF">
        <w:rPr>
          <w:rFonts w:ascii="Times New Roman" w:hAnsi="Times New Roman" w:cs="Times New Roman"/>
          <w:lang w:val="en-US"/>
        </w:rPr>
        <w:t xml:space="preserve"> individual rights over the narrow financial motives of a select group of companies. </w:t>
      </w:r>
    </w:p>
    <w:p w14:paraId="5CA20E90" w14:textId="09A9A76C" w:rsidR="00AC2B04" w:rsidRPr="001B6BBF" w:rsidRDefault="006513F6"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In </w:t>
      </w:r>
      <w:r w:rsidR="001B6BBF">
        <w:rPr>
          <w:rFonts w:ascii="Times New Roman" w:hAnsi="Times New Roman" w:cs="Times New Roman"/>
          <w:lang w:val="en-US"/>
        </w:rPr>
        <w:t>early 2018, discussi</w:t>
      </w:r>
      <w:r w:rsidR="00DB51A4">
        <w:rPr>
          <w:rFonts w:ascii="Times New Roman" w:hAnsi="Times New Roman" w:cs="Times New Roman"/>
          <w:lang w:val="en-US"/>
        </w:rPr>
        <w:t>ons centering</w:t>
      </w:r>
      <w:r w:rsidR="001B6BBF">
        <w:rPr>
          <w:rFonts w:ascii="Times New Roman" w:hAnsi="Times New Roman" w:cs="Times New Roman"/>
          <w:lang w:val="en-US"/>
        </w:rPr>
        <w:t xml:space="preserve"> </w:t>
      </w:r>
      <w:r w:rsidR="00DB51A4">
        <w:rPr>
          <w:rFonts w:ascii="Times New Roman" w:hAnsi="Times New Roman" w:cs="Times New Roman"/>
          <w:lang w:val="en-US"/>
        </w:rPr>
        <w:t xml:space="preserve">around </w:t>
      </w:r>
      <w:r w:rsidR="001B6BBF">
        <w:rPr>
          <w:rFonts w:ascii="Times New Roman" w:hAnsi="Times New Roman" w:cs="Times New Roman"/>
          <w:lang w:val="en-US"/>
        </w:rPr>
        <w:t>handling</w:t>
      </w:r>
      <w:r w:rsidRPr="001B6BBF">
        <w:rPr>
          <w:rFonts w:ascii="Times New Roman" w:hAnsi="Times New Roman" w:cs="Times New Roman"/>
          <w:lang w:val="en-US"/>
        </w:rPr>
        <w:t xml:space="preserve"> </w:t>
      </w:r>
      <w:r w:rsidR="00DB51A4">
        <w:rPr>
          <w:rFonts w:ascii="Times New Roman" w:hAnsi="Times New Roman" w:cs="Times New Roman"/>
          <w:lang w:val="en-US"/>
        </w:rPr>
        <w:t xml:space="preserve">of </w:t>
      </w:r>
      <w:r w:rsidRPr="001B6BBF">
        <w:rPr>
          <w:rFonts w:ascii="Times New Roman" w:hAnsi="Times New Roman" w:cs="Times New Roman"/>
          <w:lang w:val="en-US"/>
        </w:rPr>
        <w:t>personal data via sophisticated ICT (</w:t>
      </w:r>
      <w:r w:rsidR="00DB51A4">
        <w:rPr>
          <w:rFonts w:ascii="Times New Roman" w:hAnsi="Times New Roman" w:cs="Times New Roman"/>
          <w:lang w:val="en-US"/>
        </w:rPr>
        <w:t>I</w:t>
      </w:r>
      <w:r w:rsidRPr="001B6BBF">
        <w:rPr>
          <w:rFonts w:ascii="Times New Roman" w:hAnsi="Times New Roman" w:cs="Times New Roman"/>
          <w:lang w:val="en-US"/>
        </w:rPr>
        <w:t xml:space="preserve">nformation and </w:t>
      </w:r>
      <w:r w:rsidR="00DB51A4">
        <w:rPr>
          <w:rFonts w:ascii="Times New Roman" w:hAnsi="Times New Roman" w:cs="Times New Roman"/>
          <w:lang w:val="en-US"/>
        </w:rPr>
        <w:t>C</w:t>
      </w:r>
      <w:r w:rsidRPr="001B6BBF">
        <w:rPr>
          <w:rFonts w:ascii="Times New Roman" w:hAnsi="Times New Roman" w:cs="Times New Roman"/>
          <w:lang w:val="en-US"/>
        </w:rPr>
        <w:t xml:space="preserve">ommunication </w:t>
      </w:r>
      <w:r w:rsidR="00DB51A4">
        <w:rPr>
          <w:rFonts w:ascii="Times New Roman" w:hAnsi="Times New Roman" w:cs="Times New Roman"/>
          <w:lang w:val="en-US"/>
        </w:rPr>
        <w:t>T</w:t>
      </w:r>
      <w:r w:rsidRPr="001B6BBF">
        <w:rPr>
          <w:rFonts w:ascii="Times New Roman" w:hAnsi="Times New Roman" w:cs="Times New Roman"/>
          <w:lang w:val="en-US"/>
        </w:rPr>
        <w:t>echnology) surged to unparalleled heights. Committees within the European Parliament</w:t>
      </w:r>
      <w:r w:rsidRPr="001B6BBF">
        <w:rPr>
          <w:rStyle w:val="FootnoteReference"/>
          <w:rFonts w:ascii="Times New Roman" w:hAnsi="Times New Roman" w:cs="Times New Roman"/>
          <w:lang w:val="en-US"/>
        </w:rPr>
        <w:footnoteReference w:id="1"/>
      </w:r>
      <w:r w:rsidRPr="001B6BBF">
        <w:rPr>
          <w:rFonts w:ascii="Times New Roman" w:hAnsi="Times New Roman" w:cs="Times New Roman"/>
          <w:lang w:val="en-US"/>
        </w:rPr>
        <w:t>, the U.S. Congress</w:t>
      </w:r>
      <w:r w:rsidRPr="001B6BBF">
        <w:rPr>
          <w:rStyle w:val="FootnoteReference"/>
          <w:rFonts w:ascii="Times New Roman" w:hAnsi="Times New Roman" w:cs="Times New Roman"/>
          <w:lang w:val="en-US"/>
        </w:rPr>
        <w:footnoteReference w:id="2"/>
      </w:r>
      <w:r w:rsidRPr="001B6BBF">
        <w:rPr>
          <w:rFonts w:ascii="Times New Roman" w:hAnsi="Times New Roman" w:cs="Times New Roman"/>
          <w:lang w:val="en-US"/>
        </w:rPr>
        <w:t>, and national legislatures of EU countries, including Germany</w:t>
      </w:r>
      <w:r w:rsidRPr="001B6BBF">
        <w:rPr>
          <w:rStyle w:val="FootnoteReference"/>
          <w:rFonts w:ascii="Times New Roman" w:hAnsi="Times New Roman" w:cs="Times New Roman"/>
          <w:lang w:val="en-US"/>
        </w:rPr>
        <w:footnoteReference w:id="3"/>
      </w:r>
      <w:r w:rsidRPr="001B6BBF">
        <w:rPr>
          <w:rFonts w:ascii="Times New Roman" w:hAnsi="Times New Roman" w:cs="Times New Roman"/>
          <w:lang w:val="en-US"/>
        </w:rPr>
        <w:t>, and France</w:t>
      </w:r>
      <w:r w:rsidRPr="001B6BBF">
        <w:rPr>
          <w:rStyle w:val="FootnoteReference"/>
          <w:rFonts w:ascii="Times New Roman" w:hAnsi="Times New Roman" w:cs="Times New Roman"/>
          <w:lang w:val="en-US"/>
        </w:rPr>
        <w:footnoteReference w:id="4"/>
      </w:r>
      <w:r w:rsidRPr="001B6BBF">
        <w:rPr>
          <w:rFonts w:ascii="Times New Roman" w:hAnsi="Times New Roman" w:cs="Times New Roman"/>
          <w:lang w:val="en-US"/>
        </w:rPr>
        <w:t xml:space="preserve">, </w:t>
      </w:r>
      <w:r w:rsidR="00DB51A4">
        <w:rPr>
          <w:rFonts w:ascii="Times New Roman" w:hAnsi="Times New Roman" w:cs="Times New Roman"/>
          <w:lang w:val="en-US"/>
        </w:rPr>
        <w:t xml:space="preserve">started </w:t>
      </w:r>
      <w:r w:rsidRPr="001B6BBF">
        <w:rPr>
          <w:rFonts w:ascii="Times New Roman" w:hAnsi="Times New Roman" w:cs="Times New Roman"/>
          <w:lang w:val="en-US"/>
        </w:rPr>
        <w:t xml:space="preserve">conducting or contemplating probes. Lawmakers alongside the broader public, </w:t>
      </w:r>
      <w:r w:rsidR="00DB51A4">
        <w:rPr>
          <w:rFonts w:ascii="Times New Roman" w:hAnsi="Times New Roman" w:cs="Times New Roman"/>
          <w:lang w:val="en-US"/>
        </w:rPr>
        <w:t>were</w:t>
      </w:r>
      <w:r w:rsidRPr="001B6BBF">
        <w:rPr>
          <w:rFonts w:ascii="Times New Roman" w:hAnsi="Times New Roman" w:cs="Times New Roman"/>
          <w:lang w:val="en-US"/>
        </w:rPr>
        <w:t xml:space="preserve"> eager to comprehend the methodologies behind the tracking of individual online activities and the subsequent usage of amassed personal data. A key aspect of these inquiries involve</w:t>
      </w:r>
      <w:r w:rsidR="00DB51A4">
        <w:rPr>
          <w:rFonts w:ascii="Times New Roman" w:hAnsi="Times New Roman" w:cs="Times New Roman"/>
          <w:lang w:val="en-US"/>
        </w:rPr>
        <w:t>d</w:t>
      </w:r>
      <w:r w:rsidRPr="001B6BBF">
        <w:rPr>
          <w:rFonts w:ascii="Times New Roman" w:hAnsi="Times New Roman" w:cs="Times New Roman"/>
          <w:lang w:val="en-US"/>
        </w:rPr>
        <w:t xml:space="preserve"> the testimonies from executives at major technology corporations.</w:t>
      </w:r>
      <w:r w:rsidR="00AC2B04" w:rsidRPr="001B6BBF">
        <w:rPr>
          <w:rFonts w:ascii="Times New Roman" w:hAnsi="Times New Roman" w:cs="Times New Roman"/>
          <w:lang w:val="en-US"/>
        </w:rPr>
        <w:t xml:space="preserve"> </w:t>
      </w:r>
    </w:p>
    <w:p w14:paraId="56FC9959" w14:textId="0EBF3F7D" w:rsidR="00B537E8" w:rsidRPr="001B6BBF" w:rsidRDefault="00AC2B04"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As concern over privacy issues heightens</w:t>
      </w:r>
      <w:r w:rsidR="00DB51A4">
        <w:rPr>
          <w:rFonts w:ascii="Times New Roman" w:hAnsi="Times New Roman" w:cs="Times New Roman"/>
          <w:lang w:val="en-US"/>
        </w:rPr>
        <w:t xml:space="preserve"> today</w:t>
      </w:r>
      <w:r w:rsidRPr="001B6BBF">
        <w:rPr>
          <w:rFonts w:ascii="Times New Roman" w:hAnsi="Times New Roman" w:cs="Times New Roman"/>
          <w:lang w:val="en-US"/>
        </w:rPr>
        <w:t>, a growing number of consumers are becoming hesitant to share their personal data with companies. In 2019, data from the Pew Research Center</w:t>
      </w:r>
      <w:r w:rsidRPr="001B6BBF">
        <w:rPr>
          <w:rStyle w:val="FootnoteReference"/>
          <w:rFonts w:ascii="Times New Roman" w:hAnsi="Times New Roman" w:cs="Times New Roman"/>
          <w:lang w:val="en-US"/>
        </w:rPr>
        <w:footnoteReference w:id="5"/>
      </w:r>
      <w:r w:rsidRPr="001B6BBF">
        <w:rPr>
          <w:rFonts w:ascii="Times New Roman" w:hAnsi="Times New Roman" w:cs="Times New Roman"/>
          <w:lang w:val="en-US"/>
        </w:rPr>
        <w:t xml:space="preserve"> indicated that 81% of American consumers were apprehensive about businesses gathering their personal information</w:t>
      </w:r>
      <w:r w:rsidR="00DB51A4">
        <w:rPr>
          <w:rFonts w:ascii="Times New Roman" w:hAnsi="Times New Roman" w:cs="Times New Roman"/>
          <w:lang w:val="en-US"/>
        </w:rPr>
        <w:t xml:space="preserve"> (</w:t>
      </w:r>
      <w:r w:rsidR="00DB51A4">
        <w:rPr>
          <w:rFonts w:ascii="Times New Roman" w:hAnsi="Times New Roman" w:cs="Times New Roman"/>
          <w:i/>
          <w:iCs/>
          <w:lang w:val="en-US"/>
        </w:rPr>
        <w:t>see below)</w:t>
      </w:r>
      <w:r w:rsidRPr="001B6BBF">
        <w:rPr>
          <w:rFonts w:ascii="Times New Roman" w:hAnsi="Times New Roman" w:cs="Times New Roman"/>
          <w:lang w:val="en-US"/>
        </w:rPr>
        <w:t>.</w:t>
      </w:r>
      <w:r w:rsidR="00DB51A4">
        <w:rPr>
          <w:rFonts w:ascii="Times New Roman" w:hAnsi="Times New Roman" w:cs="Times New Roman"/>
          <w:lang w:val="en-US"/>
        </w:rPr>
        <w:t xml:space="preserve"> </w:t>
      </w:r>
      <w:r w:rsidR="00B537E8" w:rsidRPr="001B6BBF">
        <w:rPr>
          <w:rFonts w:ascii="Times New Roman" w:hAnsi="Times New Roman" w:cs="Times New Roman"/>
          <w:lang w:val="en-US"/>
        </w:rPr>
        <w:t xml:space="preserve">Many Americans believe they have barely any control over the data collected and used by companies the government and its agencies. </w:t>
      </w:r>
    </w:p>
    <w:p w14:paraId="5B7FBDC9" w14:textId="77777777" w:rsidR="00B537E8" w:rsidRPr="001B6BBF" w:rsidRDefault="00B537E8" w:rsidP="001C4713">
      <w:pPr>
        <w:spacing w:line="360" w:lineRule="auto"/>
        <w:jc w:val="both"/>
        <w:rPr>
          <w:rFonts w:ascii="Times New Roman" w:hAnsi="Times New Roman" w:cs="Times New Roman"/>
          <w:lang w:val="en-US"/>
        </w:rPr>
      </w:pPr>
    </w:p>
    <w:p w14:paraId="7A59CD9B" w14:textId="7D73C7F4" w:rsidR="00B537E8" w:rsidRPr="001B6BBF" w:rsidRDefault="004D5577" w:rsidP="001C4713">
      <w:pPr>
        <w:spacing w:line="360" w:lineRule="auto"/>
        <w:jc w:val="both"/>
        <w:rPr>
          <w:rFonts w:ascii="Times New Roman" w:hAnsi="Times New Roman" w:cs="Times New Roman"/>
          <w:lang w:val="en-US"/>
        </w:rPr>
      </w:pPr>
      <w:r>
        <w:rPr>
          <w:noProof/>
        </w:rPr>
        <w:lastRenderedPageBreak/>
        <w:drawing>
          <wp:inline distT="0" distB="0" distL="0" distR="0" wp14:anchorId="5DCAD34D" wp14:editId="39D3E3CA">
            <wp:extent cx="5731510" cy="2913380"/>
            <wp:effectExtent l="0" t="0" r="8890" b="7620"/>
            <wp:docPr id="1628812385" name="Chart 1">
              <a:extLst xmlns:a="http://schemas.openxmlformats.org/drawingml/2006/main">
                <a:ext uri="{FF2B5EF4-FFF2-40B4-BE49-F238E27FC236}">
                  <a16:creationId xmlns:a16="http://schemas.microsoft.com/office/drawing/2014/main" id="{E1026792-88C6-0917-E0D0-EA564515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4C8A98" w14:textId="433C68AC" w:rsidR="00AC2B04" w:rsidRPr="001B6BBF" w:rsidRDefault="00AC2B04"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Collecting customer data is typically critical for the smooth functioning of businesses. Thus, </w:t>
      </w:r>
      <w:r w:rsidR="00773133" w:rsidRPr="001B6BBF">
        <w:rPr>
          <w:rFonts w:ascii="Times New Roman" w:hAnsi="Times New Roman" w:cs="Times New Roman"/>
          <w:lang w:val="en-US"/>
        </w:rPr>
        <w:t>building and maintaining customer trust becomes essential</w:t>
      </w:r>
      <w:r w:rsidRPr="001B6BBF">
        <w:rPr>
          <w:rFonts w:ascii="Times New Roman" w:hAnsi="Times New Roman" w:cs="Times New Roman"/>
          <w:lang w:val="en-US"/>
        </w:rPr>
        <w:t xml:space="preserve"> through a commitment to their privacy. This commitment can be demonstrated by adopting a strategy centered on privacy by design.</w:t>
      </w:r>
      <w:r w:rsidR="00DB51A4">
        <w:rPr>
          <w:rFonts w:ascii="Times New Roman" w:hAnsi="Times New Roman" w:cs="Times New Roman"/>
          <w:lang w:val="en-US"/>
        </w:rPr>
        <w:t xml:space="preserve"> Privacy by Design </w:t>
      </w:r>
      <w:r w:rsidR="00DB51A4" w:rsidRPr="00DB51A4">
        <w:rPr>
          <w:rFonts w:ascii="Times New Roman" w:hAnsi="Times New Roman" w:cs="Times New Roman"/>
          <w:lang w:val="en-US"/>
        </w:rPr>
        <w:t>is a proactive strategy to guarantee data security and privacy from the very beginning of any system, service, or product development. Integrating privacy into the architecture and design of IT systems and business procedures is the fundamental component of</w:t>
      </w:r>
      <w:r w:rsidR="00DB51A4">
        <w:rPr>
          <w:rFonts w:ascii="Times New Roman" w:hAnsi="Times New Roman" w:cs="Times New Roman"/>
          <w:lang w:val="en-US"/>
        </w:rPr>
        <w:t xml:space="preserve"> this concept. </w:t>
      </w:r>
    </w:p>
    <w:p w14:paraId="5D5B8878" w14:textId="376B92F7" w:rsidR="007716C1" w:rsidRPr="001B6BBF" w:rsidRDefault="00773133" w:rsidP="00DB51A4">
      <w:pPr>
        <w:spacing w:line="360" w:lineRule="auto"/>
        <w:rPr>
          <w:rFonts w:ascii="Times New Roman" w:hAnsi="Times New Roman" w:cs="Times New Roman"/>
          <w:b/>
          <w:bCs/>
          <w:u w:val="single"/>
          <w:lang w:val="en-US"/>
        </w:rPr>
      </w:pPr>
      <w:r w:rsidRPr="001B6BBF">
        <w:rPr>
          <w:rFonts w:ascii="Times New Roman" w:hAnsi="Times New Roman" w:cs="Times New Roman"/>
          <w:b/>
          <w:bCs/>
          <w:u w:val="single"/>
          <w:lang w:val="en-US"/>
        </w:rPr>
        <w:t>P</w:t>
      </w:r>
      <w:r w:rsidR="007716C1" w:rsidRPr="001B6BBF">
        <w:rPr>
          <w:rFonts w:ascii="Times New Roman" w:hAnsi="Times New Roman" w:cs="Times New Roman"/>
          <w:b/>
          <w:bCs/>
          <w:u w:val="single"/>
          <w:lang w:val="en-US"/>
        </w:rPr>
        <w:t>rivacy by design</w:t>
      </w:r>
    </w:p>
    <w:p w14:paraId="2B8B64D3" w14:textId="31E2F848" w:rsidR="00663AA1" w:rsidRPr="001B6BBF" w:rsidRDefault="00663AA1"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Privacy-by-design represents an engineering philosophy in which privacy considerations are embedded into the product design process from the earliest stages, rather than treating data protection and consumer privacy as secondary considerations to be addressed after a product’s development or at the culmination of its lifecycle. This methodology ensures that privacy safeguards are foundational, </w:t>
      </w:r>
      <w:r w:rsidR="00DB51A4">
        <w:rPr>
          <w:rFonts w:ascii="Times New Roman" w:hAnsi="Times New Roman" w:cs="Times New Roman"/>
          <w:lang w:val="en-US"/>
        </w:rPr>
        <w:t xml:space="preserve">and not </w:t>
      </w:r>
      <w:r w:rsidRPr="001B6BBF">
        <w:rPr>
          <w:rFonts w:ascii="Times New Roman" w:hAnsi="Times New Roman" w:cs="Times New Roman"/>
          <w:lang w:val="en-US"/>
        </w:rPr>
        <w:t>retrofit</w:t>
      </w:r>
      <w:r w:rsidR="00DB51A4">
        <w:rPr>
          <w:rFonts w:ascii="Times New Roman" w:hAnsi="Times New Roman" w:cs="Times New Roman"/>
          <w:lang w:val="en-US"/>
        </w:rPr>
        <w:t xml:space="preserve">ted post development. </w:t>
      </w:r>
    </w:p>
    <w:p w14:paraId="2F97213D" w14:textId="0BBB8E70" w:rsidR="00C10CC9" w:rsidRPr="001B6BBF" w:rsidRDefault="00CF3497"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Article 25</w:t>
      </w:r>
      <w:r w:rsidRPr="001B6BBF">
        <w:rPr>
          <w:rStyle w:val="FootnoteReference"/>
          <w:rFonts w:ascii="Times New Roman" w:hAnsi="Times New Roman" w:cs="Times New Roman"/>
          <w:lang w:val="en-US"/>
        </w:rPr>
        <w:footnoteReference w:id="6"/>
      </w:r>
      <w:r w:rsidRPr="001B6BBF">
        <w:rPr>
          <w:rFonts w:ascii="Times New Roman" w:hAnsi="Times New Roman" w:cs="Times New Roman"/>
          <w:lang w:val="en-US"/>
        </w:rPr>
        <w:t xml:space="preserve"> of the GDPR, titled "Data Protection by Design and by Default,"</w:t>
      </w:r>
      <w:r w:rsidR="006C2A98" w:rsidRPr="001B6BBF">
        <w:rPr>
          <w:rStyle w:val="FootnoteReference"/>
          <w:rFonts w:ascii="Times New Roman" w:hAnsi="Times New Roman" w:cs="Times New Roman"/>
          <w:lang w:val="en-US"/>
        </w:rPr>
        <w:footnoteReference w:id="7"/>
      </w:r>
      <w:r w:rsidRPr="001B6BBF">
        <w:rPr>
          <w:rFonts w:ascii="Times New Roman" w:hAnsi="Times New Roman" w:cs="Times New Roman"/>
          <w:lang w:val="en-US"/>
        </w:rPr>
        <w:t xml:space="preserve">mandates that controllers must apply suitable technical and organizational measures from both the design and operational phases of data processing. These measures, decided based on current technological capabilities, cost, and the processing's nature, aim to embed data protection safeguards in </w:t>
      </w:r>
      <w:r w:rsidRPr="001B6BBF">
        <w:rPr>
          <w:rFonts w:ascii="Times New Roman" w:hAnsi="Times New Roman" w:cs="Times New Roman"/>
          <w:lang w:val="en-US"/>
        </w:rPr>
        <w:lastRenderedPageBreak/>
        <w:t>compliance with the Regulation and ensure the protection of data subjects' fundamental rights. It highlights that only the personal data necessary for each specific processing purpose should be handled by default. Additionally, it mentions that obtaining approved certification can help demonstrate adherence to these requirements</w:t>
      </w:r>
      <w:r w:rsidR="006C2A98" w:rsidRPr="001B6BBF">
        <w:rPr>
          <w:rStyle w:val="FootnoteReference"/>
          <w:rFonts w:ascii="Times New Roman" w:hAnsi="Times New Roman" w:cs="Times New Roman"/>
          <w:lang w:val="en-US"/>
        </w:rPr>
        <w:footnoteReference w:id="8"/>
      </w:r>
      <w:r w:rsidR="00C10CC9" w:rsidRPr="001B6BBF">
        <w:rPr>
          <w:rFonts w:ascii="Times New Roman" w:hAnsi="Times New Roman" w:cs="Times New Roman"/>
          <w:lang w:val="en-US"/>
        </w:rPr>
        <w:t>.</w:t>
      </w:r>
    </w:p>
    <w:p w14:paraId="32B54D2C" w14:textId="44882BA1" w:rsidR="007716C1" w:rsidRPr="001B6BBF" w:rsidRDefault="006C2A98"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Moreover, the origin of these principles is rooted in the Data Protection Directive 95/46/EC</w:t>
      </w:r>
      <w:r w:rsidRPr="001B6BBF">
        <w:rPr>
          <w:rStyle w:val="FootnoteReference"/>
          <w:rFonts w:ascii="Times New Roman" w:hAnsi="Times New Roman" w:cs="Times New Roman"/>
          <w:lang w:val="en-US"/>
        </w:rPr>
        <w:footnoteReference w:id="9"/>
      </w:r>
      <w:r w:rsidRPr="001B6BBF">
        <w:rPr>
          <w:rFonts w:ascii="Times New Roman" w:hAnsi="Times New Roman" w:cs="Times New Roman"/>
          <w:lang w:val="en-US"/>
        </w:rPr>
        <w:t xml:space="preserve">, which </w:t>
      </w:r>
      <w:r w:rsidR="009212CA">
        <w:rPr>
          <w:rFonts w:ascii="Times New Roman" w:hAnsi="Times New Roman" w:cs="Times New Roman"/>
          <w:lang w:val="en-US"/>
        </w:rPr>
        <w:t>GDPR subsequently succeeded</w:t>
      </w:r>
      <w:r w:rsidRPr="001B6BBF">
        <w:rPr>
          <w:rFonts w:ascii="Times New Roman" w:hAnsi="Times New Roman" w:cs="Times New Roman"/>
          <w:lang w:val="en-US"/>
        </w:rPr>
        <w:t>. Recital 46 of the Directive emphasizes the importance of incorporating technical and organizational measures to protect individual</w:t>
      </w:r>
      <w:r w:rsidR="009212CA">
        <w:rPr>
          <w:rFonts w:ascii="Times New Roman" w:hAnsi="Times New Roman" w:cs="Times New Roman"/>
          <w:lang w:val="en-US"/>
        </w:rPr>
        <w:t>'s</w:t>
      </w:r>
      <w:r w:rsidRPr="001B6BBF">
        <w:rPr>
          <w:rFonts w:ascii="Times New Roman" w:hAnsi="Times New Roman" w:cs="Times New Roman"/>
          <w:lang w:val="en-US"/>
        </w:rPr>
        <w:t xml:space="preserve"> rights and freedoms in relation to data processing, starting from the system's design phase and continuing through all processing operations.</w:t>
      </w:r>
    </w:p>
    <w:p w14:paraId="49FBC0D1" w14:textId="2027A10E" w:rsidR="00114423" w:rsidRPr="001B6BBF" w:rsidRDefault="00114423"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As deployment frequency continues to increase, treating security and privacy as secondary concerns will lead to a manually intensive, protracted, and expensive process unlikely to keep pace, perpetually lagging. Furthermore, the loss of</w:t>
      </w:r>
      <w:r w:rsidR="00DB51A4">
        <w:rPr>
          <w:rFonts w:ascii="Times New Roman" w:hAnsi="Times New Roman" w:cs="Times New Roman"/>
          <w:lang w:val="en-US"/>
        </w:rPr>
        <w:t xml:space="preserve"> a</w:t>
      </w:r>
      <w:r w:rsidRPr="001B6BBF">
        <w:rPr>
          <w:rFonts w:ascii="Times New Roman" w:hAnsi="Times New Roman" w:cs="Times New Roman"/>
          <w:lang w:val="en-US"/>
        </w:rPr>
        <w:t xml:space="preserve"> customers' data could seriously damage </w:t>
      </w:r>
      <w:r w:rsidR="00DB51A4">
        <w:rPr>
          <w:rFonts w:ascii="Times New Roman" w:hAnsi="Times New Roman" w:cs="Times New Roman"/>
          <w:lang w:val="en-US"/>
        </w:rPr>
        <w:t xml:space="preserve">an </w:t>
      </w:r>
      <w:r w:rsidRPr="001B6BBF">
        <w:rPr>
          <w:rFonts w:ascii="Times New Roman" w:hAnsi="Times New Roman" w:cs="Times New Roman"/>
          <w:lang w:val="en-US"/>
        </w:rPr>
        <w:t xml:space="preserve">organization's brand and financial standing due to significant costs. </w:t>
      </w:r>
      <w:r w:rsidR="00794E2E">
        <w:rPr>
          <w:rFonts w:ascii="Times New Roman" w:hAnsi="Times New Roman" w:cs="Times New Roman"/>
          <w:lang w:val="en-US"/>
        </w:rPr>
        <w:t xml:space="preserve">The principal insights presented </w:t>
      </w:r>
      <w:r w:rsidR="00DB51A4">
        <w:rPr>
          <w:rFonts w:ascii="Times New Roman" w:hAnsi="Times New Roman" w:cs="Times New Roman"/>
          <w:lang w:val="en-US"/>
        </w:rPr>
        <w:t>are derived</w:t>
      </w:r>
      <w:r w:rsidR="00794E2E">
        <w:rPr>
          <w:rFonts w:ascii="Times New Roman" w:hAnsi="Times New Roman" w:cs="Times New Roman"/>
          <w:lang w:val="en-US"/>
        </w:rPr>
        <w:t xml:space="preserve"> from </w:t>
      </w:r>
      <w:r w:rsidR="009212CA">
        <w:rPr>
          <w:rFonts w:ascii="Times New Roman" w:hAnsi="Times New Roman" w:cs="Times New Roman"/>
          <w:lang w:val="en-US"/>
        </w:rPr>
        <w:t>examining</w:t>
      </w:r>
      <w:r w:rsidR="00794E2E">
        <w:rPr>
          <w:rFonts w:ascii="Times New Roman" w:hAnsi="Times New Roman" w:cs="Times New Roman"/>
          <w:lang w:val="en-US"/>
        </w:rPr>
        <w:t xml:space="preserve"> research data compiled by the </w:t>
      </w:r>
      <w:proofErr w:type="spellStart"/>
      <w:r w:rsidR="00794E2E">
        <w:rPr>
          <w:rFonts w:ascii="Times New Roman" w:hAnsi="Times New Roman" w:cs="Times New Roman"/>
          <w:lang w:val="en-US"/>
        </w:rPr>
        <w:t>Ponemon</w:t>
      </w:r>
      <w:proofErr w:type="spellEnd"/>
      <w:r w:rsidR="00794E2E">
        <w:rPr>
          <w:rFonts w:ascii="Times New Roman" w:hAnsi="Times New Roman" w:cs="Times New Roman"/>
          <w:lang w:val="en-US"/>
        </w:rPr>
        <w:t xml:space="preserve"> Institute, as analyzed by IBM Security</w:t>
      </w:r>
      <w:r w:rsidR="00B33FF0">
        <w:rPr>
          <w:rFonts w:ascii="Times New Roman" w:hAnsi="Times New Roman" w:cs="Times New Roman"/>
          <w:lang w:val="en-US"/>
        </w:rPr>
        <w:t>, provided below</w:t>
      </w:r>
    </w:p>
    <w:p w14:paraId="0609CAE8" w14:textId="7AE689B7" w:rsidR="001C4713" w:rsidRDefault="00FD4D95" w:rsidP="001C4713">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93E2B9C" wp14:editId="50B1479B">
            <wp:extent cx="5486400" cy="3200400"/>
            <wp:effectExtent l="0" t="12700" r="12700" b="12700"/>
            <wp:docPr id="88845127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EF61146" w14:textId="77777777" w:rsidR="001C4713" w:rsidRDefault="001C4713" w:rsidP="001C4713">
      <w:pPr>
        <w:spacing w:line="360" w:lineRule="auto"/>
        <w:jc w:val="center"/>
        <w:rPr>
          <w:rFonts w:ascii="Times New Roman" w:hAnsi="Times New Roman" w:cs="Times New Roman"/>
          <w:b/>
          <w:bCs/>
          <w:u w:val="single"/>
          <w:lang w:val="en-US"/>
        </w:rPr>
      </w:pPr>
    </w:p>
    <w:p w14:paraId="5494E1B5" w14:textId="77777777" w:rsidR="001C4713" w:rsidRDefault="001C4713" w:rsidP="001C4713">
      <w:pPr>
        <w:spacing w:line="360" w:lineRule="auto"/>
        <w:jc w:val="center"/>
        <w:rPr>
          <w:rFonts w:ascii="Times New Roman" w:hAnsi="Times New Roman" w:cs="Times New Roman"/>
          <w:b/>
          <w:bCs/>
          <w:u w:val="single"/>
          <w:lang w:val="en-US"/>
        </w:rPr>
      </w:pPr>
    </w:p>
    <w:p w14:paraId="70E63C69" w14:textId="6EA3CB32" w:rsidR="001C4713" w:rsidRPr="001C4713" w:rsidRDefault="00E85A88" w:rsidP="008D75AF">
      <w:pPr>
        <w:spacing w:line="360" w:lineRule="auto"/>
        <w:rPr>
          <w:rFonts w:ascii="Times New Roman" w:hAnsi="Times New Roman" w:cs="Times New Roman"/>
          <w:b/>
          <w:bCs/>
          <w:u w:val="single"/>
          <w:lang w:val="en-US"/>
        </w:rPr>
      </w:pPr>
      <w:r w:rsidRPr="001B6BBF">
        <w:rPr>
          <w:rFonts w:ascii="Times New Roman" w:hAnsi="Times New Roman" w:cs="Times New Roman"/>
          <w:b/>
          <w:bCs/>
          <w:u w:val="single"/>
          <w:lang w:val="en-US"/>
        </w:rPr>
        <w:t>Engineering privacy and data protection</w:t>
      </w:r>
    </w:p>
    <w:p w14:paraId="16F09460" w14:textId="679C9688" w:rsidR="00794E2E" w:rsidRDefault="006C2A98" w:rsidP="001C4713">
      <w:pPr>
        <w:spacing w:line="360" w:lineRule="auto"/>
        <w:jc w:val="both"/>
        <w:rPr>
          <w:rFonts w:ascii="Times New Roman" w:hAnsi="Times New Roman" w:cs="Times New Roman"/>
          <w:b/>
          <w:bCs/>
          <w:u w:val="single"/>
          <w:lang w:val="en-US"/>
        </w:rPr>
      </w:pPr>
      <w:r w:rsidRPr="001B6BBF">
        <w:rPr>
          <w:rFonts w:ascii="Times New Roman" w:hAnsi="Times New Roman" w:cs="Times New Roman"/>
          <w:lang w:val="en-US"/>
        </w:rPr>
        <w:t>EU data protection legislation along with other privacy standards, like the Fair Information Practice Principles</w:t>
      </w:r>
      <w:r w:rsidRPr="001B6BBF">
        <w:rPr>
          <w:rStyle w:val="FootnoteReference"/>
          <w:rFonts w:ascii="Times New Roman" w:hAnsi="Times New Roman" w:cs="Times New Roman"/>
          <w:lang w:val="en-US"/>
        </w:rPr>
        <w:footnoteReference w:id="10"/>
      </w:r>
      <w:r w:rsidRPr="001B6BBF">
        <w:rPr>
          <w:rFonts w:ascii="Times New Roman" w:hAnsi="Times New Roman" w:cs="Times New Roman"/>
          <w:lang w:val="en-US"/>
        </w:rPr>
        <w:t xml:space="preserve"> or the OECD guidelines</w:t>
      </w:r>
      <w:r w:rsidRPr="001B6BBF">
        <w:rPr>
          <w:rStyle w:val="FootnoteReference"/>
          <w:rFonts w:ascii="Times New Roman" w:hAnsi="Times New Roman" w:cs="Times New Roman"/>
          <w:lang w:val="en-US"/>
        </w:rPr>
        <w:footnoteReference w:id="11"/>
      </w:r>
      <w:r w:rsidRPr="001B6BBF">
        <w:rPr>
          <w:rFonts w:ascii="Times New Roman" w:hAnsi="Times New Roman" w:cs="Times New Roman"/>
          <w:lang w:val="en-US"/>
        </w:rPr>
        <w:t>, set forth goals to be achieved but often don't provide specific instructions on how to achieve them in practical terms. Employing the concept of privacy by design can address this problem by offering concrete guidance on how to implement the</w:t>
      </w:r>
      <w:r w:rsidR="008D75AF">
        <w:rPr>
          <w:rFonts w:ascii="Times New Roman" w:hAnsi="Times New Roman" w:cs="Times New Roman"/>
          <w:lang w:val="en-US"/>
        </w:rPr>
        <w:t xml:space="preserve"> following </w:t>
      </w:r>
      <w:proofErr w:type="gramStart"/>
      <w:r w:rsidRPr="001B6BBF">
        <w:rPr>
          <w:rFonts w:ascii="Times New Roman" w:hAnsi="Times New Roman" w:cs="Times New Roman"/>
          <w:lang w:val="en-US"/>
        </w:rPr>
        <w:t>objectives</w:t>
      </w:r>
      <w:r w:rsidR="008D75AF">
        <w:rPr>
          <w:rFonts w:ascii="Times New Roman" w:hAnsi="Times New Roman" w:cs="Times New Roman"/>
          <w:lang w:val="en-US"/>
        </w:rPr>
        <w:t>;</w:t>
      </w:r>
      <w:proofErr w:type="gramEnd"/>
      <w:r w:rsidR="008D75AF">
        <w:rPr>
          <w:rFonts w:ascii="Times New Roman" w:hAnsi="Times New Roman" w:cs="Times New Roman"/>
          <w:lang w:val="en-US"/>
        </w:rPr>
        <w:t xml:space="preserve"> </w:t>
      </w:r>
    </w:p>
    <w:p w14:paraId="2F84A01B" w14:textId="77777777" w:rsidR="00794E2E" w:rsidRPr="00794E2E" w:rsidRDefault="006C2A98" w:rsidP="001C4713">
      <w:pPr>
        <w:pStyle w:val="ListParagraph"/>
        <w:numPr>
          <w:ilvl w:val="0"/>
          <w:numId w:val="3"/>
        </w:numPr>
        <w:spacing w:line="360" w:lineRule="auto"/>
        <w:jc w:val="both"/>
        <w:rPr>
          <w:rFonts w:ascii="Times New Roman" w:hAnsi="Times New Roman" w:cs="Times New Roman"/>
          <w:b/>
          <w:bCs/>
          <w:u w:val="single"/>
          <w:lang w:val="en-US"/>
        </w:rPr>
      </w:pPr>
      <w:r w:rsidRPr="00794E2E">
        <w:rPr>
          <w:rFonts w:ascii="Times New Roman" w:hAnsi="Times New Roman" w:cs="Times New Roman"/>
          <w:lang w:val="en-US"/>
        </w:rPr>
        <w:t>Devise a strategy to blend privacy and data protection requisites into initiatives for creating and operating any process, procedure, or system that processes personal data.</w:t>
      </w:r>
    </w:p>
    <w:p w14:paraId="2853AA90" w14:textId="77777777" w:rsidR="00794E2E" w:rsidRPr="00794E2E" w:rsidRDefault="006C2A98" w:rsidP="001C4713">
      <w:pPr>
        <w:pStyle w:val="ListParagraph"/>
        <w:numPr>
          <w:ilvl w:val="0"/>
          <w:numId w:val="3"/>
        </w:numPr>
        <w:spacing w:line="360" w:lineRule="auto"/>
        <w:jc w:val="both"/>
        <w:rPr>
          <w:rFonts w:ascii="Times New Roman" w:hAnsi="Times New Roman" w:cs="Times New Roman"/>
          <w:b/>
          <w:bCs/>
          <w:u w:val="single"/>
          <w:lang w:val="en-US"/>
        </w:rPr>
      </w:pPr>
      <w:r w:rsidRPr="00794E2E">
        <w:rPr>
          <w:rFonts w:ascii="Times New Roman" w:hAnsi="Times New Roman" w:cs="Times New Roman"/>
          <w:lang w:val="en-US"/>
        </w:rPr>
        <w:t>Identify and enforce appropriate technical and organizational strategies within these processes, procedures, and systems to defend both individuals and their data. Utilize technological advancements as aids for these measures.</w:t>
      </w:r>
    </w:p>
    <w:p w14:paraId="385D165B" w14:textId="1BF886AF" w:rsidR="006C2A98" w:rsidRPr="00794E2E" w:rsidRDefault="006C2A98" w:rsidP="001C4713">
      <w:pPr>
        <w:pStyle w:val="ListParagraph"/>
        <w:numPr>
          <w:ilvl w:val="0"/>
          <w:numId w:val="3"/>
        </w:numPr>
        <w:spacing w:line="360" w:lineRule="auto"/>
        <w:jc w:val="both"/>
        <w:rPr>
          <w:rFonts w:ascii="Times New Roman" w:hAnsi="Times New Roman" w:cs="Times New Roman"/>
          <w:b/>
          <w:bCs/>
          <w:u w:val="single"/>
          <w:lang w:val="en-US"/>
        </w:rPr>
      </w:pPr>
      <w:r w:rsidRPr="00794E2E">
        <w:rPr>
          <w:rFonts w:ascii="Times New Roman" w:hAnsi="Times New Roman" w:cs="Times New Roman"/>
          <w:lang w:val="en-US"/>
        </w:rPr>
        <w:t>Incorporate privacy support into the organizational management and governance framework, specifying tasks, and delineating and assigning resources and responsibilities effectively.</w:t>
      </w:r>
    </w:p>
    <w:p w14:paraId="2EFE150F" w14:textId="3209A772" w:rsidR="001C4713" w:rsidRPr="001B6BBF" w:rsidRDefault="001C4713"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Several current methodologies in privacy engineering operate by establishing data protection objectives, which are either derived directly from data protection principles or through defining operational intermediary goals that facilitate the achievement of the primary objectives. Alternatively, some methodologies adopt a more explicit risk management strategy by identifying and addressing the risks associated with failing to uphold the data protection principles, or by evaluating the potential negative effects on individuals directly.</w:t>
      </w:r>
    </w:p>
    <w:p w14:paraId="498BB62A" w14:textId="376988DF" w:rsidR="00EE28EA" w:rsidRPr="001B6BBF" w:rsidRDefault="001C4713"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In addition to the above, the 7 principles of privacy by design can help in the implementation process:</w:t>
      </w:r>
    </w:p>
    <w:p w14:paraId="5A379861" w14:textId="26E5F792" w:rsidR="00EE28EA" w:rsidRPr="001B6BBF" w:rsidRDefault="006C2A98" w:rsidP="001C4713">
      <w:pPr>
        <w:spacing w:line="360" w:lineRule="auto"/>
        <w:jc w:val="both"/>
        <w:rPr>
          <w:rFonts w:ascii="Times New Roman" w:hAnsi="Times New Roman" w:cs="Times New Roman"/>
          <w:lang w:val="en-US"/>
        </w:rPr>
      </w:pPr>
      <w:r w:rsidRPr="001B6BBF">
        <w:rPr>
          <w:rFonts w:ascii="Times New Roman" w:hAnsi="Times New Roman" w:cs="Times New Roman"/>
          <w:noProof/>
          <w:lang w:val="en-US"/>
        </w:rPr>
        <w:lastRenderedPageBreak/>
        <w:drawing>
          <wp:inline distT="0" distB="0" distL="0" distR="0" wp14:anchorId="5F5756EE" wp14:editId="1CB73354">
            <wp:extent cx="6199505" cy="3630168"/>
            <wp:effectExtent l="0" t="12700" r="10795" b="15240"/>
            <wp:docPr id="67892782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44B911" w14:textId="7131DA45" w:rsidR="00E85A88" w:rsidRPr="001B6BBF" w:rsidRDefault="0023744F"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GDPR treats its principles as objectives to attain, employing them as intermediaries to safeguard indiv</w:t>
      </w:r>
      <w:r w:rsidR="001C4713">
        <w:rPr>
          <w:rFonts w:ascii="Times New Roman" w:hAnsi="Times New Roman" w:cs="Times New Roman"/>
          <w:lang w:val="en-US"/>
        </w:rPr>
        <w:t>i</w:t>
      </w:r>
      <w:r w:rsidRPr="001B6BBF">
        <w:rPr>
          <w:rFonts w:ascii="Times New Roman" w:hAnsi="Times New Roman" w:cs="Times New Roman"/>
          <w:lang w:val="en-US"/>
        </w:rPr>
        <w:t xml:space="preserve">duals' basic rights and freedoms, regardless of the risk level. Simultaneously, it takes a "precautionary" stance, defining certain safeguards that must be </w:t>
      </w:r>
      <w:r w:rsidR="001C4713">
        <w:rPr>
          <w:rFonts w:ascii="Times New Roman" w:hAnsi="Times New Roman" w:cs="Times New Roman"/>
          <w:lang w:val="en-US"/>
        </w:rPr>
        <w:t>implemented</w:t>
      </w:r>
      <w:r w:rsidRPr="001B6BBF">
        <w:rPr>
          <w:rFonts w:ascii="Times New Roman" w:hAnsi="Times New Roman" w:cs="Times New Roman"/>
          <w:lang w:val="en-US"/>
        </w:rPr>
        <w:t xml:space="preserve"> under specific conditions (such as security protocols and notifications of personal data breaches). What remains to ensure the desired level of protection for individuals and to secure their established data protection rights, given various factors like context, data nature, and processing type, is addressed through a risk management strategy. This strategy permits organizations to pinpoint new safeguards and aids in refining and incorporating obligatory measures based on individual risk levels. The approach to adopting a catalog of specific design patterns to craft solutions for recognized privacy issues is inspired by software development methodologies.</w:t>
      </w:r>
    </w:p>
    <w:p w14:paraId="4C4558AB" w14:textId="3DCB6B3A" w:rsidR="00B45E96" w:rsidRPr="008D75AF" w:rsidRDefault="00B45E96" w:rsidP="001C4713">
      <w:pPr>
        <w:spacing w:line="360" w:lineRule="auto"/>
        <w:jc w:val="both"/>
        <w:rPr>
          <w:rFonts w:ascii="Times New Roman" w:hAnsi="Times New Roman" w:cs="Times New Roman"/>
          <w:b/>
          <w:bCs/>
          <w:color w:val="000000" w:themeColor="text1"/>
          <w:u w:val="single"/>
          <w:lang w:val="en-US"/>
        </w:rPr>
      </w:pPr>
      <w:r w:rsidRPr="008D75AF">
        <w:rPr>
          <w:rFonts w:ascii="Times New Roman" w:hAnsi="Times New Roman" w:cs="Times New Roman"/>
          <w:b/>
          <w:bCs/>
          <w:color w:val="000000" w:themeColor="text1"/>
          <w:u w:val="single"/>
          <w:lang w:val="en-US"/>
        </w:rPr>
        <w:t>Addressing the entire lifecycle of services and products, organi</w:t>
      </w:r>
      <w:r w:rsidR="001C4713" w:rsidRPr="008D75AF">
        <w:rPr>
          <w:rFonts w:ascii="Times New Roman" w:hAnsi="Times New Roman" w:cs="Times New Roman"/>
          <w:b/>
          <w:bCs/>
          <w:color w:val="000000" w:themeColor="text1"/>
          <w:u w:val="single"/>
          <w:lang w:val="en-US"/>
        </w:rPr>
        <w:t>z</w:t>
      </w:r>
      <w:r w:rsidRPr="008D75AF">
        <w:rPr>
          <w:rFonts w:ascii="Times New Roman" w:hAnsi="Times New Roman" w:cs="Times New Roman"/>
          <w:b/>
          <w:bCs/>
          <w:color w:val="000000" w:themeColor="text1"/>
          <w:u w:val="single"/>
          <w:lang w:val="en-US"/>
        </w:rPr>
        <w:t xml:space="preserve">ational governance and management  </w:t>
      </w:r>
    </w:p>
    <w:p w14:paraId="796D96ED" w14:textId="3BEB949C" w:rsidR="0023744F" w:rsidRPr="001B6BBF" w:rsidRDefault="00B45E96"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 </w:t>
      </w:r>
      <w:r w:rsidR="0023744F" w:rsidRPr="001B6BBF">
        <w:rPr>
          <w:rFonts w:ascii="Times New Roman" w:hAnsi="Times New Roman" w:cs="Times New Roman"/>
          <w:lang w:val="en-US"/>
        </w:rPr>
        <w:t>Some methodologies in privacy engineering predominantly emphasize either the initial requirements phase or the implementation strategies. However, it's essential for privacy engineering to encompass the entire lifecycle of a product or service, starting from its conception to its final decommissioning. To facilitate this holistic approach, it is crucial for an organization to establish proper governance and management frameworks. An ex</w:t>
      </w:r>
      <w:r w:rsidR="001C4713">
        <w:rPr>
          <w:rFonts w:ascii="Times New Roman" w:hAnsi="Times New Roman" w:cs="Times New Roman"/>
          <w:lang w:val="en-US"/>
        </w:rPr>
        <w:t xml:space="preserve">ample of a </w:t>
      </w:r>
      <w:r w:rsidR="001C4713">
        <w:rPr>
          <w:rFonts w:ascii="Times New Roman" w:hAnsi="Times New Roman" w:cs="Times New Roman"/>
          <w:lang w:val="en-US"/>
        </w:rPr>
        <w:lastRenderedPageBreak/>
        <w:t>methodology that considers the full project lifecycle is the one developed by the PRE</w:t>
      </w:r>
      <w:r w:rsidR="0023744F" w:rsidRPr="001B6BBF">
        <w:rPr>
          <w:rFonts w:ascii="Times New Roman" w:hAnsi="Times New Roman" w:cs="Times New Roman"/>
          <w:lang w:val="en-US"/>
        </w:rPr>
        <w:t>PARE research project</w:t>
      </w:r>
      <w:r w:rsidR="0023744F" w:rsidRPr="001B6BBF">
        <w:rPr>
          <w:rStyle w:val="FootnoteReference"/>
          <w:rFonts w:ascii="Times New Roman" w:hAnsi="Times New Roman" w:cs="Times New Roman"/>
          <w:lang w:val="en-US"/>
        </w:rPr>
        <w:footnoteReference w:id="12"/>
      </w:r>
      <w:r w:rsidR="0023744F" w:rsidRPr="001B6BBF">
        <w:rPr>
          <w:rFonts w:ascii="Times New Roman" w:hAnsi="Times New Roman" w:cs="Times New Roman"/>
          <w:lang w:val="en-US"/>
        </w:rPr>
        <w:t>. It outlines detailed privacy-focused activities and outcomes across eight distinct phases of a project, ranging from evaluating the organizational environment and infrastructure to the process of system decommissioning.</w:t>
      </w:r>
      <w:r w:rsidR="008D75AF">
        <w:rPr>
          <w:rFonts w:ascii="Times New Roman" w:hAnsi="Times New Roman" w:cs="Times New Roman"/>
          <w:lang w:val="en-US"/>
        </w:rPr>
        <w:t xml:space="preserve"> </w:t>
      </w:r>
      <w:r w:rsidRPr="001B6BBF">
        <w:rPr>
          <w:rFonts w:ascii="Times New Roman" w:hAnsi="Times New Roman" w:cs="Times New Roman"/>
          <w:lang w:val="en-US"/>
        </w:rPr>
        <w:t>Other useful guidance can be found in a web publication of the Norwegian data protection authority</w:t>
      </w:r>
      <w:r w:rsidRPr="001B6BBF">
        <w:rPr>
          <w:rStyle w:val="FootnoteReference"/>
          <w:rFonts w:ascii="Times New Roman" w:hAnsi="Times New Roman" w:cs="Times New Roman"/>
          <w:lang w:val="en-US"/>
        </w:rPr>
        <w:footnoteReference w:id="13"/>
      </w:r>
      <w:r w:rsidRPr="001B6BBF">
        <w:rPr>
          <w:rFonts w:ascii="Times New Roman" w:hAnsi="Times New Roman" w:cs="Times New Roman"/>
          <w:lang w:val="en-US"/>
        </w:rPr>
        <w:t xml:space="preserve">.  </w:t>
      </w:r>
    </w:p>
    <w:p w14:paraId="57194127" w14:textId="1D2C03E2" w:rsidR="0023744F" w:rsidRPr="001B6BBF" w:rsidRDefault="0023744F"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In essence, ensuring privacy by design and default means that safeguarding individuals' fundamental rights becomes a task for the organization, which should be reflected in its organizational governance and management structure. This includes properly assigning privacy tasks and responsibilities in an accountable manner. While the primary responsibility for meeting privacy requirements lies with management, the task of implementing these requirements can be delegated to departments tasked with designing and managing relevant systems. IT and technology departments provide support to business owners, guided by their directives and best practices for privacy by design.</w:t>
      </w:r>
    </w:p>
    <w:p w14:paraId="3942B49D" w14:textId="7EA5D7BB" w:rsidR="0023744F" w:rsidRPr="001B6BBF" w:rsidRDefault="0023744F"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The involvement of privacy and data protection officers is key in the privacy by design approach, playing a central role. It is essential for them to be involved from the beginning stages of planning systems for personal data processing. This allows them to </w:t>
      </w:r>
      <w:r w:rsidR="001C4713">
        <w:rPr>
          <w:rFonts w:ascii="Times New Roman" w:hAnsi="Times New Roman" w:cs="Times New Roman"/>
          <w:lang w:val="en-US"/>
        </w:rPr>
        <w:t>support</w:t>
      </w:r>
      <w:r w:rsidRPr="001B6BBF">
        <w:rPr>
          <w:rFonts w:ascii="Times New Roman" w:hAnsi="Times New Roman" w:cs="Times New Roman"/>
          <w:lang w:val="en-US"/>
        </w:rPr>
        <w:t xml:space="preserve"> managers, business owners, and IT and technology departments, aligning with the required skill set.</w:t>
      </w:r>
    </w:p>
    <w:p w14:paraId="48F4B5B9" w14:textId="253C31C7" w:rsidR="0023744F" w:rsidRPr="001B6BBF" w:rsidRDefault="0023744F"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The European Data Protection Supervisor (EDPS)</w:t>
      </w:r>
      <w:r w:rsidRPr="001B6BBF">
        <w:rPr>
          <w:rStyle w:val="FootnoteReference"/>
          <w:rFonts w:ascii="Times New Roman" w:hAnsi="Times New Roman" w:cs="Times New Roman"/>
          <w:lang w:val="en-US"/>
        </w:rPr>
        <w:footnoteReference w:id="14"/>
      </w:r>
      <w:r w:rsidRPr="001B6BBF">
        <w:rPr>
          <w:rFonts w:ascii="Times New Roman" w:hAnsi="Times New Roman" w:cs="Times New Roman"/>
          <w:lang w:val="en-US"/>
        </w:rPr>
        <w:t xml:space="preserve"> has released guidance on IT management and </w:t>
      </w:r>
      <w:r w:rsidR="001C4713">
        <w:rPr>
          <w:rFonts w:ascii="Times New Roman" w:hAnsi="Times New Roman" w:cs="Times New Roman"/>
          <w:lang w:val="en-US"/>
        </w:rPr>
        <w:t>governance. The guidance aims to assist</w:t>
      </w:r>
      <w:r w:rsidRPr="001B6BBF">
        <w:rPr>
          <w:rFonts w:ascii="Times New Roman" w:hAnsi="Times New Roman" w:cs="Times New Roman"/>
          <w:lang w:val="en-US"/>
        </w:rPr>
        <w:t xml:space="preserve"> EU institutions in integrating privacy and data protection standards into the creation and functioning of IT systems. Additionally, the guidance outlines how an organization's IT governance can be structured to align with the principle of accountability. While these guidelines are specifically designed for the EDPS's direct stakeholders, the principles they are based on have universal applicability.</w:t>
      </w:r>
    </w:p>
    <w:p w14:paraId="1C8E330B" w14:textId="77777777" w:rsidR="008D75AF" w:rsidRDefault="008D75AF" w:rsidP="001C4713">
      <w:pPr>
        <w:pStyle w:val="FootnoteText"/>
        <w:spacing w:line="360" w:lineRule="auto"/>
        <w:jc w:val="both"/>
        <w:rPr>
          <w:rFonts w:ascii="Times New Roman" w:hAnsi="Times New Roman" w:cs="Times New Roman"/>
          <w:b/>
          <w:bCs/>
          <w:color w:val="000000" w:themeColor="text1"/>
          <w:sz w:val="24"/>
          <w:szCs w:val="24"/>
          <w:u w:val="single"/>
          <w:lang w:val="en-US"/>
        </w:rPr>
      </w:pPr>
    </w:p>
    <w:p w14:paraId="08D4C5B9" w14:textId="77777777" w:rsidR="008D75AF" w:rsidRDefault="008D75AF" w:rsidP="001C4713">
      <w:pPr>
        <w:pStyle w:val="FootnoteText"/>
        <w:spacing w:line="360" w:lineRule="auto"/>
        <w:jc w:val="both"/>
        <w:rPr>
          <w:rFonts w:ascii="Times New Roman" w:hAnsi="Times New Roman" w:cs="Times New Roman"/>
          <w:b/>
          <w:bCs/>
          <w:color w:val="000000" w:themeColor="text1"/>
          <w:sz w:val="24"/>
          <w:szCs w:val="24"/>
          <w:u w:val="single"/>
          <w:lang w:val="en-US"/>
        </w:rPr>
      </w:pPr>
    </w:p>
    <w:p w14:paraId="77865DF1" w14:textId="77777777" w:rsidR="008D75AF" w:rsidRDefault="008D75AF" w:rsidP="001C4713">
      <w:pPr>
        <w:pStyle w:val="FootnoteText"/>
        <w:spacing w:line="360" w:lineRule="auto"/>
        <w:jc w:val="both"/>
        <w:rPr>
          <w:rFonts w:ascii="Times New Roman" w:hAnsi="Times New Roman" w:cs="Times New Roman"/>
          <w:b/>
          <w:bCs/>
          <w:color w:val="000000" w:themeColor="text1"/>
          <w:sz w:val="24"/>
          <w:szCs w:val="24"/>
          <w:u w:val="single"/>
          <w:lang w:val="en-US"/>
        </w:rPr>
      </w:pPr>
    </w:p>
    <w:p w14:paraId="09C361B6" w14:textId="65B1F810" w:rsidR="00932D73" w:rsidRPr="008D75AF" w:rsidRDefault="00932D73" w:rsidP="001C4713">
      <w:pPr>
        <w:pStyle w:val="FootnoteText"/>
        <w:spacing w:line="360" w:lineRule="auto"/>
        <w:jc w:val="both"/>
        <w:rPr>
          <w:rFonts w:ascii="Times New Roman" w:hAnsi="Times New Roman" w:cs="Times New Roman"/>
          <w:b/>
          <w:bCs/>
          <w:color w:val="000000" w:themeColor="text1"/>
          <w:sz w:val="24"/>
          <w:szCs w:val="24"/>
          <w:u w:val="single"/>
          <w:lang w:val="en-US"/>
        </w:rPr>
      </w:pPr>
      <w:r w:rsidRPr="008D75AF">
        <w:rPr>
          <w:rFonts w:ascii="Times New Roman" w:hAnsi="Times New Roman" w:cs="Times New Roman"/>
          <w:b/>
          <w:bCs/>
          <w:color w:val="000000" w:themeColor="text1"/>
          <w:sz w:val="24"/>
          <w:szCs w:val="24"/>
          <w:u w:val="single"/>
          <w:lang w:val="en-US"/>
        </w:rPr>
        <w:t xml:space="preserve">Standardization efforts </w:t>
      </w:r>
    </w:p>
    <w:p w14:paraId="53948272" w14:textId="77777777" w:rsidR="00794E2E" w:rsidRPr="001B6BBF" w:rsidRDefault="00794E2E" w:rsidP="001C4713">
      <w:pPr>
        <w:pStyle w:val="FootnoteText"/>
        <w:spacing w:line="360" w:lineRule="auto"/>
        <w:jc w:val="both"/>
        <w:rPr>
          <w:rFonts w:ascii="Times New Roman" w:hAnsi="Times New Roman" w:cs="Times New Roman"/>
          <w:sz w:val="24"/>
          <w:szCs w:val="24"/>
          <w:lang w:val="en-US"/>
        </w:rPr>
      </w:pPr>
    </w:p>
    <w:p w14:paraId="05034114" w14:textId="5F6F99E7" w:rsidR="00932D73" w:rsidRPr="001B6BBF" w:rsidRDefault="0023744F"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lastRenderedPageBreak/>
        <w:t xml:space="preserve">Initiatives to include privacy considerations in system design through </w:t>
      </w:r>
      <w:r w:rsidR="008D75AF" w:rsidRPr="001B6BBF">
        <w:rPr>
          <w:rFonts w:ascii="Times New Roman" w:hAnsi="Times New Roman" w:cs="Times New Roman"/>
          <w:lang w:val="en-US"/>
        </w:rPr>
        <w:t>standardization</w:t>
      </w:r>
      <w:r w:rsidRPr="001B6BBF">
        <w:rPr>
          <w:rFonts w:ascii="Times New Roman" w:hAnsi="Times New Roman" w:cs="Times New Roman"/>
          <w:lang w:val="en-US"/>
        </w:rPr>
        <w:t xml:space="preserve"> efforts</w:t>
      </w:r>
      <w:r w:rsidRPr="001B6BBF">
        <w:rPr>
          <w:rStyle w:val="FootnoteReference"/>
          <w:rFonts w:ascii="Times New Roman" w:hAnsi="Times New Roman" w:cs="Times New Roman"/>
          <w:lang w:val="en-US"/>
        </w:rPr>
        <w:footnoteReference w:id="15"/>
      </w:r>
      <w:r w:rsidRPr="001B6BBF">
        <w:rPr>
          <w:rFonts w:ascii="Times New Roman" w:hAnsi="Times New Roman" w:cs="Times New Roman"/>
          <w:lang w:val="en-US"/>
        </w:rPr>
        <w:t xml:space="preserve"> are progressing across various </w:t>
      </w:r>
      <w:r w:rsidR="008D75AF" w:rsidRPr="001B6BBF">
        <w:rPr>
          <w:rFonts w:ascii="Times New Roman" w:hAnsi="Times New Roman" w:cs="Times New Roman"/>
          <w:lang w:val="en-US"/>
        </w:rPr>
        <w:t>organizations</w:t>
      </w:r>
      <w:r w:rsidRPr="001B6BBF">
        <w:rPr>
          <w:rFonts w:ascii="Times New Roman" w:hAnsi="Times New Roman" w:cs="Times New Roman"/>
          <w:lang w:val="en-US"/>
        </w:rPr>
        <w:t xml:space="preserve"> and groups. These initiatives often build on established IT security risk management methods, adapting and expanding them to address privacy concerns. The ISO has developed standards for privacy, including a privacy framework (ISO/IEC 29100) and a privacy architecture (ISO IEC 29101) that focus on personally identifiable information (PII) in the context of information and communication technology. This involves broadening the scope of existing standards for information security management, specifically ISO/IEC 27001 and 27002, to encompass privacy management. Additionally, the IETF has published RFC 6973</w:t>
      </w:r>
      <w:r w:rsidRPr="001B6BBF">
        <w:rPr>
          <w:rStyle w:val="FootnoteReference"/>
          <w:rFonts w:ascii="Times New Roman" w:hAnsi="Times New Roman" w:cs="Times New Roman"/>
          <w:lang w:val="en-US"/>
        </w:rPr>
        <w:footnoteReference w:id="16"/>
      </w:r>
      <w:r w:rsidRPr="001B6BBF">
        <w:rPr>
          <w:rFonts w:ascii="Times New Roman" w:hAnsi="Times New Roman" w:cs="Times New Roman"/>
          <w:lang w:val="en-US"/>
        </w:rPr>
        <w:t>, which discusses "Privacy considerations for Internet Protocols", aiming to integrate privacy considerations into the development of internet protocols.</w:t>
      </w:r>
    </w:p>
    <w:p w14:paraId="23AD57DF" w14:textId="6C6D7660" w:rsidR="00932D73" w:rsidRPr="001B6BBF" w:rsidRDefault="008622B3"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The expectation is for privacy standardization to increase, particularly considering how certifications might </w:t>
      </w:r>
      <w:proofErr w:type="gramStart"/>
      <w:r w:rsidRPr="001B6BBF">
        <w:rPr>
          <w:rFonts w:ascii="Times New Roman" w:hAnsi="Times New Roman" w:cs="Times New Roman"/>
          <w:lang w:val="en-US"/>
        </w:rPr>
        <w:t>serve to show</w:t>
      </w:r>
      <w:proofErr w:type="gramEnd"/>
      <w:r w:rsidRPr="001B6BBF">
        <w:rPr>
          <w:rFonts w:ascii="Times New Roman" w:hAnsi="Times New Roman" w:cs="Times New Roman"/>
          <w:lang w:val="en-US"/>
        </w:rPr>
        <w:t xml:space="preserve"> adherence to GDPR requirements. In detail, certification methods can be employed to show adherence to the principles of data protection by design and by default</w:t>
      </w:r>
      <w:r w:rsidR="00932D73" w:rsidRPr="001B6BBF">
        <w:rPr>
          <w:rStyle w:val="FootnoteReference"/>
          <w:rFonts w:ascii="Times New Roman" w:hAnsi="Times New Roman" w:cs="Times New Roman"/>
          <w:lang w:val="en-US"/>
        </w:rPr>
        <w:footnoteReference w:id="17"/>
      </w:r>
      <w:r w:rsidR="00932D73" w:rsidRPr="001B6BBF">
        <w:rPr>
          <w:rFonts w:ascii="Times New Roman" w:hAnsi="Times New Roman" w:cs="Times New Roman"/>
          <w:lang w:val="en-US"/>
        </w:rPr>
        <w:t>.  In 2015 the EU Commission requested</w:t>
      </w:r>
      <w:r w:rsidR="00932D73" w:rsidRPr="001B6BBF">
        <w:rPr>
          <w:rStyle w:val="FootnoteReference"/>
          <w:rFonts w:ascii="Times New Roman" w:hAnsi="Times New Roman" w:cs="Times New Roman"/>
          <w:lang w:val="en-US"/>
        </w:rPr>
        <w:footnoteReference w:id="18"/>
      </w:r>
      <w:r w:rsidR="00932D73" w:rsidRPr="001B6BBF">
        <w:rPr>
          <w:rFonts w:ascii="Times New Roman" w:hAnsi="Times New Roman" w:cs="Times New Roman"/>
          <w:lang w:val="en-US"/>
        </w:rPr>
        <w:t xml:space="preserve"> the European </w:t>
      </w:r>
      <w:r w:rsidR="008D75AF" w:rsidRPr="001B6BBF">
        <w:rPr>
          <w:rFonts w:ascii="Times New Roman" w:hAnsi="Times New Roman" w:cs="Times New Roman"/>
          <w:lang w:val="en-US"/>
        </w:rPr>
        <w:t>Standardization</w:t>
      </w:r>
      <w:r w:rsidR="00932D73" w:rsidRPr="001B6BBF">
        <w:rPr>
          <w:rFonts w:ascii="Times New Roman" w:hAnsi="Times New Roman" w:cs="Times New Roman"/>
          <w:lang w:val="en-US"/>
        </w:rPr>
        <w:t xml:space="preserve"> </w:t>
      </w:r>
      <w:r w:rsidR="008D75AF" w:rsidRPr="001B6BBF">
        <w:rPr>
          <w:rFonts w:ascii="Times New Roman" w:hAnsi="Times New Roman" w:cs="Times New Roman"/>
          <w:lang w:val="en-US"/>
        </w:rPr>
        <w:t>Organizations</w:t>
      </w:r>
      <w:r w:rsidR="00932D73" w:rsidRPr="001B6BBF">
        <w:rPr>
          <w:rFonts w:ascii="Times New Roman" w:hAnsi="Times New Roman" w:cs="Times New Roman"/>
          <w:lang w:val="en-US"/>
        </w:rPr>
        <w:t xml:space="preserve"> (ESOs)</w:t>
      </w:r>
      <w:r w:rsidR="00932D73" w:rsidRPr="001B6BBF">
        <w:rPr>
          <w:rStyle w:val="FootnoteReference"/>
          <w:rFonts w:ascii="Times New Roman" w:hAnsi="Times New Roman" w:cs="Times New Roman"/>
          <w:lang w:val="en-US"/>
        </w:rPr>
        <w:footnoteReference w:id="19"/>
      </w:r>
      <w:r w:rsidR="00932D73" w:rsidRPr="001B6BBF">
        <w:rPr>
          <w:rFonts w:ascii="Times New Roman" w:hAnsi="Times New Roman" w:cs="Times New Roman"/>
          <w:lang w:val="en-US"/>
        </w:rPr>
        <w:t>, which have a cooperation agreement with the Commission, to work on a “privacy and personal data protection by design approach” and “privacy and data protection management framework” for the security industry.</w:t>
      </w:r>
    </w:p>
    <w:p w14:paraId="4A5804B0" w14:textId="46E9746A" w:rsidR="008622B3" w:rsidRDefault="008622B3" w:rsidP="001C4713">
      <w:pPr>
        <w:spacing w:line="360" w:lineRule="auto"/>
        <w:jc w:val="both"/>
        <w:rPr>
          <w:rFonts w:ascii="Times New Roman" w:hAnsi="Times New Roman" w:cs="Times New Roman"/>
          <w:lang w:val="en-US"/>
        </w:rPr>
      </w:pPr>
      <w:r w:rsidRPr="001B6BBF">
        <w:rPr>
          <w:rFonts w:ascii="Times New Roman" w:hAnsi="Times New Roman" w:cs="Times New Roman"/>
          <w:lang w:val="en-US"/>
        </w:rPr>
        <w:t xml:space="preserve">In 2017, following the introduction of the GDPR, the ESOs contemplated the chance for an expanded and more complex work agenda combining privacy, data protection, and cybersecurity. This plan encompasses: a standard for “Data protection and privacy by design and by default” that offers “requirements for manufacturers and/or service providers” for executing the principle </w:t>
      </w:r>
      <w:r w:rsidR="008D75AF">
        <w:rPr>
          <w:rFonts w:ascii="Times New Roman" w:hAnsi="Times New Roman" w:cs="Times New Roman"/>
          <w:lang w:val="en-US"/>
        </w:rPr>
        <w:t>‘</w:t>
      </w:r>
      <w:r w:rsidRPr="001B6BBF">
        <w:rPr>
          <w:rFonts w:ascii="Times New Roman" w:hAnsi="Times New Roman" w:cs="Times New Roman"/>
          <w:lang w:val="en-US"/>
        </w:rPr>
        <w:t>relevant across all business sectors, including the security industry</w:t>
      </w:r>
      <w:r w:rsidR="008D75AF">
        <w:rPr>
          <w:rFonts w:ascii="Times New Roman" w:hAnsi="Times New Roman" w:cs="Times New Roman"/>
          <w:lang w:val="en-US"/>
        </w:rPr>
        <w:t xml:space="preserve">’, </w:t>
      </w:r>
      <w:r w:rsidRPr="001B6BBF">
        <w:rPr>
          <w:rFonts w:ascii="Times New Roman" w:hAnsi="Times New Roman" w:cs="Times New Roman"/>
          <w:lang w:val="en-US"/>
        </w:rPr>
        <w:t xml:space="preserve">as </w:t>
      </w:r>
      <w:r w:rsidRPr="001B6BBF">
        <w:rPr>
          <w:rFonts w:ascii="Times New Roman" w:hAnsi="Times New Roman" w:cs="Times New Roman"/>
          <w:lang w:val="en-US"/>
        </w:rPr>
        <w:lastRenderedPageBreak/>
        <w:t>well as technical reports on precise applications of the principle</w:t>
      </w:r>
      <w:r w:rsidR="00932D73" w:rsidRPr="001B6BBF">
        <w:rPr>
          <w:rStyle w:val="FootnoteReference"/>
          <w:rFonts w:ascii="Times New Roman" w:hAnsi="Times New Roman" w:cs="Times New Roman"/>
          <w:lang w:val="en-US"/>
        </w:rPr>
        <w:footnoteReference w:id="20"/>
      </w:r>
      <w:r w:rsidR="00932D73" w:rsidRPr="001B6BBF">
        <w:rPr>
          <w:rFonts w:ascii="Times New Roman" w:hAnsi="Times New Roman" w:cs="Times New Roman"/>
          <w:lang w:val="en-US"/>
        </w:rPr>
        <w:t>, initiatives on cybersecurity and privacy and data protection to support recent and ongoing relevant EU level policy making</w:t>
      </w:r>
      <w:r w:rsidR="00932D73" w:rsidRPr="001B6BBF">
        <w:rPr>
          <w:rStyle w:val="FootnoteReference"/>
          <w:rFonts w:ascii="Times New Roman" w:hAnsi="Times New Roman" w:cs="Times New Roman"/>
          <w:lang w:val="en-US"/>
        </w:rPr>
        <w:footnoteReference w:id="21"/>
      </w:r>
      <w:r w:rsidR="00932D73" w:rsidRPr="001B6BBF">
        <w:rPr>
          <w:rFonts w:ascii="Times New Roman" w:hAnsi="Times New Roman" w:cs="Times New Roman"/>
          <w:lang w:val="en-US"/>
        </w:rPr>
        <w:t xml:space="preserve">. This </w:t>
      </w:r>
      <w:r w:rsidR="008D75AF" w:rsidRPr="001B6BBF">
        <w:rPr>
          <w:rFonts w:ascii="Times New Roman" w:hAnsi="Times New Roman" w:cs="Times New Roman"/>
          <w:lang w:val="en-US"/>
        </w:rPr>
        <w:t>standardization</w:t>
      </w:r>
      <w:r w:rsidR="00932D73" w:rsidRPr="001B6BBF">
        <w:rPr>
          <w:rFonts w:ascii="Times New Roman" w:hAnsi="Times New Roman" w:cs="Times New Roman"/>
          <w:lang w:val="en-US"/>
        </w:rPr>
        <w:t xml:space="preserve"> activity may provide a baseline for the industry and all stakeholders for establishing the state of the art in privacy by design. </w:t>
      </w:r>
      <w:r w:rsidRPr="001B6BBF">
        <w:rPr>
          <w:rFonts w:ascii="Times New Roman" w:hAnsi="Times New Roman" w:cs="Times New Roman"/>
          <w:lang w:val="en-US"/>
        </w:rPr>
        <w:t>For this reason, ensuring that the outcome aligns with pertinent legal requirements is essential for it to truly facilitate the enforcement of data protection principles from the design phase.</w:t>
      </w:r>
      <w:r w:rsidR="00932D73" w:rsidRPr="001B6BBF">
        <w:rPr>
          <w:rStyle w:val="FootnoteReference"/>
          <w:rFonts w:ascii="Times New Roman" w:hAnsi="Times New Roman" w:cs="Times New Roman"/>
          <w:lang w:val="en-US"/>
        </w:rPr>
        <w:footnoteReference w:id="22"/>
      </w:r>
    </w:p>
    <w:p w14:paraId="24B86C68" w14:textId="77777777" w:rsidR="001B6BBF" w:rsidRPr="001B6BBF" w:rsidRDefault="001B6BBF" w:rsidP="001C4713">
      <w:pPr>
        <w:spacing w:line="360" w:lineRule="auto"/>
        <w:jc w:val="both"/>
        <w:rPr>
          <w:rFonts w:ascii="Times New Roman" w:hAnsi="Times New Roman" w:cs="Times New Roman"/>
          <w:lang w:val="en-US"/>
        </w:rPr>
      </w:pPr>
    </w:p>
    <w:p w14:paraId="2356A14B" w14:textId="522387F4" w:rsidR="008622B3" w:rsidRPr="001B6BBF" w:rsidRDefault="008622B3" w:rsidP="001C4713">
      <w:pPr>
        <w:spacing w:line="360" w:lineRule="auto"/>
        <w:jc w:val="center"/>
        <w:rPr>
          <w:rFonts w:ascii="Times New Roman" w:hAnsi="Times New Roman" w:cs="Times New Roman"/>
          <w:b/>
          <w:bCs/>
          <w:u w:val="single"/>
          <w:lang w:val="en-US"/>
        </w:rPr>
      </w:pPr>
      <w:r w:rsidRPr="001B6BBF">
        <w:rPr>
          <w:rFonts w:ascii="Times New Roman" w:hAnsi="Times New Roman" w:cs="Times New Roman"/>
          <w:b/>
          <w:bCs/>
          <w:u w:val="single"/>
          <w:lang w:val="en-US"/>
        </w:rPr>
        <w:t>Privacy Design Strategies</w:t>
      </w:r>
    </w:p>
    <w:p w14:paraId="5F90396C" w14:textId="0A942850" w:rsidR="008622B3" w:rsidRPr="008D75AF" w:rsidRDefault="008622B3" w:rsidP="001C4713">
      <w:pPr>
        <w:spacing w:line="360" w:lineRule="auto"/>
        <w:jc w:val="both"/>
        <w:rPr>
          <w:rFonts w:ascii="Times New Roman" w:hAnsi="Times New Roman" w:cs="Times New Roman"/>
          <w:b/>
          <w:bCs/>
          <w:color w:val="000000" w:themeColor="text1"/>
          <w:u w:val="single"/>
          <w:lang w:val="en-US"/>
        </w:rPr>
      </w:pPr>
      <w:r w:rsidRPr="008D75AF">
        <w:rPr>
          <w:rFonts w:ascii="Times New Roman" w:hAnsi="Times New Roman" w:cs="Times New Roman"/>
          <w:b/>
          <w:bCs/>
          <w:color w:val="000000" w:themeColor="text1"/>
          <w:u w:val="single"/>
          <w:lang w:val="en-US"/>
        </w:rPr>
        <w:t>Software design patterns, strategies, and technologies</w:t>
      </w:r>
    </w:p>
    <w:p w14:paraId="68AE5007" w14:textId="114E729E" w:rsidR="00794E2E" w:rsidRDefault="008622B3" w:rsidP="001C4713">
      <w:pPr>
        <w:spacing w:line="360" w:lineRule="auto"/>
        <w:jc w:val="both"/>
        <w:rPr>
          <w:rFonts w:ascii="Times New Roman" w:hAnsi="Times New Roman" w:cs="Times New Roman"/>
          <w:color w:val="000000" w:themeColor="text1"/>
          <w:lang w:val="en-US"/>
        </w:rPr>
      </w:pPr>
      <w:r w:rsidRPr="001B6BBF">
        <w:rPr>
          <w:rFonts w:ascii="Times New Roman" w:hAnsi="Times New Roman" w:cs="Times New Roman"/>
          <w:color w:val="000000" w:themeColor="text1"/>
          <w:lang w:val="en-US"/>
        </w:rPr>
        <w:t>Software architecture is about making critical decisions on a software system's</w:t>
      </w:r>
      <w:r w:rsidRPr="001B6BBF">
        <w:rPr>
          <w:rStyle w:val="FootnoteReference"/>
          <w:rFonts w:ascii="Times New Roman" w:hAnsi="Times New Roman" w:cs="Times New Roman"/>
          <w:color w:val="000000" w:themeColor="text1"/>
          <w:lang w:val="en-US"/>
        </w:rPr>
        <w:footnoteReference w:id="23"/>
      </w:r>
      <w:r w:rsidRPr="001B6BBF">
        <w:rPr>
          <w:rFonts w:ascii="Times New Roman" w:hAnsi="Times New Roman" w:cs="Times New Roman"/>
          <w:color w:val="000000" w:themeColor="text1"/>
          <w:lang w:val="en-US"/>
        </w:rPr>
        <w:t xml:space="preserve"> organization, involving selecting structural elements, defining their interfaces, and specifying their interactions to form a cohesive subsystem. It also entails adopting an architectural style for this organization. Software development follows methodologies like the waterfall model, which is a six-phase process: concept development, analysis, design, implementation, testing, and evaluation. Since systems evolve through several iterations, software development is cyclical, with updates and evaluations leading to further modifications. Privacy considerations are integrated at every stage, with privacy design strategies applied in early phases, design patterns in the design stage, and privacy-enhancing technologies during implementation.</w:t>
      </w:r>
    </w:p>
    <w:p w14:paraId="2C02EB16" w14:textId="7EA0904C" w:rsidR="008622B3" w:rsidRPr="008D75AF" w:rsidRDefault="008622B3" w:rsidP="001C4713">
      <w:pPr>
        <w:spacing w:line="360" w:lineRule="auto"/>
        <w:jc w:val="both"/>
        <w:rPr>
          <w:rFonts w:ascii="Times New Roman" w:hAnsi="Times New Roman" w:cs="Times New Roman"/>
          <w:b/>
          <w:bCs/>
          <w:color w:val="000000" w:themeColor="text1"/>
          <w:u w:val="single"/>
          <w:lang w:val="en-US"/>
        </w:rPr>
      </w:pPr>
      <w:r w:rsidRPr="008D75AF">
        <w:rPr>
          <w:rFonts w:ascii="Times New Roman" w:hAnsi="Times New Roman" w:cs="Times New Roman"/>
          <w:b/>
          <w:bCs/>
          <w:color w:val="000000" w:themeColor="text1"/>
          <w:u w:val="single"/>
          <w:lang w:val="en-US"/>
        </w:rPr>
        <w:t xml:space="preserve">Design Patterns </w:t>
      </w:r>
    </w:p>
    <w:p w14:paraId="79FB0EA2" w14:textId="107EA245" w:rsidR="008622B3" w:rsidRPr="001B6BBF" w:rsidRDefault="003C6A89" w:rsidP="001C4713">
      <w:pPr>
        <w:spacing w:line="360" w:lineRule="auto"/>
        <w:jc w:val="both"/>
        <w:rPr>
          <w:rFonts w:ascii="Times New Roman" w:hAnsi="Times New Roman" w:cs="Times New Roman"/>
          <w:color w:val="000000" w:themeColor="text1"/>
          <w:lang w:val="en-US"/>
        </w:rPr>
      </w:pPr>
      <w:r w:rsidRPr="001B6BBF">
        <w:rPr>
          <w:rFonts w:ascii="Times New Roman" w:hAnsi="Times New Roman" w:cs="Times New Roman"/>
          <w:color w:val="000000" w:themeColor="text1"/>
          <w:lang w:val="en-US"/>
        </w:rPr>
        <w:t xml:space="preserve">Design patterns play a crucial role in structuring software systems. They offer a framework for refining components and their interactions within a system, addressing common design issues in specific contexts. Such patterns facilitate breaking down complex problems into smaller, manageable ones, guiding designers away from intricate implementation details. They also highlight the potential outcomes of using these patterns, helping designers assess their </w:t>
      </w:r>
      <w:r w:rsidRPr="001B6BBF">
        <w:rPr>
          <w:rFonts w:ascii="Times New Roman" w:hAnsi="Times New Roman" w:cs="Times New Roman"/>
          <w:color w:val="000000" w:themeColor="text1"/>
          <w:lang w:val="en-US"/>
        </w:rPr>
        <w:lastRenderedPageBreak/>
        <w:t>effectiveness towards achieving the system’s goals. For instance, the Model-View-Controller</w:t>
      </w:r>
      <w:r w:rsidRPr="001B6BBF">
        <w:rPr>
          <w:rStyle w:val="FootnoteReference"/>
          <w:rFonts w:ascii="Times New Roman" w:hAnsi="Times New Roman" w:cs="Times New Roman"/>
          <w:color w:val="000000" w:themeColor="text1"/>
          <w:lang w:val="en-US"/>
        </w:rPr>
        <w:footnoteReference w:id="24"/>
      </w:r>
      <w:r w:rsidRPr="001B6BBF">
        <w:rPr>
          <w:rFonts w:ascii="Times New Roman" w:hAnsi="Times New Roman" w:cs="Times New Roman"/>
          <w:color w:val="000000" w:themeColor="text1"/>
          <w:lang w:val="en-US"/>
        </w:rPr>
        <w:t xml:space="preserve"> pattern is known for separating data representation from user interface and interaction mechanisms. Although explicit examples of privacy-focused design patterns are few, with notable work by Hafiz, Pearson, van Rest, and initiatives by UC Berkeley</w:t>
      </w:r>
      <w:r w:rsidRPr="001B6BBF">
        <w:rPr>
          <w:rStyle w:val="FootnoteReference"/>
          <w:rFonts w:ascii="Times New Roman" w:hAnsi="Times New Roman" w:cs="Times New Roman"/>
          <w:color w:val="000000" w:themeColor="text1"/>
          <w:lang w:val="en-US"/>
        </w:rPr>
        <w:footnoteReference w:id="25"/>
      </w:r>
      <w:r w:rsidRPr="001B6BBF">
        <w:rPr>
          <w:rFonts w:ascii="Times New Roman" w:hAnsi="Times New Roman" w:cs="Times New Roman"/>
          <w:color w:val="000000" w:themeColor="text1"/>
          <w:lang w:val="en-US"/>
        </w:rPr>
        <w:t>, numerous implicit patterns exist, yet to be formally recognized.</w:t>
      </w:r>
    </w:p>
    <w:p w14:paraId="7655BE50" w14:textId="6C345778" w:rsidR="003C6A89" w:rsidRPr="008D75AF" w:rsidRDefault="003C6A89" w:rsidP="001C4713">
      <w:pPr>
        <w:spacing w:line="360" w:lineRule="auto"/>
        <w:jc w:val="both"/>
        <w:rPr>
          <w:rFonts w:ascii="Times New Roman" w:hAnsi="Times New Roman" w:cs="Times New Roman"/>
          <w:b/>
          <w:bCs/>
          <w:color w:val="000000" w:themeColor="text1"/>
          <w:u w:val="single"/>
          <w:lang w:val="en-US"/>
        </w:rPr>
      </w:pPr>
      <w:r w:rsidRPr="008D75AF">
        <w:rPr>
          <w:rFonts w:ascii="Times New Roman" w:hAnsi="Times New Roman" w:cs="Times New Roman"/>
          <w:b/>
          <w:bCs/>
          <w:color w:val="000000" w:themeColor="text1"/>
          <w:u w:val="single"/>
          <w:lang w:val="en-US"/>
        </w:rPr>
        <w:t xml:space="preserve">Design Strategies </w:t>
      </w:r>
    </w:p>
    <w:p w14:paraId="0194BFE8" w14:textId="075006C5" w:rsidR="003C6A89" w:rsidRPr="001B6BBF" w:rsidRDefault="00CC575D" w:rsidP="001C4713">
      <w:pPr>
        <w:spacing w:line="360" w:lineRule="auto"/>
        <w:jc w:val="both"/>
        <w:rPr>
          <w:rFonts w:ascii="Times New Roman" w:hAnsi="Times New Roman" w:cs="Times New Roman"/>
          <w:color w:val="000000" w:themeColor="text1"/>
          <w:lang w:val="en-US"/>
        </w:rPr>
      </w:pPr>
      <w:r w:rsidRPr="001B6BBF">
        <w:rPr>
          <w:rFonts w:ascii="Times New Roman" w:hAnsi="Times New Roman" w:cs="Times New Roman"/>
          <w:color w:val="000000" w:themeColor="text1"/>
          <w:lang w:val="en-US"/>
        </w:rPr>
        <w:t>Design patterns often target specific problems and aren't always directly usable in the early stages of concept development. In contrast, architecture patterns offer a higher-level structural framework for software systems, defining subsystems, their roles, and the organization of their relationships</w:t>
      </w:r>
      <w:r w:rsidR="00526D01" w:rsidRPr="001B6BBF">
        <w:rPr>
          <w:rStyle w:val="FootnoteReference"/>
          <w:rFonts w:ascii="Times New Roman" w:hAnsi="Times New Roman" w:cs="Times New Roman"/>
          <w:color w:val="000000" w:themeColor="text1"/>
          <w:lang w:val="en-US"/>
        </w:rPr>
        <w:footnoteReference w:id="26"/>
      </w:r>
      <w:r w:rsidRPr="001B6BBF">
        <w:rPr>
          <w:rFonts w:ascii="Times New Roman" w:hAnsi="Times New Roman" w:cs="Times New Roman"/>
          <w:color w:val="000000" w:themeColor="text1"/>
          <w:lang w:val="en-US"/>
        </w:rPr>
        <w:t>. An example of such an architecture pattern is the Model-View-Controller (MVC). The line between architecture and design patterns can blur, highlighting the value of examining system design from various levels of abstraction. Since design patterns can sometimes be too narrow for certain applications, broader design strategies are proposed. These strategies outline general approaches for achieving specific design goals, preferring certain structures while not being prescriptive. This flexibility makes them useful even in the concept development and analysis stages of the design cycle. A privacy design strategy is one that seeks to protect privacy as its primary objective, demonstrating how strategies can focus on overarching goals without dictating the exact structure of the system.</w:t>
      </w:r>
    </w:p>
    <w:p w14:paraId="5566A26E" w14:textId="7942C1DB" w:rsidR="00526D01" w:rsidRPr="008D75AF" w:rsidRDefault="00526D01" w:rsidP="001C4713">
      <w:pPr>
        <w:spacing w:line="360" w:lineRule="auto"/>
        <w:jc w:val="both"/>
        <w:rPr>
          <w:rFonts w:ascii="Times New Roman" w:hAnsi="Times New Roman" w:cs="Times New Roman"/>
          <w:b/>
          <w:bCs/>
          <w:color w:val="000000" w:themeColor="text1"/>
          <w:u w:val="single"/>
          <w:lang w:val="en-US"/>
        </w:rPr>
      </w:pPr>
      <w:r w:rsidRPr="008D75AF">
        <w:rPr>
          <w:rFonts w:ascii="Times New Roman" w:hAnsi="Times New Roman" w:cs="Times New Roman"/>
          <w:b/>
          <w:bCs/>
          <w:color w:val="000000" w:themeColor="text1"/>
          <w:u w:val="single"/>
          <w:lang w:val="en-US"/>
        </w:rPr>
        <w:t>Privacy Enhancing Technologies</w:t>
      </w:r>
    </w:p>
    <w:p w14:paraId="7641D55C" w14:textId="35CA9B2C" w:rsidR="00526D01" w:rsidRPr="001B6BBF" w:rsidRDefault="00526D01" w:rsidP="001C4713">
      <w:pPr>
        <w:spacing w:line="360" w:lineRule="auto"/>
        <w:jc w:val="both"/>
        <w:rPr>
          <w:rFonts w:ascii="Times New Roman" w:hAnsi="Times New Roman" w:cs="Times New Roman"/>
        </w:rPr>
      </w:pPr>
      <w:r w:rsidRPr="001B6BBF">
        <w:rPr>
          <w:rFonts w:ascii="Times New Roman" w:hAnsi="Times New Roman" w:cs="Times New Roman"/>
        </w:rPr>
        <w:t xml:space="preserve">In discussions around designing for privacy, Privacy-Enhancing Technologies (PETs) have gained significant attention and undergone extensive research over many years. (A summary of this extensive research is provided later in this document.) A notable definition, subsequently almost verbatim embraced by the European Commission, was proposed by </w:t>
      </w:r>
      <w:proofErr w:type="spellStart"/>
      <w:r w:rsidRPr="001B6BBF">
        <w:rPr>
          <w:rFonts w:ascii="Times New Roman" w:hAnsi="Times New Roman" w:cs="Times New Roman"/>
        </w:rPr>
        <w:t>Borking</w:t>
      </w:r>
      <w:proofErr w:type="spellEnd"/>
      <w:r w:rsidRPr="001B6BBF">
        <w:rPr>
          <w:rFonts w:ascii="Times New Roman" w:hAnsi="Times New Roman" w:cs="Times New Roman"/>
        </w:rPr>
        <w:t xml:space="preserve"> and </w:t>
      </w:r>
      <w:proofErr w:type="spellStart"/>
      <w:r w:rsidRPr="001B6BBF">
        <w:rPr>
          <w:rFonts w:ascii="Times New Roman" w:hAnsi="Times New Roman" w:cs="Times New Roman"/>
        </w:rPr>
        <w:t>Blarkom</w:t>
      </w:r>
      <w:proofErr w:type="spellEnd"/>
      <w:r w:rsidRPr="001B6BBF">
        <w:rPr>
          <w:rFonts w:ascii="Times New Roman" w:hAnsi="Times New Roman" w:cs="Times New Roman"/>
        </w:rPr>
        <w:t xml:space="preserve"> among others. They defined Privacy-Enhancing Technologies as a collection of measures within ICT that safeguard informational privacy by reducing or eliminating personal data. This, in turn, deters unnecessary or undesired processing of personal data, all while maintaining the information system's functionality. Essentially, PETs are applied to execute specific privacy design patterns using tangible technology. For instance, ‘</w:t>
      </w:r>
      <w:proofErr w:type="spellStart"/>
      <w:r w:rsidRPr="001B6BBF">
        <w:rPr>
          <w:rFonts w:ascii="Times New Roman" w:hAnsi="Times New Roman" w:cs="Times New Roman"/>
        </w:rPr>
        <w:t>Idemix</w:t>
      </w:r>
      <w:proofErr w:type="spellEnd"/>
      <w:r w:rsidRPr="001B6BBF">
        <w:rPr>
          <w:rFonts w:ascii="Times New Roman" w:hAnsi="Times New Roman" w:cs="Times New Roman"/>
        </w:rPr>
        <w:t xml:space="preserve">’ and ‘U-Prove’ serve as examples of privacy-enhancing technologies that embody the anonymous </w:t>
      </w:r>
      <w:r w:rsidRPr="001B6BBF">
        <w:rPr>
          <w:rFonts w:ascii="Times New Roman" w:hAnsi="Times New Roman" w:cs="Times New Roman"/>
        </w:rPr>
        <w:lastRenderedPageBreak/>
        <w:t>credentials design pattern, although implicitly. Additionally, numerous other examples exist, such as ‘cut-and-choose’ strategies, and ‘onion routing’ , just to highlight a couple.</w:t>
      </w:r>
    </w:p>
    <w:p w14:paraId="6C704902" w14:textId="382381FE" w:rsidR="00526D01" w:rsidRPr="001B6BBF" w:rsidRDefault="00526D01" w:rsidP="001C4713">
      <w:pPr>
        <w:spacing w:line="360" w:lineRule="auto"/>
        <w:jc w:val="center"/>
        <w:rPr>
          <w:rFonts w:ascii="Times New Roman" w:hAnsi="Times New Roman" w:cs="Times New Roman"/>
          <w:b/>
          <w:bCs/>
          <w:u w:val="single"/>
        </w:rPr>
      </w:pPr>
      <w:r w:rsidRPr="001B6BBF">
        <w:rPr>
          <w:rFonts w:ascii="Times New Roman" w:hAnsi="Times New Roman" w:cs="Times New Roman"/>
          <w:b/>
          <w:bCs/>
          <w:u w:val="single"/>
        </w:rPr>
        <w:t>Privacy Techniques</w:t>
      </w:r>
    </w:p>
    <w:p w14:paraId="7594BA71" w14:textId="47E09714" w:rsidR="00526D01" w:rsidRPr="008D75AF" w:rsidRDefault="00526D01" w:rsidP="001C4713">
      <w:pPr>
        <w:spacing w:line="360" w:lineRule="auto"/>
        <w:jc w:val="both"/>
        <w:rPr>
          <w:rFonts w:ascii="Times New Roman" w:hAnsi="Times New Roman" w:cs="Times New Roman"/>
          <w:b/>
          <w:bCs/>
          <w:color w:val="000000" w:themeColor="text1"/>
          <w:u w:val="single"/>
        </w:rPr>
      </w:pPr>
      <w:r w:rsidRPr="008D75AF">
        <w:rPr>
          <w:rFonts w:ascii="Times New Roman" w:hAnsi="Times New Roman" w:cs="Times New Roman"/>
          <w:b/>
          <w:bCs/>
          <w:color w:val="000000" w:themeColor="text1"/>
          <w:u w:val="single"/>
        </w:rPr>
        <w:t xml:space="preserve">Authentication </w:t>
      </w:r>
    </w:p>
    <w:p w14:paraId="301FED5B" w14:textId="3D022EF3" w:rsidR="00526D01" w:rsidRPr="001B6BBF" w:rsidRDefault="00526D01" w:rsidP="001C4713">
      <w:pPr>
        <w:spacing w:line="360" w:lineRule="auto"/>
        <w:jc w:val="both"/>
        <w:rPr>
          <w:rFonts w:ascii="Times New Roman" w:hAnsi="Times New Roman" w:cs="Times New Roman"/>
          <w:color w:val="000000" w:themeColor="text1"/>
          <w:lang w:val="en-US"/>
        </w:rPr>
      </w:pPr>
      <w:r w:rsidRPr="001B6BBF">
        <w:rPr>
          <w:rFonts w:ascii="Times New Roman" w:hAnsi="Times New Roman" w:cs="Times New Roman"/>
          <w:color w:val="000000" w:themeColor="text1"/>
          <w:lang w:val="en-US"/>
        </w:rPr>
        <w:t>For optimal privacy against active adversaries, it's essential to sometimes shield the identities of both the initiator and responder. This level of protection is achieved through secret handshake protocols, where both participants keep their identities hidden until certain identity aspects are mutually verified. Such protocols enable users to authenticate each other's group membership through a shared key without revealing any personal or group identity details. There are also developments that support private authentication within groups.</w:t>
      </w:r>
    </w:p>
    <w:p w14:paraId="4653E8AA" w14:textId="73B7E376" w:rsidR="00661345" w:rsidRPr="001B6BBF" w:rsidRDefault="00661345" w:rsidP="001C4713">
      <w:pPr>
        <w:spacing w:line="360" w:lineRule="auto"/>
        <w:jc w:val="both"/>
        <w:rPr>
          <w:rFonts w:ascii="Times New Roman" w:hAnsi="Times New Roman" w:cs="Times New Roman"/>
        </w:rPr>
      </w:pPr>
      <w:r w:rsidRPr="001B6BBF">
        <w:rPr>
          <w:rFonts w:ascii="Times New Roman" w:hAnsi="Times New Roman" w:cs="Times New Roman"/>
        </w:rPr>
        <w:t>Emerging authentication paradigms include:</w:t>
      </w:r>
    </w:p>
    <w:p w14:paraId="73D4D7BC" w14:textId="6C4FC614" w:rsidR="00661345" w:rsidRPr="001B6BBF" w:rsidRDefault="00661345" w:rsidP="001C4713">
      <w:pPr>
        <w:pStyle w:val="ListParagraph"/>
        <w:numPr>
          <w:ilvl w:val="0"/>
          <w:numId w:val="2"/>
        </w:numPr>
        <w:spacing w:line="360" w:lineRule="auto"/>
        <w:jc w:val="both"/>
        <w:rPr>
          <w:rFonts w:ascii="Times New Roman" w:hAnsi="Times New Roman" w:cs="Times New Roman"/>
        </w:rPr>
      </w:pPr>
      <w:r w:rsidRPr="001B6BBF">
        <w:rPr>
          <w:rFonts w:ascii="Times New Roman" w:hAnsi="Times New Roman" w:cs="Times New Roman"/>
        </w:rPr>
        <w:t>Client-server authentication, which verifies a user's identity through an identifier (e.g., username) to a server or third party. This model is common in federated chat protocols like XMPP, where users authenticate with an XMPP server to confirm their identity.</w:t>
      </w:r>
    </w:p>
    <w:p w14:paraId="1CCC0DE6" w14:textId="78B8B06D" w:rsidR="00661345" w:rsidRPr="001B6BBF" w:rsidRDefault="00661345" w:rsidP="001C4713">
      <w:pPr>
        <w:pStyle w:val="ListParagraph"/>
        <w:numPr>
          <w:ilvl w:val="0"/>
          <w:numId w:val="2"/>
        </w:numPr>
        <w:spacing w:line="360" w:lineRule="auto"/>
        <w:jc w:val="both"/>
        <w:rPr>
          <w:rFonts w:ascii="Times New Roman" w:hAnsi="Times New Roman" w:cs="Times New Roman"/>
        </w:rPr>
      </w:pPr>
      <w:r w:rsidRPr="001B6BBF">
        <w:rPr>
          <w:rFonts w:ascii="Times New Roman" w:hAnsi="Times New Roman" w:cs="Times New Roman"/>
        </w:rPr>
        <w:t>End-to-end authentication allows users to directly verify each other's identities without needing a trusted third party. This can involve running an authentication protocol to check a user's identity claims and secure communications cryptographically. Methods might include sharing a secret or verifying public keys. This approach, highlighted for its privacy and data protection potential, enables secure, direct communication channels that bypass potential third-party compromises (see Section 4.3.2 on channel security).</w:t>
      </w:r>
    </w:p>
    <w:p w14:paraId="1FC10DD3" w14:textId="5B3DFD48" w:rsidR="00526D01" w:rsidRPr="001B6BBF" w:rsidRDefault="00661345" w:rsidP="001C4713">
      <w:pPr>
        <w:pStyle w:val="ListParagraph"/>
        <w:numPr>
          <w:ilvl w:val="0"/>
          <w:numId w:val="2"/>
        </w:numPr>
        <w:spacing w:line="360" w:lineRule="auto"/>
        <w:jc w:val="both"/>
        <w:rPr>
          <w:rFonts w:ascii="Times New Roman" w:hAnsi="Times New Roman" w:cs="Times New Roman"/>
        </w:rPr>
      </w:pPr>
      <w:r w:rsidRPr="001B6BBF">
        <w:rPr>
          <w:rFonts w:ascii="Times New Roman" w:hAnsi="Times New Roman" w:cs="Times New Roman"/>
        </w:rPr>
        <w:t>End-to-end models are recommended for their direct, secure communication and protection against third-party breaches, aligning with privacy and data protection principles.</w:t>
      </w:r>
      <w:r w:rsidRPr="001B6BBF">
        <w:rPr>
          <w:rStyle w:val="FootnoteReference"/>
          <w:rFonts w:ascii="Times New Roman" w:hAnsi="Times New Roman" w:cs="Times New Roman"/>
        </w:rPr>
        <w:footnoteReference w:id="27"/>
      </w:r>
    </w:p>
    <w:p w14:paraId="3FD19530" w14:textId="162ACADE" w:rsidR="00661345" w:rsidRPr="008D75AF" w:rsidRDefault="00661345" w:rsidP="001C4713">
      <w:pPr>
        <w:spacing w:line="360" w:lineRule="auto"/>
        <w:jc w:val="both"/>
        <w:rPr>
          <w:rFonts w:ascii="Times New Roman" w:hAnsi="Times New Roman" w:cs="Times New Roman"/>
          <w:b/>
          <w:bCs/>
          <w:color w:val="000000" w:themeColor="text1"/>
          <w:u w:val="single"/>
        </w:rPr>
      </w:pPr>
      <w:r w:rsidRPr="008D75AF">
        <w:rPr>
          <w:rFonts w:ascii="Times New Roman" w:hAnsi="Times New Roman" w:cs="Times New Roman"/>
          <w:b/>
          <w:bCs/>
          <w:color w:val="000000" w:themeColor="text1"/>
          <w:u w:val="single"/>
        </w:rPr>
        <w:t>Attribute-based Credentials</w:t>
      </w:r>
    </w:p>
    <w:p w14:paraId="0620A354" w14:textId="22F8331F" w:rsidR="00661345" w:rsidRPr="001B6BBF" w:rsidRDefault="00661345" w:rsidP="001C4713">
      <w:pPr>
        <w:spacing w:line="360" w:lineRule="auto"/>
        <w:jc w:val="both"/>
        <w:rPr>
          <w:rFonts w:ascii="Times New Roman" w:hAnsi="Times New Roman" w:cs="Times New Roman"/>
          <w:color w:val="000000" w:themeColor="text1"/>
        </w:rPr>
      </w:pPr>
      <w:r w:rsidRPr="001B6BBF">
        <w:rPr>
          <w:rFonts w:ascii="Times New Roman" w:hAnsi="Times New Roman" w:cs="Times New Roman"/>
          <w:color w:val="000000" w:themeColor="text1"/>
        </w:rPr>
        <w:t>Attribute-based credentials</w:t>
      </w:r>
      <w:r w:rsidRPr="001B6BBF">
        <w:rPr>
          <w:rStyle w:val="FootnoteReference"/>
          <w:rFonts w:ascii="Times New Roman" w:hAnsi="Times New Roman" w:cs="Times New Roman"/>
          <w:color w:val="000000" w:themeColor="text1"/>
        </w:rPr>
        <w:footnoteReference w:id="28"/>
      </w:r>
      <w:r w:rsidRPr="001B6BBF">
        <w:rPr>
          <w:rFonts w:ascii="Times New Roman" w:hAnsi="Times New Roman" w:cs="Times New Roman"/>
          <w:color w:val="000000" w:themeColor="text1"/>
        </w:rPr>
        <w:t xml:space="preserve"> present a fundamentally different approach for managing identity when compared to the traditional methods of federated identity management detailed in section 4.1.3. Unlike in federated (or network-based) identity management, where a user's identity information is always retrieved via an online identity provider (IdP) when accessing a service, attribute-based credentials </w:t>
      </w:r>
      <w:proofErr w:type="spellStart"/>
      <w:r w:rsidRPr="001B6BBF">
        <w:rPr>
          <w:rFonts w:ascii="Times New Roman" w:hAnsi="Times New Roman" w:cs="Times New Roman"/>
          <w:color w:val="000000" w:themeColor="text1"/>
        </w:rPr>
        <w:t>center</w:t>
      </w:r>
      <w:proofErr w:type="spellEnd"/>
      <w:r w:rsidRPr="001B6BBF">
        <w:rPr>
          <w:rFonts w:ascii="Times New Roman" w:hAnsi="Times New Roman" w:cs="Times New Roman"/>
          <w:color w:val="000000" w:themeColor="text1"/>
        </w:rPr>
        <w:t xml:space="preserve"> the user in all identity-related transactions. In federated </w:t>
      </w:r>
      <w:r w:rsidRPr="001B6BBF">
        <w:rPr>
          <w:rFonts w:ascii="Times New Roman" w:hAnsi="Times New Roman" w:cs="Times New Roman"/>
          <w:color w:val="000000" w:themeColor="text1"/>
        </w:rPr>
        <w:lastRenderedPageBreak/>
        <w:t>identity management, the process involves directing the user to an identity provider whenever they attempt to access a service. Only after successfully logging into this identity provider does the IdP send the required user information back to the service provider. This situates the IdP at the heart of all identity-related transactions, thereby raising numerous concerns regarding security, privacy, and usability. For instance, the identity provider has the capability to track all the service providers with whom the user interacts, while service providers might gain access to more personal information about the user than what is strictly necessary to provide their services. If the service provider requests information critical for accessing valuable resources (like health records or financial details), the identity provider essentially holds the keys to this information, enabling access without the user’s consent or knowledge. In contrast, attribute-based credentials (ABC) ensure that the user remains the focal point of any transaction concerning their identity</w:t>
      </w:r>
      <w:r w:rsidRPr="001B6BBF">
        <w:rPr>
          <w:rStyle w:val="FootnoteReference"/>
          <w:rFonts w:ascii="Times New Roman" w:hAnsi="Times New Roman" w:cs="Times New Roman"/>
          <w:color w:val="000000" w:themeColor="text1"/>
        </w:rPr>
        <w:footnoteReference w:id="29"/>
      </w:r>
      <w:r w:rsidRPr="001B6BBF">
        <w:rPr>
          <w:rFonts w:ascii="Times New Roman" w:hAnsi="Times New Roman" w:cs="Times New Roman"/>
          <w:color w:val="000000" w:themeColor="text1"/>
        </w:rPr>
        <w:t>.</w:t>
      </w:r>
    </w:p>
    <w:p w14:paraId="38C9425B" w14:textId="5280273F" w:rsidR="00661345" w:rsidRPr="008D75AF" w:rsidRDefault="00661345" w:rsidP="001C4713">
      <w:pPr>
        <w:spacing w:line="360" w:lineRule="auto"/>
        <w:jc w:val="both"/>
        <w:rPr>
          <w:rFonts w:ascii="Times New Roman" w:hAnsi="Times New Roman" w:cs="Times New Roman"/>
          <w:b/>
          <w:bCs/>
          <w:color w:val="000000" w:themeColor="text1"/>
          <w:u w:val="single"/>
        </w:rPr>
      </w:pPr>
      <w:r w:rsidRPr="008D75AF">
        <w:rPr>
          <w:rFonts w:ascii="Times New Roman" w:hAnsi="Times New Roman" w:cs="Times New Roman"/>
          <w:b/>
          <w:bCs/>
          <w:color w:val="000000" w:themeColor="text1"/>
          <w:u w:val="single"/>
        </w:rPr>
        <w:t>Secured private communication</w:t>
      </w:r>
    </w:p>
    <w:p w14:paraId="3C3D028A" w14:textId="5D756046" w:rsidR="00661345" w:rsidRPr="001B6BBF" w:rsidRDefault="00661345" w:rsidP="001C4713">
      <w:pPr>
        <w:spacing w:line="360" w:lineRule="auto"/>
        <w:jc w:val="both"/>
        <w:rPr>
          <w:rFonts w:ascii="Times New Roman" w:hAnsi="Times New Roman" w:cs="Times New Roman"/>
          <w:color w:val="000000" w:themeColor="text1"/>
        </w:rPr>
      </w:pPr>
      <w:r w:rsidRPr="001B6BBF">
        <w:rPr>
          <w:rFonts w:ascii="Times New Roman" w:hAnsi="Times New Roman" w:cs="Times New Roman"/>
          <w:color w:val="000000" w:themeColor="text1"/>
        </w:rPr>
        <w:t xml:space="preserve">Physical network connections generally offer inadequate assurances of confidentiality and privacy. Local networks are increasingly reliant on wireless technology, and securing wide area networks physically against widespread surveillance is not feasible. Hence, any data exchanged between a user and a service or among users should ideally be encrypted using advanced cryptographic methods to ensure that it remains incomprehensible to unauthorized listeners. This applies to all forms of user communications: personal or sensitive information should be encrypted to maintain its confidentiality (and security), but even public resource requests should be encrypted to prevent any potential eavesdroppers from deducing users' browsing </w:t>
      </w:r>
      <w:r w:rsidR="008D75AF" w:rsidRPr="001B6BBF">
        <w:rPr>
          <w:rFonts w:ascii="Times New Roman" w:hAnsi="Times New Roman" w:cs="Times New Roman"/>
          <w:color w:val="000000" w:themeColor="text1"/>
        </w:rPr>
        <w:t>behaviours</w:t>
      </w:r>
      <w:r w:rsidRPr="001B6BBF">
        <w:rPr>
          <w:rFonts w:ascii="Times New Roman" w:hAnsi="Times New Roman" w:cs="Times New Roman"/>
          <w:color w:val="000000" w:themeColor="text1"/>
        </w:rPr>
        <w:t>, profiling, usage of services or gathering identifiers for subsequent tracking.</w:t>
      </w:r>
    </w:p>
    <w:p w14:paraId="54E16095" w14:textId="77777777" w:rsidR="00661345" w:rsidRPr="008D75AF" w:rsidRDefault="00661345" w:rsidP="001C4713">
      <w:pPr>
        <w:spacing w:line="360" w:lineRule="auto"/>
        <w:jc w:val="both"/>
        <w:rPr>
          <w:rFonts w:ascii="Times New Roman" w:hAnsi="Times New Roman" w:cs="Times New Roman"/>
          <w:b/>
          <w:bCs/>
          <w:color w:val="000000" w:themeColor="text1"/>
          <w:u w:val="single"/>
        </w:rPr>
      </w:pPr>
      <w:r w:rsidRPr="008D75AF">
        <w:rPr>
          <w:rFonts w:ascii="Times New Roman" w:hAnsi="Times New Roman" w:cs="Times New Roman"/>
          <w:b/>
          <w:bCs/>
          <w:color w:val="000000" w:themeColor="text1"/>
          <w:u w:val="single"/>
        </w:rPr>
        <w:t xml:space="preserve">Communications anonymity and pseudonymity </w:t>
      </w:r>
    </w:p>
    <w:p w14:paraId="7B0D95CF" w14:textId="03BFB4F1" w:rsidR="00794E2E" w:rsidRPr="001B6BBF" w:rsidRDefault="00114423" w:rsidP="001C4713">
      <w:pPr>
        <w:spacing w:line="360" w:lineRule="auto"/>
        <w:jc w:val="both"/>
        <w:rPr>
          <w:rFonts w:ascii="Times New Roman" w:hAnsi="Times New Roman" w:cs="Times New Roman"/>
          <w:color w:val="000000" w:themeColor="text1"/>
        </w:rPr>
      </w:pPr>
      <w:r w:rsidRPr="001B6BBF">
        <w:rPr>
          <w:rFonts w:ascii="Times New Roman" w:hAnsi="Times New Roman" w:cs="Times New Roman"/>
          <w:color w:val="000000" w:themeColor="text1"/>
        </w:rPr>
        <w:t xml:space="preserve">Using end-to-end encryption safeguards the content of conversations, yet it doesn't shield metadata from external parties. Metadata refers to data that provides context about the communications, such as the identities of the communicators, when and how much they communicate, the length of their conversations or calls, and the locations or potentially the identities of the network connection points. The leakage of metadata can severely infringe upon one's privacy. For instance, revealing that a journalist has been in contact with a source inside a corporation or government body could jeopardize their role as a confidential informant, even </w:t>
      </w:r>
      <w:r w:rsidRPr="001B6BBF">
        <w:rPr>
          <w:rFonts w:ascii="Times New Roman" w:hAnsi="Times New Roman" w:cs="Times New Roman"/>
          <w:color w:val="000000" w:themeColor="text1"/>
        </w:rPr>
        <w:lastRenderedPageBreak/>
        <w:t xml:space="preserve">if the actual content of their exchanges remains secure. Similarly, if someone is consistently searching for information regarding a certain type of cancer, it might suggest a personal health issue or condition. Metadata can also reveal lifestyle choices or relationships that might not be directly communicated. For instance, consistently finding two cell phones in the same location outside of work hours and during weekends could suggest a personal relationship. Analysis of metadata through mobile phone tracking or </w:t>
      </w:r>
      <w:proofErr w:type="spellStart"/>
      <w:r w:rsidRPr="001B6BBF">
        <w:rPr>
          <w:rFonts w:ascii="Times New Roman" w:hAnsi="Times New Roman" w:cs="Times New Roman"/>
          <w:color w:val="000000" w:themeColor="text1"/>
        </w:rPr>
        <w:t>WiFi</w:t>
      </w:r>
      <w:proofErr w:type="spellEnd"/>
      <w:r w:rsidRPr="001B6BBF">
        <w:rPr>
          <w:rFonts w:ascii="Times New Roman" w:hAnsi="Times New Roman" w:cs="Times New Roman"/>
          <w:color w:val="000000" w:themeColor="text1"/>
        </w:rPr>
        <w:t>/IP address logs can expose such relationships, even without any direct message exchanges.</w:t>
      </w:r>
      <w:r w:rsidRPr="001B6BBF">
        <w:rPr>
          <w:rStyle w:val="FootnoteReference"/>
          <w:rFonts w:ascii="Times New Roman" w:hAnsi="Times New Roman" w:cs="Times New Roman"/>
          <w:color w:val="000000" w:themeColor="text1"/>
        </w:rPr>
        <w:footnoteReference w:id="30"/>
      </w:r>
    </w:p>
    <w:p w14:paraId="46F1EFFE" w14:textId="453ECBC2" w:rsidR="00114423" w:rsidRPr="001B6BBF" w:rsidRDefault="00114423" w:rsidP="008D75AF">
      <w:pPr>
        <w:spacing w:line="360" w:lineRule="auto"/>
        <w:rPr>
          <w:rFonts w:ascii="Times New Roman" w:hAnsi="Times New Roman" w:cs="Times New Roman"/>
          <w:b/>
          <w:bCs/>
          <w:color w:val="000000" w:themeColor="text1"/>
          <w:u w:val="single"/>
        </w:rPr>
      </w:pPr>
      <w:r w:rsidRPr="001B6BBF">
        <w:rPr>
          <w:rFonts w:ascii="Times New Roman" w:hAnsi="Times New Roman" w:cs="Times New Roman"/>
          <w:b/>
          <w:bCs/>
          <w:color w:val="000000" w:themeColor="text1"/>
          <w:u w:val="single"/>
        </w:rPr>
        <w:t>Conclusion</w:t>
      </w:r>
    </w:p>
    <w:p w14:paraId="5566E2E0" w14:textId="640F48C7" w:rsidR="00114423" w:rsidRPr="001B6BBF" w:rsidRDefault="00114423" w:rsidP="001C4713">
      <w:pPr>
        <w:spacing w:line="360" w:lineRule="auto"/>
        <w:jc w:val="both"/>
        <w:rPr>
          <w:rFonts w:ascii="Times New Roman" w:hAnsi="Times New Roman" w:cs="Times New Roman"/>
          <w:color w:val="000000" w:themeColor="text1"/>
        </w:rPr>
      </w:pPr>
      <w:r w:rsidRPr="001B6BBF">
        <w:rPr>
          <w:rFonts w:ascii="Times New Roman" w:hAnsi="Times New Roman" w:cs="Times New Roman"/>
          <w:color w:val="000000" w:themeColor="text1"/>
        </w:rPr>
        <w:t>As can be seen from previous sections, several policy documents refer to privacy/data protection by design and by default either as principles or as practical implementation concepts. While these terms are not clearly defined in all these reviewed documents, they have a common focus, namely, to incorporate all privacy/data protection principles through all the design and use stages of data processing and this to be the norm by default.</w:t>
      </w:r>
    </w:p>
    <w:p w14:paraId="632A4104" w14:textId="12F606FB" w:rsidR="00114423" w:rsidRPr="001B6BBF" w:rsidRDefault="00114423" w:rsidP="001C4713">
      <w:pPr>
        <w:spacing w:line="360" w:lineRule="auto"/>
        <w:jc w:val="both"/>
        <w:rPr>
          <w:rFonts w:ascii="Times New Roman" w:hAnsi="Times New Roman" w:cs="Times New Roman"/>
          <w:color w:val="000000" w:themeColor="text1"/>
        </w:rPr>
      </w:pPr>
      <w:r w:rsidRPr="001B6BBF">
        <w:rPr>
          <w:rFonts w:ascii="Times New Roman" w:hAnsi="Times New Roman" w:cs="Times New Roman"/>
          <w:color w:val="000000" w:themeColor="text1"/>
        </w:rPr>
        <w:t>As nations worldwide keep enacting new privacy regulations and compliance standards, it's crucial for companies to integrate privacy safeguards at the heart of their development phases and throughout their operational lifespan. This approach not only guarantees adherence to legal requirements but also fosters trust among consumers.</w:t>
      </w:r>
    </w:p>
    <w:sectPr w:rsidR="00114423" w:rsidRPr="001B6B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BB31" w14:textId="77777777" w:rsidR="00C0044F" w:rsidRDefault="00C0044F" w:rsidP="006513F6">
      <w:pPr>
        <w:spacing w:after="0" w:line="240" w:lineRule="auto"/>
      </w:pPr>
      <w:r>
        <w:separator/>
      </w:r>
    </w:p>
  </w:endnote>
  <w:endnote w:type="continuationSeparator" w:id="0">
    <w:p w14:paraId="04E166AD" w14:textId="77777777" w:rsidR="00C0044F" w:rsidRDefault="00C0044F" w:rsidP="0065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C2B6" w14:textId="77777777" w:rsidR="00C0044F" w:rsidRDefault="00C0044F" w:rsidP="006513F6">
      <w:pPr>
        <w:spacing w:after="0" w:line="240" w:lineRule="auto"/>
      </w:pPr>
      <w:r>
        <w:separator/>
      </w:r>
    </w:p>
  </w:footnote>
  <w:footnote w:type="continuationSeparator" w:id="0">
    <w:p w14:paraId="6D0C22CA" w14:textId="77777777" w:rsidR="00C0044F" w:rsidRDefault="00C0044F" w:rsidP="006513F6">
      <w:pPr>
        <w:spacing w:after="0" w:line="240" w:lineRule="auto"/>
      </w:pPr>
      <w:r>
        <w:continuationSeparator/>
      </w:r>
    </w:p>
  </w:footnote>
  <w:footnote w:id="1">
    <w:p w14:paraId="05646F37" w14:textId="1A3B4FB0" w:rsidR="006513F6" w:rsidRPr="008D75AF" w:rsidRDefault="006513F6"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1EP President Tajani invites Facebook CEO: </w:t>
      </w:r>
      <w:hyperlink r:id="rId1" w:history="1">
        <w:r w:rsidRPr="008D75AF">
          <w:rPr>
            <w:rStyle w:val="Hyperlink"/>
            <w:rFonts w:ascii="Times New Roman" w:hAnsi="Times New Roman" w:cs="Times New Roman"/>
          </w:rPr>
          <w:t>http://www.europarl.europa.eu/news/en/agenda/briefing/2018-0416/1/facebook-meps-to-discuss-misuse-of-eu-citizens-personal-data</w:t>
        </w:r>
      </w:hyperlink>
      <w:r w:rsidRPr="008D75AF">
        <w:rPr>
          <w:rFonts w:ascii="Times New Roman" w:hAnsi="Times New Roman" w:cs="Times New Roman"/>
        </w:rPr>
        <w:t xml:space="preserve">. </w:t>
      </w:r>
    </w:p>
  </w:footnote>
  <w:footnote w:id="2">
    <w:p w14:paraId="5DAB10C4" w14:textId="0E3968DA" w:rsidR="006513F6" w:rsidRPr="008D75AF" w:rsidRDefault="006513F6" w:rsidP="008D75AF">
      <w:pPr>
        <w:pStyle w:val="FootnoteText"/>
        <w:jc w:val="both"/>
        <w:rPr>
          <w:rFonts w:ascii="Times New Roman" w:hAnsi="Times New Roman" w:cs="Times New Roman"/>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US Senate Committee hearing of Facebook CEO: </w:t>
      </w:r>
      <w:hyperlink r:id="rId2" w:history="1">
        <w:r w:rsidRPr="008D75AF">
          <w:rPr>
            <w:rStyle w:val="Hyperlink"/>
            <w:rFonts w:ascii="Times New Roman" w:hAnsi="Times New Roman" w:cs="Times New Roman"/>
          </w:rPr>
          <w:t>https://www.judiciary.senate.gov/imo/media/doc/04-1018%20Zuckerberg%20Testimony.pdf</w:t>
        </w:r>
      </w:hyperlink>
      <w:r w:rsidRPr="008D75AF">
        <w:rPr>
          <w:rFonts w:ascii="Times New Roman" w:hAnsi="Times New Roman" w:cs="Times New Roman"/>
        </w:rPr>
        <w:t xml:space="preserve">. </w:t>
      </w:r>
    </w:p>
  </w:footnote>
  <w:footnote w:id="3">
    <w:p w14:paraId="5D0B73A9" w14:textId="528057F6" w:rsidR="006513F6" w:rsidRPr="008D75AF" w:rsidRDefault="006513F6"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German Federal Parliament, Digital Agenda Committee, report </w:t>
      </w:r>
      <w:hyperlink r:id="rId3" w:history="1">
        <w:r w:rsidRPr="008D75AF">
          <w:rPr>
            <w:rStyle w:val="Hyperlink"/>
            <w:rFonts w:ascii="Times New Roman" w:hAnsi="Times New Roman" w:cs="Times New Roman"/>
          </w:rPr>
          <w:t>https://www.bundestag.de/presse/hib/2018_03//548624</w:t>
        </w:r>
      </w:hyperlink>
      <w:r w:rsidRPr="008D75AF">
        <w:rPr>
          <w:rFonts w:ascii="Times New Roman" w:hAnsi="Times New Roman" w:cs="Times New Roman"/>
        </w:rPr>
        <w:t xml:space="preserve">. Resolution French Parliament,  </w:t>
      </w:r>
      <w:hyperlink r:id="rId4" w:history="1">
        <w:r w:rsidRPr="008D75AF">
          <w:rPr>
            <w:rStyle w:val="Hyperlink"/>
            <w:rFonts w:ascii="Times New Roman" w:hAnsi="Times New Roman" w:cs="Times New Roman"/>
          </w:rPr>
          <w:t>http://www.assemblee-nationale.fr/15/pdf/propositions/pion0858.pdf</w:t>
        </w:r>
      </w:hyperlink>
      <w:r w:rsidRPr="008D75AF">
        <w:rPr>
          <w:rFonts w:ascii="Times New Roman" w:hAnsi="Times New Roman" w:cs="Times New Roman"/>
        </w:rPr>
        <w:t xml:space="preserve">. </w:t>
      </w:r>
    </w:p>
  </w:footnote>
  <w:footnote w:id="4">
    <w:p w14:paraId="4F9512AC" w14:textId="44BDE1EF" w:rsidR="006513F6" w:rsidRPr="008D75AF" w:rsidRDefault="006513F6"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German Federal Parliament, Digital Agenda Committee, report https://www.bundestag.de/presse/hib/2018_03//548624. 5Resolution French Parliament,  </w:t>
      </w:r>
      <w:hyperlink r:id="rId5" w:history="1">
        <w:r w:rsidRPr="008D75AF">
          <w:rPr>
            <w:rStyle w:val="Hyperlink"/>
            <w:rFonts w:ascii="Times New Roman" w:hAnsi="Times New Roman" w:cs="Times New Roman"/>
          </w:rPr>
          <w:t>http://www.assemblee-nationale.fr/15/pdf/propositions/pion0858.pdf</w:t>
        </w:r>
      </w:hyperlink>
      <w:r w:rsidRPr="008D75AF">
        <w:rPr>
          <w:rFonts w:ascii="Times New Roman" w:hAnsi="Times New Roman" w:cs="Times New Roman"/>
        </w:rPr>
        <w:t xml:space="preserve">. </w:t>
      </w:r>
    </w:p>
  </w:footnote>
  <w:footnote w:id="5">
    <w:p w14:paraId="2CF99B09" w14:textId="13BF13E4" w:rsidR="00AC2B04" w:rsidRPr="008D75AF" w:rsidRDefault="00AC2B04"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lang w:val="en-US"/>
        </w:rPr>
        <w:t xml:space="preserve">Pew Research Centre: Americans and Privacy </w:t>
      </w:r>
    </w:p>
    <w:p w14:paraId="332524B6" w14:textId="5DFD45C3" w:rsidR="00AC2B04" w:rsidRPr="008D75AF" w:rsidRDefault="00000000" w:rsidP="008D75AF">
      <w:pPr>
        <w:pStyle w:val="FootnoteText"/>
        <w:jc w:val="both"/>
        <w:rPr>
          <w:rFonts w:ascii="Times New Roman" w:hAnsi="Times New Roman" w:cs="Times New Roman"/>
          <w:lang w:val="en-US"/>
        </w:rPr>
      </w:pPr>
      <w:hyperlink r:id="rId6" w:history="1">
        <w:r w:rsidR="00AC2B04" w:rsidRPr="008D75AF">
          <w:rPr>
            <w:rStyle w:val="Hyperlink"/>
            <w:rFonts w:ascii="Times New Roman" w:hAnsi="Times New Roman" w:cs="Times New Roman"/>
            <w:lang w:val="en-US"/>
          </w:rPr>
          <w:t>https://www.pewresearch.org/internet/2019/11/15/americans-and-privacy-concerned-confused-and-feeling-lack-of-control-over-their-personal-information/</w:t>
        </w:r>
      </w:hyperlink>
      <w:r w:rsidR="00AC2B04" w:rsidRPr="008D75AF">
        <w:rPr>
          <w:rFonts w:ascii="Times New Roman" w:hAnsi="Times New Roman" w:cs="Times New Roman"/>
          <w:lang w:val="en-US"/>
        </w:rPr>
        <w:t xml:space="preserve"> </w:t>
      </w:r>
    </w:p>
  </w:footnote>
  <w:footnote w:id="6">
    <w:p w14:paraId="76E1FAF5" w14:textId="75C247FF" w:rsidR="00CF3497" w:rsidRPr="008D75AF" w:rsidRDefault="00CF3497"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Giovanni </w:t>
      </w:r>
      <w:proofErr w:type="spellStart"/>
      <w:r w:rsidRPr="008D75AF">
        <w:rPr>
          <w:rFonts w:ascii="Times New Roman" w:hAnsi="Times New Roman" w:cs="Times New Roman"/>
        </w:rPr>
        <w:t>Buttarelli</w:t>
      </w:r>
      <w:proofErr w:type="spellEnd"/>
      <w:r w:rsidRPr="008D75AF">
        <w:rPr>
          <w:rFonts w:ascii="Times New Roman" w:hAnsi="Times New Roman" w:cs="Times New Roman"/>
        </w:rPr>
        <w:t xml:space="preserve"> on CNN, 5 April 2018: http://transcripts.cnn.com/TRANSCRIPTS/1804/05/qmb.91.html.</w:t>
      </w:r>
    </w:p>
  </w:footnote>
  <w:footnote w:id="7">
    <w:p w14:paraId="4E6E8403" w14:textId="5951AB1D" w:rsidR="006C2A98" w:rsidRPr="008D75AF" w:rsidRDefault="006C2A98"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00794E2E" w:rsidRPr="008D75AF">
        <w:rPr>
          <w:rFonts w:ascii="Times New Roman" w:hAnsi="Times New Roman" w:cs="Times New Roman"/>
        </w:rPr>
        <w:t>Data controllers must implement technical and organizational measures, like pseudonymisation, to adhere to data protection rules, ensuring only necessary personal data are processed. This includes managing the data's collection, processing, storage, and access. An approved certification under Article 42 can evidence compliance with these obligations.</w:t>
      </w:r>
    </w:p>
  </w:footnote>
  <w:footnote w:id="8">
    <w:p w14:paraId="35541C21" w14:textId="19374051" w:rsidR="006C2A98" w:rsidRPr="008D75AF" w:rsidRDefault="006C2A98"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These certification mechanisms must be approved based on Article 42. An interpretation of this Article has been adopted by the European Data Protection Board (see Article 70 of the GDPR).</w:t>
      </w:r>
    </w:p>
  </w:footnote>
  <w:footnote w:id="9">
    <w:p w14:paraId="3FBB4B9B" w14:textId="0DFF00D5" w:rsidR="006C2A98" w:rsidRPr="008D75AF" w:rsidRDefault="006C2A98"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European Parliament and the Council, Directive 95/46/EC of the European Parliament and of the Council of 24 October 1995 on the protection of individuals with regard to the processing of personal data and on the free movement of such data OJ L 281, 23.11.1995.</w:t>
      </w:r>
    </w:p>
  </w:footnote>
  <w:footnote w:id="10">
    <w:p w14:paraId="3A38C4B2" w14:textId="47E71F7B" w:rsidR="006C2A98" w:rsidRPr="008D75AF" w:rsidRDefault="006C2A98" w:rsidP="008D75AF">
      <w:pPr>
        <w:pStyle w:val="FootnoteText"/>
        <w:jc w:val="both"/>
        <w:rPr>
          <w:rFonts w:ascii="Times New Roman" w:hAnsi="Times New Roman" w:cs="Times New Roman"/>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Remarks of Commissioner Edith Ramirez, Privacy by Design Conference, Hong Kong, June 13, 2012: https://www.ftc.gov/sites/default/files/documents/public_statements/privacy-design-and-new-privacyframework-u.s.federal-trade-commission/120613privacydesign.pdf. The Fair Information Practice Principles (FIPPs), were adopted by US government for federal agencies when processing PII. They could be basically summarised in: transparency, use limitation, access and correction, data quality, and security. Many consider the FIPPs as the original building blocks for worldwide privacy laws and charters, </w:t>
      </w:r>
      <w:r w:rsidR="009212CA" w:rsidRPr="008D75AF">
        <w:rPr>
          <w:rFonts w:ascii="Times New Roman" w:hAnsi="Times New Roman" w:cs="Times New Roman"/>
        </w:rPr>
        <w:t>Companies can implement privacy-by-default systems, using techniques like data minimization and encryption, to easily maintain privacy and reduce data misuse risk.</w:t>
      </w:r>
    </w:p>
  </w:footnote>
  <w:footnote w:id="11">
    <w:p w14:paraId="24E33337" w14:textId="7637E942" w:rsidR="006C2A98" w:rsidRPr="008D75AF" w:rsidRDefault="006C2A98"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See: http://www.oecd.org/sti/ieconomy/oecdguidelinesontheprotectionofprivacyandtransborderflowsofpersonaldata.h tm.     </w:t>
      </w:r>
    </w:p>
  </w:footnote>
  <w:footnote w:id="12">
    <w:p w14:paraId="59910424" w14:textId="7C0AC9A6" w:rsidR="0023744F" w:rsidRPr="008D75AF" w:rsidRDefault="0023744F"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PRIPARE Handbook - Privacy and Security by Design Methodology: </w:t>
      </w:r>
      <w:hyperlink r:id="rId7" w:history="1">
        <w:r w:rsidRPr="008D75AF">
          <w:rPr>
            <w:rStyle w:val="Hyperlink"/>
            <w:rFonts w:ascii="Times New Roman" w:hAnsi="Times New Roman" w:cs="Times New Roman"/>
          </w:rPr>
          <w:t>http://pripareproject.eu/wpcontent/uploads/2013/11/PRIPARE-Methodology-Handbook-Final-Feb-24-2016.pdf</w:t>
        </w:r>
      </w:hyperlink>
      <w:r w:rsidRPr="008D75AF">
        <w:rPr>
          <w:rFonts w:ascii="Times New Roman" w:hAnsi="Times New Roman" w:cs="Times New Roman"/>
        </w:rPr>
        <w:t xml:space="preserve">. </w:t>
      </w:r>
    </w:p>
  </w:footnote>
  <w:footnote w:id="13">
    <w:p w14:paraId="06A7E113" w14:textId="0ED2763C" w:rsidR="00B45E96" w:rsidRPr="008D75AF" w:rsidRDefault="00B45E96"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bookmarkStart w:id="0" w:name="OLE_LINK1"/>
      <w:bookmarkStart w:id="1" w:name="OLE_LINK2"/>
      <w:proofErr w:type="spellStart"/>
      <w:r w:rsidRPr="008D75AF">
        <w:rPr>
          <w:rFonts w:ascii="Times New Roman" w:hAnsi="Times New Roman" w:cs="Times New Roman"/>
        </w:rPr>
        <w:t>Datatilsynet</w:t>
      </w:r>
      <w:proofErr w:type="spellEnd"/>
      <w:r w:rsidRPr="008D75AF">
        <w:rPr>
          <w:rFonts w:ascii="Times New Roman" w:hAnsi="Times New Roman" w:cs="Times New Roman"/>
        </w:rPr>
        <w:t>,  “Software development with Data Protection by Design and by Default”: https://www.datatilsynet.no/en/regulations-and-tools/guidelines/data-protection-by-design-and-by-default/.</w:t>
      </w:r>
    </w:p>
    <w:bookmarkEnd w:id="0"/>
    <w:bookmarkEnd w:id="1"/>
  </w:footnote>
  <w:footnote w:id="14">
    <w:p w14:paraId="4C0720DC" w14:textId="2D98410B" w:rsidR="0023744F" w:rsidRPr="008D75AF" w:rsidRDefault="0023744F"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EDPS “Guidelines on the protection of personal data in IT governance and IT management of EU institutions”, March 2018: </w:t>
      </w:r>
      <w:hyperlink r:id="rId8" w:history="1">
        <w:r w:rsidRPr="008D75AF">
          <w:rPr>
            <w:rStyle w:val="Hyperlink"/>
            <w:rFonts w:ascii="Times New Roman" w:hAnsi="Times New Roman" w:cs="Times New Roman"/>
          </w:rPr>
          <w:t>https://edps.europa.eu/sites/edp/files/publication/it_governance_management_en.pdf</w:t>
        </w:r>
      </w:hyperlink>
    </w:p>
  </w:footnote>
  <w:footnote w:id="15">
    <w:p w14:paraId="172BF22E" w14:textId="7F741D11" w:rsidR="0023744F" w:rsidRPr="008D75AF" w:rsidRDefault="0023744F"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See a list (</w:t>
      </w:r>
      <w:r w:rsidR="008D75AF" w:rsidRPr="008D75AF">
        <w:rPr>
          <w:rFonts w:ascii="Times New Roman" w:hAnsi="Times New Roman" w:cs="Times New Roman"/>
        </w:rPr>
        <w:t>non-exhaustive</w:t>
      </w:r>
      <w:r w:rsidRPr="008D75AF">
        <w:rPr>
          <w:rFonts w:ascii="Times New Roman" w:hAnsi="Times New Roman" w:cs="Times New Roman"/>
        </w:rPr>
        <w:t xml:space="preserve">) of privacy related standardisation initiatives in IPEN wiki: </w:t>
      </w:r>
      <w:hyperlink r:id="rId9" w:anchor="Privacy_Standards" w:history="1">
        <w:r w:rsidRPr="008D75AF">
          <w:rPr>
            <w:rStyle w:val="Hyperlink"/>
            <w:rFonts w:ascii="Times New Roman" w:hAnsi="Times New Roman" w:cs="Times New Roman"/>
          </w:rPr>
          <w:t>https://ipen.trialog.com/wiki/Wiki_for_Privacy_Standards#Privacy_Standards</w:t>
        </w:r>
      </w:hyperlink>
      <w:r w:rsidRPr="008D75AF">
        <w:rPr>
          <w:rFonts w:ascii="Times New Roman" w:hAnsi="Times New Roman" w:cs="Times New Roman"/>
        </w:rPr>
        <w:t>.</w:t>
      </w:r>
    </w:p>
  </w:footnote>
  <w:footnote w:id="16">
    <w:p w14:paraId="106B8E84" w14:textId="79515C73" w:rsidR="0023744F" w:rsidRPr="008D75AF" w:rsidRDefault="0023744F"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See: https://tools.ietf.org/html/rfc6973.   </w:t>
      </w:r>
    </w:p>
  </w:footnote>
  <w:footnote w:id="17">
    <w:p w14:paraId="09AF48DE" w14:textId="7694BA15"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These certification mechanisms must be approved based on Article 42. An interpretation of this Article has been adopted by the European Data Protection Board (see Article 70 of the GDPR).</w:t>
      </w:r>
    </w:p>
  </w:footnote>
  <w:footnote w:id="18">
    <w:p w14:paraId="72C8825A" w14:textId="214BEC93"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European Commission (2015) M/530 Commission Implementing Decision C(2015) 102 final of 20.1.2015 on a standardisation request to the European standardisation organisations as regards European standards and European standardisation deliverables for privacy and personal data protection management pursuant to Article 10(1) of Regulation (EU) No 1025/2012 of the European Parliament and of the Council in support of Directive 27 | P a g e 95/46/EC of the European Parliament and of the Council and in support of Union's security industrial policy: http://ec.europa.eu/growth/tools-databases/mandates/index.cfm?fuseaction=search.detail&amp;id=548.   </w:t>
      </w:r>
    </w:p>
  </w:footnote>
  <w:footnote w:id="19">
    <w:p w14:paraId="22B22FBC" w14:textId="5DB40240"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See: </w:t>
      </w:r>
      <w:hyperlink r:id="rId10" w:history="1">
        <w:r w:rsidRPr="008D75AF">
          <w:rPr>
            <w:rStyle w:val="Hyperlink"/>
            <w:rFonts w:ascii="Times New Roman" w:hAnsi="Times New Roman" w:cs="Times New Roman"/>
          </w:rPr>
          <w:t>https://ec.europa.eu/growth/single-market/european-standards/key-players_en</w:t>
        </w:r>
      </w:hyperlink>
      <w:r w:rsidRPr="008D75AF">
        <w:rPr>
          <w:rFonts w:ascii="Times New Roman" w:hAnsi="Times New Roman" w:cs="Times New Roman"/>
        </w:rPr>
        <w:t xml:space="preserve">. </w:t>
      </w:r>
    </w:p>
  </w:footnote>
  <w:footnote w:id="20">
    <w:p w14:paraId="47F35C37" w14:textId="47AB9C70"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Presentation at CEN/CENELEC Cybersecurity Conference, 12 March 2018, A. Guarino, K. </w:t>
      </w:r>
      <w:proofErr w:type="spellStart"/>
      <w:r w:rsidRPr="008D75AF">
        <w:rPr>
          <w:rFonts w:ascii="Times New Roman" w:hAnsi="Times New Roman" w:cs="Times New Roman"/>
        </w:rPr>
        <w:t>Rannenberg</w:t>
      </w:r>
      <w:proofErr w:type="spellEnd"/>
      <w:r w:rsidRPr="008D75AF">
        <w:rPr>
          <w:rFonts w:ascii="Times New Roman" w:hAnsi="Times New Roman" w:cs="Times New Roman"/>
        </w:rPr>
        <w:t xml:space="preserve">: ftp://ftp.cencenelec.eu/EN/News/Events/2018/Cybersecurity_ENISA_CEN_CL_ETSI_Presentations/GUARIN O_RANNENBERG_CEN-CLC_JTC8.pdf.   </w:t>
      </w:r>
    </w:p>
  </w:footnote>
  <w:footnote w:id="21">
    <w:p w14:paraId="6FADE4CA" w14:textId="33744FE9"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See:</w:t>
      </w:r>
      <w:r w:rsidR="008D75AF" w:rsidRPr="008D75AF">
        <w:rPr>
          <w:rFonts w:ascii="Times New Roman" w:hAnsi="Times New Roman" w:cs="Times New Roman"/>
        </w:rPr>
        <w:t xml:space="preserve"> </w:t>
      </w:r>
      <w:r w:rsidRPr="008D75AF">
        <w:rPr>
          <w:rFonts w:ascii="Times New Roman" w:hAnsi="Times New Roman" w:cs="Times New Roman"/>
        </w:rPr>
        <w:t xml:space="preserve">ftp://ftp.cencenelec.eu/EN/News/Events/2018/Cybersecurity_ENISA_CEN_CL_ETSI_Presentations/WalterFUMY_Chair_CEN-CLC_JTC13.pdf.   </w:t>
      </w:r>
    </w:p>
  </w:footnote>
  <w:footnote w:id="22">
    <w:p w14:paraId="07F88448" w14:textId="5A1EAB45" w:rsidR="00932D73" w:rsidRPr="008D75AF" w:rsidRDefault="00932D7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See also Kamara, I., "Co-regulation in EU personal data protection: the case of technical standards and the privacy by design standardisation 'mandate'", in European Journal of Law and Technology, Vol 8, No 1, 2017: </w:t>
      </w:r>
      <w:hyperlink r:id="rId11" w:anchor="_edn20" w:history="1">
        <w:r w:rsidRPr="008D75AF">
          <w:rPr>
            <w:rStyle w:val="Hyperlink"/>
            <w:rFonts w:ascii="Times New Roman" w:hAnsi="Times New Roman" w:cs="Times New Roman"/>
          </w:rPr>
          <w:t>http://ejlt.org/article/view/545/723#_edn20</w:t>
        </w:r>
      </w:hyperlink>
      <w:r w:rsidRPr="008D75AF">
        <w:rPr>
          <w:rFonts w:ascii="Times New Roman" w:hAnsi="Times New Roman" w:cs="Times New Roman"/>
        </w:rPr>
        <w:t xml:space="preserve">. </w:t>
      </w:r>
    </w:p>
  </w:footnote>
  <w:footnote w:id="23">
    <w:p w14:paraId="1A8C0F64" w14:textId="7B237655" w:rsidR="008622B3" w:rsidRPr="008D75AF" w:rsidRDefault="008622B3"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Based on an original definition by Mary Shaw, expanded in 1995 by Grady Booch, Kurt Bittner, Philippe </w:t>
      </w:r>
      <w:proofErr w:type="spellStart"/>
      <w:r w:rsidRPr="008D75AF">
        <w:rPr>
          <w:rFonts w:ascii="Times New Roman" w:hAnsi="Times New Roman" w:cs="Times New Roman"/>
        </w:rPr>
        <w:t>Kruchten</w:t>
      </w:r>
      <w:proofErr w:type="spellEnd"/>
      <w:r w:rsidRPr="008D75AF">
        <w:rPr>
          <w:rFonts w:ascii="Times New Roman" w:hAnsi="Times New Roman" w:cs="Times New Roman"/>
        </w:rPr>
        <w:t xml:space="preserve"> and Rich Reitman</w:t>
      </w:r>
    </w:p>
  </w:footnote>
  <w:footnote w:id="24">
    <w:p w14:paraId="21D9B108" w14:textId="5CF75733" w:rsidR="003C6A89" w:rsidRPr="008D75AF" w:rsidRDefault="003C6A89"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Originally formulated in the late 1970s by Trygve </w:t>
      </w:r>
      <w:proofErr w:type="spellStart"/>
      <w:r w:rsidRPr="008D75AF">
        <w:rPr>
          <w:rFonts w:ascii="Times New Roman" w:hAnsi="Times New Roman" w:cs="Times New Roman"/>
        </w:rPr>
        <w:t>Reenskaug</w:t>
      </w:r>
      <w:proofErr w:type="spellEnd"/>
      <w:r w:rsidRPr="008D75AF">
        <w:rPr>
          <w:rFonts w:ascii="Times New Roman" w:hAnsi="Times New Roman" w:cs="Times New Roman"/>
        </w:rPr>
        <w:t xml:space="preserve"> at Xerox PARC, as part of the Smalltalk system</w:t>
      </w:r>
    </w:p>
  </w:footnote>
  <w:footnote w:id="25">
    <w:p w14:paraId="6523EBF5" w14:textId="08F441D5" w:rsidR="003C6A89" w:rsidRPr="008D75AF" w:rsidRDefault="003C6A89"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hyperlink r:id="rId12" w:history="1">
        <w:r w:rsidRPr="008D75AF">
          <w:rPr>
            <w:rStyle w:val="Hyperlink"/>
            <w:rFonts w:ascii="Times New Roman" w:hAnsi="Times New Roman" w:cs="Times New Roman"/>
          </w:rPr>
          <w:t>https://privacypatterns.org/</w:t>
        </w:r>
      </w:hyperlink>
      <w:r w:rsidRPr="008D75AF">
        <w:rPr>
          <w:rFonts w:ascii="Times New Roman" w:hAnsi="Times New Roman" w:cs="Times New Roman"/>
        </w:rPr>
        <w:t xml:space="preserve"> </w:t>
      </w:r>
    </w:p>
  </w:footnote>
  <w:footnote w:id="26">
    <w:p w14:paraId="24207A3A" w14:textId="13A4A6C1" w:rsidR="00526D01" w:rsidRPr="008D75AF" w:rsidRDefault="00526D01"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See http://best-practice-software-engineering.ifs.tuwien.ac.at/patterns.html, and The Open Group Architecture Framework (TOGAF) http://pubs.opengroup.org/architecture/togaf8-doc/arch/chap28.html</w:t>
      </w:r>
    </w:p>
  </w:footnote>
  <w:footnote w:id="27">
    <w:p w14:paraId="742A8CFE" w14:textId="1E447B78" w:rsidR="00661345" w:rsidRPr="008D75AF" w:rsidRDefault="00661345"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 xml:space="preserve">See </w:t>
      </w:r>
      <w:hyperlink r:id="rId13" w:history="1">
        <w:r w:rsidRPr="008D75AF">
          <w:rPr>
            <w:rStyle w:val="Hyperlink"/>
            <w:rFonts w:ascii="Times New Roman" w:hAnsi="Times New Roman" w:cs="Times New Roman"/>
          </w:rPr>
          <w:t>https://www.enisa.europa.eu/publications/privacy-and-data-protection-by-design</w:t>
        </w:r>
      </w:hyperlink>
      <w:r w:rsidRPr="008D75AF">
        <w:rPr>
          <w:rFonts w:ascii="Times New Roman" w:hAnsi="Times New Roman" w:cs="Times New Roman"/>
        </w:rPr>
        <w:t xml:space="preserve"> </w:t>
      </w:r>
    </w:p>
  </w:footnote>
  <w:footnote w:id="28">
    <w:p w14:paraId="3262F475" w14:textId="0C7B92A2" w:rsidR="00661345" w:rsidRPr="008D75AF" w:rsidRDefault="00661345"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rPr>
        <w:t>http://net.educause.edu/ir/library/pdf/eqm0442.pdf 37</w:t>
      </w:r>
    </w:p>
  </w:footnote>
  <w:footnote w:id="29">
    <w:p w14:paraId="26CDE4E9" w14:textId="277C749A" w:rsidR="00661345" w:rsidRPr="008D75AF" w:rsidRDefault="00661345" w:rsidP="008D75AF">
      <w:pPr>
        <w:pStyle w:val="FootnoteText"/>
        <w:jc w:val="both"/>
        <w:rPr>
          <w:rFonts w:ascii="Times New Roman" w:hAnsi="Times New Roman" w:cs="Times New Roman"/>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lang w:val="en-US"/>
        </w:rPr>
        <w:t>See note 28</w:t>
      </w:r>
    </w:p>
  </w:footnote>
  <w:footnote w:id="30">
    <w:p w14:paraId="264F7A37" w14:textId="69496726" w:rsidR="00114423" w:rsidRPr="008D75AF" w:rsidRDefault="00114423" w:rsidP="008D75AF">
      <w:pPr>
        <w:pStyle w:val="FootnoteText"/>
        <w:jc w:val="both"/>
        <w:rPr>
          <w:rFonts w:ascii="Times New Roman" w:hAnsi="Times New Roman" w:cs="Times New Roman"/>
          <w:i/>
          <w:iCs/>
          <w:lang w:val="en-US"/>
        </w:rPr>
      </w:pPr>
      <w:r w:rsidRPr="008D75AF">
        <w:rPr>
          <w:rStyle w:val="FootnoteReference"/>
          <w:rFonts w:ascii="Times New Roman" w:hAnsi="Times New Roman" w:cs="Times New Roman"/>
        </w:rPr>
        <w:footnoteRef/>
      </w:r>
      <w:r w:rsidRPr="008D75AF">
        <w:rPr>
          <w:rFonts w:ascii="Times New Roman" w:hAnsi="Times New Roman" w:cs="Times New Roman"/>
        </w:rPr>
        <w:t xml:space="preserve"> </w:t>
      </w:r>
      <w:r w:rsidRPr="008D75AF">
        <w:rPr>
          <w:rFonts w:ascii="Times New Roman" w:hAnsi="Times New Roman" w:cs="Times New Roman"/>
          <w:i/>
          <w:iCs/>
          <w:lang w:val="en-US"/>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98E"/>
    <w:multiLevelType w:val="hybridMultilevel"/>
    <w:tmpl w:val="90020EC6"/>
    <w:lvl w:ilvl="0" w:tplc="431269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A41C2D"/>
    <w:multiLevelType w:val="hybridMultilevel"/>
    <w:tmpl w:val="ABD0FC56"/>
    <w:lvl w:ilvl="0" w:tplc="FF529C5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84555"/>
    <w:multiLevelType w:val="hybridMultilevel"/>
    <w:tmpl w:val="BEC88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216229">
    <w:abstractNumId w:val="2"/>
  </w:num>
  <w:num w:numId="2" w16cid:durableId="145316159">
    <w:abstractNumId w:val="0"/>
  </w:num>
  <w:num w:numId="3" w16cid:durableId="161155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C1"/>
    <w:rsid w:val="00012D73"/>
    <w:rsid w:val="000C70C4"/>
    <w:rsid w:val="00114423"/>
    <w:rsid w:val="00186AB1"/>
    <w:rsid w:val="001B6BBF"/>
    <w:rsid w:val="001C4713"/>
    <w:rsid w:val="0023744F"/>
    <w:rsid w:val="002F419D"/>
    <w:rsid w:val="003C6A89"/>
    <w:rsid w:val="004D5577"/>
    <w:rsid w:val="00526D01"/>
    <w:rsid w:val="006513F6"/>
    <w:rsid w:val="00661345"/>
    <w:rsid w:val="00663AA1"/>
    <w:rsid w:val="006C2A98"/>
    <w:rsid w:val="0071487B"/>
    <w:rsid w:val="007716C1"/>
    <w:rsid w:val="00773133"/>
    <w:rsid w:val="00794E2E"/>
    <w:rsid w:val="007F2E16"/>
    <w:rsid w:val="00843D2E"/>
    <w:rsid w:val="008622B3"/>
    <w:rsid w:val="008D75AF"/>
    <w:rsid w:val="009212CA"/>
    <w:rsid w:val="009320F0"/>
    <w:rsid w:val="00932D73"/>
    <w:rsid w:val="00AC2B04"/>
    <w:rsid w:val="00B114CB"/>
    <w:rsid w:val="00B33FF0"/>
    <w:rsid w:val="00B45E96"/>
    <w:rsid w:val="00B537E8"/>
    <w:rsid w:val="00C0044F"/>
    <w:rsid w:val="00C10CC9"/>
    <w:rsid w:val="00CC575D"/>
    <w:rsid w:val="00CF3497"/>
    <w:rsid w:val="00DA39E7"/>
    <w:rsid w:val="00DB51A4"/>
    <w:rsid w:val="00E56C0E"/>
    <w:rsid w:val="00E85A88"/>
    <w:rsid w:val="00EE28EA"/>
    <w:rsid w:val="00FD4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1765"/>
  <w15:chartTrackingRefBased/>
  <w15:docId w15:val="{5CFF7A31-772B-E249-B3AB-BC83A5EB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1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1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C1"/>
    <w:rPr>
      <w:rFonts w:eastAsiaTheme="majorEastAsia" w:cstheme="majorBidi"/>
      <w:color w:val="272727" w:themeColor="text1" w:themeTint="D8"/>
    </w:rPr>
  </w:style>
  <w:style w:type="paragraph" w:styleId="Title">
    <w:name w:val="Title"/>
    <w:basedOn w:val="Normal"/>
    <w:next w:val="Normal"/>
    <w:link w:val="TitleChar"/>
    <w:uiPriority w:val="10"/>
    <w:qFormat/>
    <w:rsid w:val="00771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C1"/>
    <w:pPr>
      <w:spacing w:before="160"/>
      <w:jc w:val="center"/>
    </w:pPr>
    <w:rPr>
      <w:i/>
      <w:iCs/>
      <w:color w:val="404040" w:themeColor="text1" w:themeTint="BF"/>
    </w:rPr>
  </w:style>
  <w:style w:type="character" w:customStyle="1" w:styleId="QuoteChar">
    <w:name w:val="Quote Char"/>
    <w:basedOn w:val="DefaultParagraphFont"/>
    <w:link w:val="Quote"/>
    <w:uiPriority w:val="29"/>
    <w:rsid w:val="007716C1"/>
    <w:rPr>
      <w:i/>
      <w:iCs/>
      <w:color w:val="404040" w:themeColor="text1" w:themeTint="BF"/>
    </w:rPr>
  </w:style>
  <w:style w:type="paragraph" w:styleId="ListParagraph">
    <w:name w:val="List Paragraph"/>
    <w:basedOn w:val="Normal"/>
    <w:uiPriority w:val="34"/>
    <w:qFormat/>
    <w:rsid w:val="007716C1"/>
    <w:pPr>
      <w:ind w:left="720"/>
      <w:contextualSpacing/>
    </w:pPr>
  </w:style>
  <w:style w:type="character" w:styleId="IntenseEmphasis">
    <w:name w:val="Intense Emphasis"/>
    <w:basedOn w:val="DefaultParagraphFont"/>
    <w:uiPriority w:val="21"/>
    <w:qFormat/>
    <w:rsid w:val="007716C1"/>
    <w:rPr>
      <w:i/>
      <w:iCs/>
      <w:color w:val="0F4761" w:themeColor="accent1" w:themeShade="BF"/>
    </w:rPr>
  </w:style>
  <w:style w:type="paragraph" w:styleId="IntenseQuote">
    <w:name w:val="Intense Quote"/>
    <w:basedOn w:val="Normal"/>
    <w:next w:val="Normal"/>
    <w:link w:val="IntenseQuoteChar"/>
    <w:uiPriority w:val="30"/>
    <w:qFormat/>
    <w:rsid w:val="00771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C1"/>
    <w:rPr>
      <w:i/>
      <w:iCs/>
      <w:color w:val="0F4761" w:themeColor="accent1" w:themeShade="BF"/>
    </w:rPr>
  </w:style>
  <w:style w:type="character" w:styleId="IntenseReference">
    <w:name w:val="Intense Reference"/>
    <w:basedOn w:val="DefaultParagraphFont"/>
    <w:uiPriority w:val="32"/>
    <w:qFormat/>
    <w:rsid w:val="007716C1"/>
    <w:rPr>
      <w:b/>
      <w:bCs/>
      <w:smallCaps/>
      <w:color w:val="0F4761" w:themeColor="accent1" w:themeShade="BF"/>
      <w:spacing w:val="5"/>
    </w:rPr>
  </w:style>
  <w:style w:type="paragraph" w:styleId="FootnoteText">
    <w:name w:val="footnote text"/>
    <w:basedOn w:val="Normal"/>
    <w:link w:val="FootnoteTextChar"/>
    <w:uiPriority w:val="99"/>
    <w:unhideWhenUsed/>
    <w:rsid w:val="006513F6"/>
    <w:pPr>
      <w:spacing w:after="0" w:line="240" w:lineRule="auto"/>
    </w:pPr>
    <w:rPr>
      <w:sz w:val="20"/>
      <w:szCs w:val="20"/>
    </w:rPr>
  </w:style>
  <w:style w:type="character" w:customStyle="1" w:styleId="FootnoteTextChar">
    <w:name w:val="Footnote Text Char"/>
    <w:basedOn w:val="DefaultParagraphFont"/>
    <w:link w:val="FootnoteText"/>
    <w:uiPriority w:val="99"/>
    <w:rsid w:val="006513F6"/>
    <w:rPr>
      <w:sz w:val="20"/>
      <w:szCs w:val="20"/>
    </w:rPr>
  </w:style>
  <w:style w:type="character" w:styleId="FootnoteReference">
    <w:name w:val="footnote reference"/>
    <w:basedOn w:val="DefaultParagraphFont"/>
    <w:uiPriority w:val="99"/>
    <w:semiHidden/>
    <w:unhideWhenUsed/>
    <w:rsid w:val="006513F6"/>
    <w:rPr>
      <w:vertAlign w:val="superscript"/>
    </w:rPr>
  </w:style>
  <w:style w:type="character" w:styleId="Hyperlink">
    <w:name w:val="Hyperlink"/>
    <w:basedOn w:val="DefaultParagraphFont"/>
    <w:uiPriority w:val="99"/>
    <w:unhideWhenUsed/>
    <w:rsid w:val="006513F6"/>
    <w:rPr>
      <w:color w:val="467886" w:themeColor="hyperlink"/>
      <w:u w:val="single"/>
    </w:rPr>
  </w:style>
  <w:style w:type="character" w:styleId="UnresolvedMention">
    <w:name w:val="Unresolved Mention"/>
    <w:basedOn w:val="DefaultParagraphFont"/>
    <w:uiPriority w:val="99"/>
    <w:semiHidden/>
    <w:unhideWhenUsed/>
    <w:rsid w:val="006513F6"/>
    <w:rPr>
      <w:color w:val="605E5C"/>
      <w:shd w:val="clear" w:color="auto" w:fill="E1DFDD"/>
    </w:rPr>
  </w:style>
  <w:style w:type="character" w:styleId="FollowedHyperlink">
    <w:name w:val="FollowedHyperlink"/>
    <w:basedOn w:val="DefaultParagraphFont"/>
    <w:uiPriority w:val="99"/>
    <w:semiHidden/>
    <w:unhideWhenUsed/>
    <w:rsid w:val="00DB51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8546">
      <w:bodyDiv w:val="1"/>
      <w:marLeft w:val="0"/>
      <w:marRight w:val="0"/>
      <w:marTop w:val="0"/>
      <w:marBottom w:val="0"/>
      <w:divBdr>
        <w:top w:val="none" w:sz="0" w:space="0" w:color="auto"/>
        <w:left w:val="none" w:sz="0" w:space="0" w:color="auto"/>
        <w:bottom w:val="none" w:sz="0" w:space="0" w:color="auto"/>
        <w:right w:val="none" w:sz="0" w:space="0" w:color="auto"/>
      </w:divBdr>
    </w:div>
    <w:div w:id="551890923">
      <w:bodyDiv w:val="1"/>
      <w:marLeft w:val="0"/>
      <w:marRight w:val="0"/>
      <w:marTop w:val="0"/>
      <w:marBottom w:val="0"/>
      <w:divBdr>
        <w:top w:val="none" w:sz="0" w:space="0" w:color="auto"/>
        <w:left w:val="none" w:sz="0" w:space="0" w:color="auto"/>
        <w:bottom w:val="none" w:sz="0" w:space="0" w:color="auto"/>
        <w:right w:val="none" w:sz="0" w:space="0" w:color="auto"/>
      </w:divBdr>
    </w:div>
    <w:div w:id="5892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_rels/footnotes.xml.rels><?xml version="1.0" encoding="UTF-8" standalone="yes"?>
<Relationships xmlns="http://schemas.openxmlformats.org/package/2006/relationships"><Relationship Id="rId8" Type="http://schemas.openxmlformats.org/officeDocument/2006/relationships/hyperlink" Target="https://edps.europa.eu/sites/edp/files/publication/it_governance_management_en.pdf" TargetMode="External"/><Relationship Id="rId13" Type="http://schemas.openxmlformats.org/officeDocument/2006/relationships/hyperlink" Target="https://www.enisa.europa.eu/publications/privacy-and-data-protection-by-design" TargetMode="External"/><Relationship Id="rId3" Type="http://schemas.openxmlformats.org/officeDocument/2006/relationships/hyperlink" Target="https://www.bundestag.de/presse/hib/2018_03//548624" TargetMode="External"/><Relationship Id="rId7" Type="http://schemas.openxmlformats.org/officeDocument/2006/relationships/hyperlink" Target="http://pripareproject.eu/wpcontent/uploads/2013/11/PRIPARE-Methodology-Handbook-Final-Feb-24-2016.pdf" TargetMode="External"/><Relationship Id="rId12" Type="http://schemas.openxmlformats.org/officeDocument/2006/relationships/hyperlink" Target="https://privacypatterns.org/" TargetMode="External"/><Relationship Id="rId2" Type="http://schemas.openxmlformats.org/officeDocument/2006/relationships/hyperlink" Target="https://www.judiciary.senate.gov/imo/media/doc/04-1018%20Zuckerberg%20Testimony.pdf" TargetMode="External"/><Relationship Id="rId1" Type="http://schemas.openxmlformats.org/officeDocument/2006/relationships/hyperlink" Target="http://www.europarl.europa.eu/news/en/agenda/briefing/2018-0416/1/facebook-meps-to-discuss-misuse-of-eu-citizens-personal-data" TargetMode="External"/><Relationship Id="rId6" Type="http://schemas.openxmlformats.org/officeDocument/2006/relationships/hyperlink" Target="https://www.pewresearch.org/internet/2019/11/15/americans-and-privacy-concerned-confused-and-feeling-lack-of-control-over-their-personal-information/" TargetMode="External"/><Relationship Id="rId11" Type="http://schemas.openxmlformats.org/officeDocument/2006/relationships/hyperlink" Target="http://ejlt.org/article/view/545/723" TargetMode="External"/><Relationship Id="rId5" Type="http://schemas.openxmlformats.org/officeDocument/2006/relationships/hyperlink" Target="http://www.assemblee-nationale.fr/15/pdf/propositions/pion0858.pdf" TargetMode="External"/><Relationship Id="rId10" Type="http://schemas.openxmlformats.org/officeDocument/2006/relationships/hyperlink" Target="https://ec.europa.eu/growth/single-market/european-standards/key-players_en" TargetMode="External"/><Relationship Id="rId4" Type="http://schemas.openxmlformats.org/officeDocument/2006/relationships/hyperlink" Target="http://www.assemblee-nationale.fr/15/pdf/propositions/pion0858.pdf" TargetMode="External"/><Relationship Id="rId9" Type="http://schemas.openxmlformats.org/officeDocument/2006/relationships/hyperlink" Target="https://ipen.trialog.com/wiki/Wiki_for_Privacy_Standar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of US Adults who say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Companies </c:v>
                </c:pt>
              </c:strCache>
            </c:strRef>
          </c:tx>
          <c:spPr>
            <a:solidFill>
              <a:schemeClr val="accent1"/>
            </a:solidFill>
            <a:ln>
              <a:noFill/>
            </a:ln>
            <a:effectLst/>
          </c:spPr>
          <c:invertIfNegative val="0"/>
          <c:cat>
            <c:strRef>
              <c:f>Sheet1!$A$2:$A$5</c:f>
              <c:strCache>
                <c:ptCount val="4"/>
                <c:pt idx="0">
                  <c:v>Lack of control </c:v>
                </c:pt>
                <c:pt idx="1">
                  <c:v>Risk Outweigh Benefits </c:v>
                </c:pt>
                <c:pt idx="2">
                  <c:v>Concern over data use</c:v>
                </c:pt>
                <c:pt idx="3">
                  <c:v>Lack of understanding about data use </c:v>
                </c:pt>
              </c:strCache>
            </c:strRef>
          </c:cat>
          <c:val>
            <c:numRef>
              <c:f>Sheet1!$B$2:$B$5</c:f>
              <c:numCache>
                <c:formatCode>0%</c:formatCode>
                <c:ptCount val="4"/>
                <c:pt idx="0">
                  <c:v>0.81</c:v>
                </c:pt>
                <c:pt idx="1">
                  <c:v>0.81</c:v>
                </c:pt>
                <c:pt idx="2">
                  <c:v>0.79</c:v>
                </c:pt>
                <c:pt idx="3">
                  <c:v>0.59</c:v>
                </c:pt>
              </c:numCache>
            </c:numRef>
          </c:val>
          <c:extLst>
            <c:ext xmlns:c16="http://schemas.microsoft.com/office/drawing/2014/chart" uri="{C3380CC4-5D6E-409C-BE32-E72D297353CC}">
              <c16:uniqueId val="{00000000-45F5-9448-9BF5-CC17E5C429BC}"/>
            </c:ext>
          </c:extLst>
        </c:ser>
        <c:ser>
          <c:idx val="1"/>
          <c:order val="1"/>
          <c:tx>
            <c:strRef>
              <c:f>Sheet1!$C$1</c:f>
              <c:strCache>
                <c:ptCount val="1"/>
                <c:pt idx="0">
                  <c:v>Government</c:v>
                </c:pt>
              </c:strCache>
            </c:strRef>
          </c:tx>
          <c:spPr>
            <a:solidFill>
              <a:schemeClr val="accent2"/>
            </a:solidFill>
            <a:ln>
              <a:noFill/>
            </a:ln>
            <a:effectLst/>
          </c:spPr>
          <c:invertIfNegative val="0"/>
          <c:cat>
            <c:strRef>
              <c:f>Sheet1!$A$2:$A$5</c:f>
              <c:strCache>
                <c:ptCount val="4"/>
                <c:pt idx="0">
                  <c:v>Lack of control </c:v>
                </c:pt>
                <c:pt idx="1">
                  <c:v>Risk Outweigh Benefits </c:v>
                </c:pt>
                <c:pt idx="2">
                  <c:v>Concern over data use</c:v>
                </c:pt>
                <c:pt idx="3">
                  <c:v>Lack of understanding about data use </c:v>
                </c:pt>
              </c:strCache>
            </c:strRef>
          </c:cat>
          <c:val>
            <c:numRef>
              <c:f>Sheet1!$C$2:$C$5</c:f>
              <c:numCache>
                <c:formatCode>0%</c:formatCode>
                <c:ptCount val="4"/>
                <c:pt idx="0">
                  <c:v>0.84</c:v>
                </c:pt>
                <c:pt idx="1">
                  <c:v>0.66</c:v>
                </c:pt>
                <c:pt idx="2">
                  <c:v>0.64</c:v>
                </c:pt>
                <c:pt idx="3">
                  <c:v>0.78</c:v>
                </c:pt>
              </c:numCache>
            </c:numRef>
          </c:val>
          <c:extLst>
            <c:ext xmlns:c16="http://schemas.microsoft.com/office/drawing/2014/chart" uri="{C3380CC4-5D6E-409C-BE32-E72D297353CC}">
              <c16:uniqueId val="{00000001-45F5-9448-9BF5-CC17E5C429BC}"/>
            </c:ext>
          </c:extLst>
        </c:ser>
        <c:dLbls>
          <c:showLegendKey val="0"/>
          <c:showVal val="0"/>
          <c:showCatName val="0"/>
          <c:showSerName val="0"/>
          <c:showPercent val="0"/>
          <c:showBubbleSize val="0"/>
        </c:dLbls>
        <c:gapWidth val="219"/>
        <c:overlap val="-27"/>
        <c:axId val="1281632208"/>
        <c:axId val="263477392"/>
      </c:barChart>
      <c:catAx>
        <c:axId val="128163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477392"/>
        <c:crosses val="autoZero"/>
        <c:auto val="1"/>
        <c:lblAlgn val="ctr"/>
        <c:lblOffset val="100"/>
        <c:noMultiLvlLbl val="0"/>
      </c:catAx>
      <c:valAx>
        <c:axId val="263477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63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D9E74E-0D1D-784B-8179-033167DAFEA7}" type="doc">
      <dgm:prSet loTypeId="urn:microsoft.com/office/officeart/2005/8/layout/target3" loCatId="" qsTypeId="urn:microsoft.com/office/officeart/2005/8/quickstyle/simple1" qsCatId="simple" csTypeId="urn:microsoft.com/office/officeart/2005/8/colors/accent1_2" csCatId="accent1" phldr="1"/>
      <dgm:spPr/>
      <dgm:t>
        <a:bodyPr/>
        <a:lstStyle/>
        <a:p>
          <a:endParaRPr lang="en-GB"/>
        </a:p>
      </dgm:t>
    </dgm:pt>
    <dgm:pt modelId="{3A808EFE-D028-F340-9F64-CC5EF006CA06}">
      <dgm:prSet phldrT="[Text]" custT="1"/>
      <dgm:spPr/>
      <dgm:t>
        <a:bodyPr/>
        <a:lstStyle/>
        <a:p>
          <a:r>
            <a:rPr lang="en-GB" sz="1100" b="1" u="sng"/>
            <a:t>Key Findings by IBM Security</a:t>
          </a:r>
        </a:p>
      </dgm:t>
    </dgm:pt>
    <dgm:pt modelId="{E51B25F9-6BF4-8A4B-A31C-531EE0329DBF}" type="parTrans" cxnId="{1A87629F-0938-5D45-A799-5BA8CAAE3564}">
      <dgm:prSet/>
      <dgm:spPr/>
      <dgm:t>
        <a:bodyPr/>
        <a:lstStyle/>
        <a:p>
          <a:endParaRPr lang="en-GB"/>
        </a:p>
      </dgm:t>
    </dgm:pt>
    <dgm:pt modelId="{4EC4BD2C-43AB-0740-B111-C0918C06A6ED}" type="sibTrans" cxnId="{1A87629F-0938-5D45-A799-5BA8CAAE3564}">
      <dgm:prSet/>
      <dgm:spPr/>
      <dgm:t>
        <a:bodyPr/>
        <a:lstStyle/>
        <a:p>
          <a:endParaRPr lang="en-GB"/>
        </a:p>
      </dgm:t>
    </dgm:pt>
    <dgm:pt modelId="{FBE055E3-A018-EA42-89AD-5B5F109B5919}">
      <dgm:prSet phldrT="[Text]" custT="1"/>
      <dgm:spPr/>
      <dgm:t>
        <a:bodyPr/>
        <a:lstStyle/>
        <a:p>
          <a:r>
            <a:rPr lang="en-GB" sz="2400">
              <a:solidFill>
                <a:srgbClr val="0070C0"/>
              </a:solidFill>
              <a:latin typeface="Times New Roman" panose="02020603050405020304" pitchFamily="18" charset="0"/>
              <a:cs typeface="Times New Roman" panose="02020603050405020304" pitchFamily="18" charset="0"/>
            </a:rPr>
            <a:t>10%	    </a:t>
          </a:r>
          <a:r>
            <a:rPr lang="en-GB" sz="1000" b="0">
              <a:latin typeface="Times New Roman" panose="02020603050405020304" pitchFamily="18" charset="0"/>
              <a:cs typeface="Times New Roman" panose="02020603050405020304" pitchFamily="18" charset="0"/>
            </a:rPr>
            <a:t>Increase in average total cost of a breach, 2020-2021 </a:t>
          </a:r>
        </a:p>
      </dgm:t>
    </dgm:pt>
    <dgm:pt modelId="{AEFABDE6-4CE0-5D4E-AAB1-47A97F1C6140}" type="parTrans" cxnId="{76F9A4B9-D43A-0246-BCD7-C42F445646EC}">
      <dgm:prSet/>
      <dgm:spPr/>
      <dgm:t>
        <a:bodyPr/>
        <a:lstStyle/>
        <a:p>
          <a:endParaRPr lang="en-GB"/>
        </a:p>
      </dgm:t>
    </dgm:pt>
    <dgm:pt modelId="{3FDF42BC-E240-154A-8F6D-614E02E34332}" type="sibTrans" cxnId="{76F9A4B9-D43A-0246-BCD7-C42F445646EC}">
      <dgm:prSet/>
      <dgm:spPr/>
      <dgm:t>
        <a:bodyPr/>
        <a:lstStyle/>
        <a:p>
          <a:endParaRPr lang="en-GB"/>
        </a:p>
      </dgm:t>
    </dgm:pt>
    <dgm:pt modelId="{2D5E35E7-CBCB-6246-AD37-9AF3EECDE113}">
      <dgm:prSet phldrT="[Text]"/>
      <dgm:spPr/>
      <dgm:t>
        <a:bodyPr/>
        <a:lstStyle/>
        <a:p>
          <a:endParaRPr lang="en-GB" sz="2400"/>
        </a:p>
      </dgm:t>
    </dgm:pt>
    <dgm:pt modelId="{549B55C4-7E14-2F46-99C4-EEDADE965A8A}" type="parTrans" cxnId="{1DEB388B-863D-7343-93EB-3E4791FA78CC}">
      <dgm:prSet/>
      <dgm:spPr/>
      <dgm:t>
        <a:bodyPr/>
        <a:lstStyle/>
        <a:p>
          <a:endParaRPr lang="en-GB"/>
        </a:p>
      </dgm:t>
    </dgm:pt>
    <dgm:pt modelId="{9A4A6133-CE6D-F74A-B2B8-BC1BF9AA96A6}" type="sibTrans" cxnId="{1DEB388B-863D-7343-93EB-3E4791FA78CC}">
      <dgm:prSet/>
      <dgm:spPr/>
      <dgm:t>
        <a:bodyPr/>
        <a:lstStyle/>
        <a:p>
          <a:endParaRPr lang="en-GB"/>
        </a:p>
      </dgm:t>
    </dgm:pt>
    <dgm:pt modelId="{08B09603-244A-A640-B717-F62E513CBAAF}">
      <dgm:prSet phldrT="[Text]" custT="1"/>
      <dgm:spPr/>
      <dgm:t>
        <a:bodyPr/>
        <a:lstStyle/>
        <a:p>
          <a:r>
            <a:rPr lang="en-GB" sz="2400">
              <a:solidFill>
                <a:srgbClr val="0070C0"/>
              </a:solidFill>
              <a:latin typeface="Times New Roman" panose="02020603050405020304" pitchFamily="18" charset="0"/>
              <a:cs typeface="Times New Roman" panose="02020603050405020304" pitchFamily="18" charset="0"/>
            </a:rPr>
            <a:t>$1.07m </a:t>
          </a:r>
          <a:r>
            <a:rPr lang="en-GB" sz="1000">
              <a:latin typeface="Times New Roman" panose="02020603050405020304" pitchFamily="18" charset="0"/>
              <a:cs typeface="Times New Roman" panose="02020603050405020304" pitchFamily="18" charset="0"/>
            </a:rPr>
            <a:t>Cost difference where remote work was a factor  in causing the breach </a:t>
          </a:r>
        </a:p>
      </dgm:t>
    </dgm:pt>
    <dgm:pt modelId="{A90D2575-435C-9E4C-9434-66E65712331E}" type="parTrans" cxnId="{4B35412C-C23B-3E40-A656-AEC175B86238}">
      <dgm:prSet/>
      <dgm:spPr/>
      <dgm:t>
        <a:bodyPr/>
        <a:lstStyle/>
        <a:p>
          <a:endParaRPr lang="en-GB"/>
        </a:p>
      </dgm:t>
    </dgm:pt>
    <dgm:pt modelId="{B55B064B-B615-564B-8D15-25927A00D22F}" type="sibTrans" cxnId="{4B35412C-C23B-3E40-A656-AEC175B86238}">
      <dgm:prSet/>
      <dgm:spPr/>
      <dgm:t>
        <a:bodyPr/>
        <a:lstStyle/>
        <a:p>
          <a:endParaRPr lang="en-GB"/>
        </a:p>
      </dgm:t>
    </dgm:pt>
    <dgm:pt modelId="{E7167911-5CFF-B841-922F-2E50744A3F5A}">
      <dgm:prSet phldrT="[Text]" custT="1"/>
      <dgm:spPr/>
      <dgm:t>
        <a:bodyPr/>
        <a:lstStyle/>
        <a:p>
          <a:endParaRPr lang="en-GB" sz="1000" b="0">
            <a:latin typeface="Times New Roman" panose="02020603050405020304" pitchFamily="18" charset="0"/>
            <a:cs typeface="Times New Roman" panose="02020603050405020304" pitchFamily="18" charset="0"/>
          </a:endParaRPr>
        </a:p>
      </dgm:t>
    </dgm:pt>
    <dgm:pt modelId="{B3A97122-EE76-0145-A25D-CA5440D38A7C}" type="parTrans" cxnId="{096CEB09-4421-BF4C-97D7-6E6A200EEB2A}">
      <dgm:prSet/>
      <dgm:spPr/>
    </dgm:pt>
    <dgm:pt modelId="{2FC3C161-6E18-744B-90CA-32D02B17C2D8}" type="sibTrans" cxnId="{096CEB09-4421-BF4C-97D7-6E6A200EEB2A}">
      <dgm:prSet/>
      <dgm:spPr/>
    </dgm:pt>
    <dgm:pt modelId="{A304008C-2D4C-BC42-B1F8-06D93D58FD1C}">
      <dgm:prSet phldrT="[Text]" custT="1"/>
      <dgm:spPr/>
      <dgm:t>
        <a:bodyPr/>
        <a:lstStyle/>
        <a:p>
          <a:r>
            <a:rPr lang="en-GB" sz="2400">
              <a:solidFill>
                <a:srgbClr val="0070C0"/>
              </a:solidFill>
              <a:latin typeface="Times New Roman" panose="02020603050405020304" pitchFamily="18" charset="0"/>
              <a:cs typeface="Times New Roman" panose="02020603050405020304" pitchFamily="18" charset="0"/>
            </a:rPr>
            <a:t>11                    </a:t>
          </a:r>
          <a:r>
            <a:rPr lang="en-GB" sz="1000">
              <a:latin typeface="Times New Roman" panose="02020603050405020304" pitchFamily="18" charset="0"/>
              <a:cs typeface="Times New Roman" panose="02020603050405020304" pitchFamily="18" charset="0"/>
            </a:rPr>
            <a:t>Consecutive years healthcare had the highest industry cost of a breach </a:t>
          </a:r>
        </a:p>
      </dgm:t>
    </dgm:pt>
    <dgm:pt modelId="{6D4F2FC9-29DE-C644-B8CE-1463D58EEDE2}" type="parTrans" cxnId="{988260C2-4011-1F49-9E4C-19A4089DEC99}">
      <dgm:prSet/>
      <dgm:spPr/>
    </dgm:pt>
    <dgm:pt modelId="{75050B76-30DD-0E4F-AC30-9844C2CBEF8C}" type="sibTrans" cxnId="{988260C2-4011-1F49-9E4C-19A4089DEC99}">
      <dgm:prSet/>
      <dgm:spPr/>
    </dgm:pt>
    <dgm:pt modelId="{4187897B-0DBE-C043-A9B2-8A37D679688A}">
      <dgm:prSet phldrT="[Text]" custT="1"/>
      <dgm:spPr/>
      <dgm:t>
        <a:bodyPr/>
        <a:lstStyle/>
        <a:p>
          <a:endParaRPr lang="en-GB" sz="1000">
            <a:latin typeface="Times New Roman" panose="02020603050405020304" pitchFamily="18" charset="0"/>
            <a:cs typeface="Times New Roman" panose="02020603050405020304" pitchFamily="18" charset="0"/>
          </a:endParaRPr>
        </a:p>
      </dgm:t>
    </dgm:pt>
    <dgm:pt modelId="{02DABCDE-A6B4-F145-BBC6-AC9872AE795B}" type="parTrans" cxnId="{077C7AFC-3653-B141-9833-88183E4B733F}">
      <dgm:prSet/>
      <dgm:spPr/>
    </dgm:pt>
    <dgm:pt modelId="{2265EC7A-18D2-7A4E-94A7-B51FBEFE269E}" type="sibTrans" cxnId="{077C7AFC-3653-B141-9833-88183E4B733F}">
      <dgm:prSet/>
      <dgm:spPr/>
    </dgm:pt>
    <dgm:pt modelId="{C4AC5B2B-4FFD-6E40-B1DB-0CF0977C846E}" type="pres">
      <dgm:prSet presAssocID="{E1D9E74E-0D1D-784B-8179-033167DAFEA7}" presName="Name0" presStyleCnt="0">
        <dgm:presLayoutVars>
          <dgm:chMax val="7"/>
          <dgm:dir/>
          <dgm:animLvl val="lvl"/>
          <dgm:resizeHandles val="exact"/>
        </dgm:presLayoutVars>
      </dgm:prSet>
      <dgm:spPr/>
    </dgm:pt>
    <dgm:pt modelId="{CAA7F062-BB84-E844-B334-1238ED3230A1}" type="pres">
      <dgm:prSet presAssocID="{3A808EFE-D028-F340-9F64-CC5EF006CA06}" presName="circle1" presStyleLbl="node1" presStyleIdx="0" presStyleCnt="1"/>
      <dgm:spPr/>
    </dgm:pt>
    <dgm:pt modelId="{5E7883DE-88B7-8143-A9AD-2E7A5EACAB66}" type="pres">
      <dgm:prSet presAssocID="{3A808EFE-D028-F340-9F64-CC5EF006CA06}" presName="space" presStyleCnt="0"/>
      <dgm:spPr/>
    </dgm:pt>
    <dgm:pt modelId="{A9C04FD4-8DFA-8C40-97E5-0576D67BDB59}" type="pres">
      <dgm:prSet presAssocID="{3A808EFE-D028-F340-9F64-CC5EF006CA06}" presName="rect1" presStyleLbl="alignAcc1" presStyleIdx="0" presStyleCnt="1"/>
      <dgm:spPr/>
    </dgm:pt>
    <dgm:pt modelId="{469A93A1-867B-A64A-A4B5-39C5DED57F0D}" type="pres">
      <dgm:prSet presAssocID="{3A808EFE-D028-F340-9F64-CC5EF006CA06}" presName="rect1ParTx" presStyleLbl="alignAcc1" presStyleIdx="0" presStyleCnt="1">
        <dgm:presLayoutVars>
          <dgm:chMax val="1"/>
          <dgm:bulletEnabled val="1"/>
        </dgm:presLayoutVars>
      </dgm:prSet>
      <dgm:spPr/>
    </dgm:pt>
    <dgm:pt modelId="{0CC5C743-AF02-8342-B2E2-9C8FF71E5A61}" type="pres">
      <dgm:prSet presAssocID="{3A808EFE-D028-F340-9F64-CC5EF006CA06}" presName="rect1ChTx" presStyleLbl="alignAcc1" presStyleIdx="0" presStyleCnt="1">
        <dgm:presLayoutVars>
          <dgm:bulletEnabled val="1"/>
        </dgm:presLayoutVars>
      </dgm:prSet>
      <dgm:spPr/>
    </dgm:pt>
  </dgm:ptLst>
  <dgm:cxnLst>
    <dgm:cxn modelId="{096CEB09-4421-BF4C-97D7-6E6A200EEB2A}" srcId="{3A808EFE-D028-F340-9F64-CC5EF006CA06}" destId="{E7167911-5CFF-B841-922F-2E50744A3F5A}" srcOrd="1" destOrd="0" parTransId="{B3A97122-EE76-0145-A25D-CA5440D38A7C}" sibTransId="{2FC3C161-6E18-744B-90CA-32D02B17C2D8}"/>
    <dgm:cxn modelId="{E153600D-CB17-0848-A8A6-4D7A49AB06D7}" type="presOf" srcId="{2D5E35E7-CBCB-6246-AD37-9AF3EECDE113}" destId="{0CC5C743-AF02-8342-B2E2-9C8FF71E5A61}" srcOrd="0" destOrd="5" presId="urn:microsoft.com/office/officeart/2005/8/layout/target3"/>
    <dgm:cxn modelId="{4B35412C-C23B-3E40-A656-AEC175B86238}" srcId="{3A808EFE-D028-F340-9F64-CC5EF006CA06}" destId="{08B09603-244A-A640-B717-F62E513CBAAF}" srcOrd="2" destOrd="0" parTransId="{A90D2575-435C-9E4C-9434-66E65712331E}" sibTransId="{B55B064B-B615-564B-8D15-25927A00D22F}"/>
    <dgm:cxn modelId="{E50D6055-65B0-1D4B-81D7-3ACBA839DFEE}" type="presOf" srcId="{FBE055E3-A018-EA42-89AD-5B5F109B5919}" destId="{0CC5C743-AF02-8342-B2E2-9C8FF71E5A61}" srcOrd="0" destOrd="0" presId="urn:microsoft.com/office/officeart/2005/8/layout/target3"/>
    <dgm:cxn modelId="{7E64D45B-4847-2340-B543-E9451AC1134B}" type="presOf" srcId="{A304008C-2D4C-BC42-B1F8-06D93D58FD1C}" destId="{0CC5C743-AF02-8342-B2E2-9C8FF71E5A61}" srcOrd="0" destOrd="4" presId="urn:microsoft.com/office/officeart/2005/8/layout/target3"/>
    <dgm:cxn modelId="{1DEB388B-863D-7343-93EB-3E4791FA78CC}" srcId="{3A808EFE-D028-F340-9F64-CC5EF006CA06}" destId="{2D5E35E7-CBCB-6246-AD37-9AF3EECDE113}" srcOrd="5" destOrd="0" parTransId="{549B55C4-7E14-2F46-99C4-EEDADE965A8A}" sibTransId="{9A4A6133-CE6D-F74A-B2B8-BC1BF9AA96A6}"/>
    <dgm:cxn modelId="{1A87629F-0938-5D45-A799-5BA8CAAE3564}" srcId="{E1D9E74E-0D1D-784B-8179-033167DAFEA7}" destId="{3A808EFE-D028-F340-9F64-CC5EF006CA06}" srcOrd="0" destOrd="0" parTransId="{E51B25F9-6BF4-8A4B-A31C-531EE0329DBF}" sibTransId="{4EC4BD2C-43AB-0740-B111-C0918C06A6ED}"/>
    <dgm:cxn modelId="{F02A7AB2-7EC4-3346-ACFA-2D29338AE52B}" type="presOf" srcId="{3A808EFE-D028-F340-9F64-CC5EF006CA06}" destId="{469A93A1-867B-A64A-A4B5-39C5DED57F0D}" srcOrd="1" destOrd="0" presId="urn:microsoft.com/office/officeart/2005/8/layout/target3"/>
    <dgm:cxn modelId="{76F9A4B9-D43A-0246-BCD7-C42F445646EC}" srcId="{3A808EFE-D028-F340-9F64-CC5EF006CA06}" destId="{FBE055E3-A018-EA42-89AD-5B5F109B5919}" srcOrd="0" destOrd="0" parTransId="{AEFABDE6-4CE0-5D4E-AAB1-47A97F1C6140}" sibTransId="{3FDF42BC-E240-154A-8F6D-614E02E34332}"/>
    <dgm:cxn modelId="{988260C2-4011-1F49-9E4C-19A4089DEC99}" srcId="{3A808EFE-D028-F340-9F64-CC5EF006CA06}" destId="{A304008C-2D4C-BC42-B1F8-06D93D58FD1C}" srcOrd="4" destOrd="0" parTransId="{6D4F2FC9-29DE-C644-B8CE-1463D58EEDE2}" sibTransId="{75050B76-30DD-0E4F-AC30-9844C2CBEF8C}"/>
    <dgm:cxn modelId="{9EF0BDC4-E428-7D4D-B2AD-CCD3615B4D69}" type="presOf" srcId="{E7167911-5CFF-B841-922F-2E50744A3F5A}" destId="{0CC5C743-AF02-8342-B2E2-9C8FF71E5A61}" srcOrd="0" destOrd="1" presId="urn:microsoft.com/office/officeart/2005/8/layout/target3"/>
    <dgm:cxn modelId="{7D35BFD6-DC6C-CD49-B41D-5E7C423D22D9}" type="presOf" srcId="{3A808EFE-D028-F340-9F64-CC5EF006CA06}" destId="{A9C04FD4-8DFA-8C40-97E5-0576D67BDB59}" srcOrd="0" destOrd="0" presId="urn:microsoft.com/office/officeart/2005/8/layout/target3"/>
    <dgm:cxn modelId="{C4B92BDB-61D6-8246-B561-6E18D5094001}" type="presOf" srcId="{E1D9E74E-0D1D-784B-8179-033167DAFEA7}" destId="{C4AC5B2B-4FFD-6E40-B1DB-0CF0977C846E}" srcOrd="0" destOrd="0" presId="urn:microsoft.com/office/officeart/2005/8/layout/target3"/>
    <dgm:cxn modelId="{697798E9-7C2B-4143-9409-75272838165A}" type="presOf" srcId="{4187897B-0DBE-C043-A9B2-8A37D679688A}" destId="{0CC5C743-AF02-8342-B2E2-9C8FF71E5A61}" srcOrd="0" destOrd="3" presId="urn:microsoft.com/office/officeart/2005/8/layout/target3"/>
    <dgm:cxn modelId="{C5A578F4-F81F-0941-8790-AE3914D6ADC8}" type="presOf" srcId="{08B09603-244A-A640-B717-F62E513CBAAF}" destId="{0CC5C743-AF02-8342-B2E2-9C8FF71E5A61}" srcOrd="0" destOrd="2" presId="urn:microsoft.com/office/officeart/2005/8/layout/target3"/>
    <dgm:cxn modelId="{077C7AFC-3653-B141-9833-88183E4B733F}" srcId="{3A808EFE-D028-F340-9F64-CC5EF006CA06}" destId="{4187897B-0DBE-C043-A9B2-8A37D679688A}" srcOrd="3" destOrd="0" parTransId="{02DABCDE-A6B4-F145-BBC6-AC9872AE795B}" sibTransId="{2265EC7A-18D2-7A4E-94A7-B51FBEFE269E}"/>
    <dgm:cxn modelId="{196EF765-8E0B-AD4C-B7E6-A77C3B573423}" type="presParOf" srcId="{C4AC5B2B-4FFD-6E40-B1DB-0CF0977C846E}" destId="{CAA7F062-BB84-E844-B334-1238ED3230A1}" srcOrd="0" destOrd="0" presId="urn:microsoft.com/office/officeart/2005/8/layout/target3"/>
    <dgm:cxn modelId="{81D91402-A2BA-064D-B67F-427372571DDC}" type="presParOf" srcId="{C4AC5B2B-4FFD-6E40-B1DB-0CF0977C846E}" destId="{5E7883DE-88B7-8143-A9AD-2E7A5EACAB66}" srcOrd="1" destOrd="0" presId="urn:microsoft.com/office/officeart/2005/8/layout/target3"/>
    <dgm:cxn modelId="{0FF6AE87-54C4-C24B-9F62-BADAD8E72E72}" type="presParOf" srcId="{C4AC5B2B-4FFD-6E40-B1DB-0CF0977C846E}" destId="{A9C04FD4-8DFA-8C40-97E5-0576D67BDB59}" srcOrd="2" destOrd="0" presId="urn:microsoft.com/office/officeart/2005/8/layout/target3"/>
    <dgm:cxn modelId="{57DE0EBF-8BEB-BF47-8C4B-74668775A0F9}" type="presParOf" srcId="{C4AC5B2B-4FFD-6E40-B1DB-0CF0977C846E}" destId="{469A93A1-867B-A64A-A4B5-39C5DED57F0D}" srcOrd="3" destOrd="0" presId="urn:microsoft.com/office/officeart/2005/8/layout/target3"/>
    <dgm:cxn modelId="{2D4A04AB-FD4E-1142-BFCC-CC99FF94EBCC}" type="presParOf" srcId="{C4AC5B2B-4FFD-6E40-B1DB-0CF0977C846E}" destId="{0CC5C743-AF02-8342-B2E2-9C8FF71E5A61}" srcOrd="4" destOrd="0" presId="urn:microsoft.com/office/officeart/2005/8/layout/targe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1E41B8-7213-5D42-AFD6-07B17D561E7A}"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GB"/>
        </a:p>
      </dgm:t>
    </dgm:pt>
    <dgm:pt modelId="{B6B63496-8023-1143-B5DF-580527CF3EA7}">
      <dgm:prSet phldrT="[Text]" custT="1"/>
      <dgm:spPr/>
      <dgm:t>
        <a:bodyPr/>
        <a:lstStyle/>
        <a:p>
          <a:r>
            <a:rPr lang="en-IN" sz="900" b="0" i="0">
              <a:latin typeface="Garamond" panose="02020404030301010803" pitchFamily="18" charset="0"/>
            </a:rPr>
            <a:t>Privacy as the default setting</a:t>
          </a:r>
        </a:p>
        <a:p>
          <a:r>
            <a:rPr lang="en-IN" sz="900" b="0" i="1">
              <a:solidFill>
                <a:schemeClr val="tx1"/>
              </a:solidFill>
              <a:latin typeface="Garamond" panose="02020404030301010803" pitchFamily="18" charset="0"/>
            </a:rPr>
            <a:t>(</a:t>
          </a:r>
          <a:r>
            <a:rPr lang="en-US" sz="900" i="1">
              <a:solidFill>
                <a:schemeClr val="tx1"/>
              </a:solidFill>
              <a:latin typeface="Garamond" panose="02020404030301010803" pitchFamily="18" charset="0"/>
            </a:rPr>
            <a:t>The Firms can embed features like minimal data use and encryption for effortless privacy and reduced misuse risk</a:t>
          </a:r>
          <a:r>
            <a:rPr lang="en-IN" sz="900" b="0" i="1">
              <a:solidFill>
                <a:schemeClr val="tx1"/>
              </a:solidFill>
              <a:latin typeface="Garamond" panose="02020404030301010803" pitchFamily="18" charset="0"/>
            </a:rPr>
            <a:t>.)</a:t>
          </a:r>
          <a:endParaRPr lang="en-GB" sz="900" i="1">
            <a:solidFill>
              <a:schemeClr val="tx1"/>
            </a:solidFill>
            <a:latin typeface="Garamond" panose="02020404030301010803" pitchFamily="18" charset="0"/>
          </a:endParaRPr>
        </a:p>
      </dgm:t>
    </dgm:pt>
    <dgm:pt modelId="{6CE54418-80FF-9349-9F90-55564DF4979E}" type="parTrans" cxnId="{A24F63CC-BCD7-F341-B94A-F73DD9FE3DB4}">
      <dgm:prSet/>
      <dgm:spPr/>
      <dgm:t>
        <a:bodyPr/>
        <a:lstStyle/>
        <a:p>
          <a:endParaRPr lang="en-GB"/>
        </a:p>
      </dgm:t>
    </dgm:pt>
    <dgm:pt modelId="{639C4F2B-5234-C943-8109-EC38EB33D97F}" type="sibTrans" cxnId="{A24F63CC-BCD7-F341-B94A-F73DD9FE3DB4}">
      <dgm:prSet/>
      <dgm:spPr/>
      <dgm:t>
        <a:bodyPr/>
        <a:lstStyle/>
        <a:p>
          <a:endParaRPr lang="en-GB"/>
        </a:p>
      </dgm:t>
    </dgm:pt>
    <dgm:pt modelId="{6A78F302-B660-E946-9C23-AE2D44317BB7}">
      <dgm:prSet phldrT="[Text]" custT="1"/>
      <dgm:spPr/>
      <dgm:t>
        <a:bodyPr/>
        <a:lstStyle/>
        <a:p>
          <a:endParaRPr lang="en-IN" sz="900" b="0" i="0">
            <a:latin typeface="Garamond" panose="02020404030301010803" pitchFamily="18" charset="0"/>
          </a:endParaRPr>
        </a:p>
        <a:p>
          <a:r>
            <a:rPr lang="en-IN" sz="900" b="0" i="0">
              <a:latin typeface="Garamond" panose="02020404030301010803" pitchFamily="18" charset="0"/>
            </a:rPr>
            <a:t>End-to-end security – lifecycle protection</a:t>
          </a:r>
        </a:p>
        <a:p>
          <a:r>
            <a:rPr lang="en-IN" sz="900" b="0" i="1">
              <a:solidFill>
                <a:schemeClr val="tx1"/>
              </a:solidFill>
              <a:latin typeface="Garamond" panose="02020404030301010803" pitchFamily="18" charset="0"/>
            </a:rPr>
            <a:t>(</a:t>
          </a:r>
          <a:r>
            <a:rPr lang="en-IN" sz="900" b="0" i="1" u="none">
              <a:solidFill>
                <a:schemeClr val="tx1"/>
              </a:solidFill>
              <a:latin typeface="Garamond" panose="02020404030301010803" pitchFamily="18" charset="0"/>
            </a:rPr>
            <a:t>Privacy by Design ensures user data protection from collection to deletion, including during third-party sharing.)</a:t>
          </a:r>
          <a:endParaRPr lang="en-IN" sz="900" b="0" i="1">
            <a:solidFill>
              <a:schemeClr val="tx1"/>
            </a:solidFill>
            <a:latin typeface="Garamond" panose="02020404030301010803" pitchFamily="18" charset="0"/>
          </a:endParaRPr>
        </a:p>
        <a:p>
          <a:endParaRPr lang="en-GB" sz="500"/>
        </a:p>
      </dgm:t>
    </dgm:pt>
    <dgm:pt modelId="{E55ACDED-5AC7-174B-9C2F-FECFFF3B1766}" type="parTrans" cxnId="{0E29F80B-8F8F-BF4E-BE08-4D31AF93F246}">
      <dgm:prSet/>
      <dgm:spPr/>
      <dgm:t>
        <a:bodyPr/>
        <a:lstStyle/>
        <a:p>
          <a:endParaRPr lang="en-GB"/>
        </a:p>
      </dgm:t>
    </dgm:pt>
    <dgm:pt modelId="{6BE6CB8B-5417-114D-BB70-40AA66B02A25}" type="sibTrans" cxnId="{0E29F80B-8F8F-BF4E-BE08-4D31AF93F246}">
      <dgm:prSet/>
      <dgm:spPr/>
      <dgm:t>
        <a:bodyPr/>
        <a:lstStyle/>
        <a:p>
          <a:endParaRPr lang="en-GB"/>
        </a:p>
      </dgm:t>
    </dgm:pt>
    <dgm:pt modelId="{39C6ADBF-77B8-0B4D-9EF5-49B4AF33B2AA}">
      <dgm:prSet custT="1"/>
      <dgm:spPr/>
      <dgm:t>
        <a:bodyPr/>
        <a:lstStyle/>
        <a:p>
          <a:r>
            <a:rPr lang="en-IN" sz="900" b="0" i="0">
              <a:latin typeface="Garamond" panose="02020404030301010803" pitchFamily="18" charset="0"/>
            </a:rPr>
            <a:t>Privacy embedded into design</a:t>
          </a:r>
          <a:endParaRPr lang="en-IN" sz="900" b="0" i="1">
            <a:solidFill>
              <a:schemeClr val="tx1"/>
            </a:solidFill>
            <a:latin typeface="Garamond" panose="02020404030301010803" pitchFamily="18" charset="0"/>
          </a:endParaRPr>
        </a:p>
        <a:p>
          <a:r>
            <a:rPr lang="en-IN" sz="900" b="0" i="1" u="none">
              <a:solidFill>
                <a:schemeClr val="tx1"/>
              </a:solidFill>
              <a:latin typeface="Garamond" panose="02020404030301010803" pitchFamily="18" charset="0"/>
            </a:rPr>
            <a:t>(Embed privacy in the very intial stages of the product  develpoment and lifecyle)</a:t>
          </a:r>
          <a:endParaRPr lang="en-IN" sz="900" i="1">
            <a:solidFill>
              <a:schemeClr val="tx1"/>
            </a:solidFill>
            <a:latin typeface="Garamond" panose="02020404030301010803" pitchFamily="18" charset="0"/>
          </a:endParaRPr>
        </a:p>
      </dgm:t>
    </dgm:pt>
    <dgm:pt modelId="{7BF797AC-CDC1-1B4A-9275-7B489FEE77D8}" type="parTrans" cxnId="{DC7F7EEA-813A-AE42-90BE-A9699757D1D7}">
      <dgm:prSet/>
      <dgm:spPr/>
      <dgm:t>
        <a:bodyPr/>
        <a:lstStyle/>
        <a:p>
          <a:endParaRPr lang="en-GB"/>
        </a:p>
      </dgm:t>
    </dgm:pt>
    <dgm:pt modelId="{62CBC0D3-7DF8-2944-8ABA-22D5C29C4368}" type="sibTrans" cxnId="{DC7F7EEA-813A-AE42-90BE-A9699757D1D7}">
      <dgm:prSet/>
      <dgm:spPr/>
      <dgm:t>
        <a:bodyPr/>
        <a:lstStyle/>
        <a:p>
          <a:endParaRPr lang="en-GB"/>
        </a:p>
      </dgm:t>
    </dgm:pt>
    <dgm:pt modelId="{DE2608BE-5F58-C143-84BE-32C014B28078}">
      <dgm:prSet custT="1"/>
      <dgm:spPr/>
      <dgm:t>
        <a:bodyPr/>
        <a:lstStyle/>
        <a:p>
          <a:r>
            <a:rPr lang="en-IN" sz="900" b="0" i="0">
              <a:latin typeface="Garamond" panose="02020404030301010803" pitchFamily="18" charset="0"/>
            </a:rPr>
            <a:t>Full functionality – positive-sum, not zero-sum</a:t>
          </a:r>
        </a:p>
        <a:p>
          <a:r>
            <a:rPr lang="en-IN" sz="900" b="0" i="1" u="none">
              <a:solidFill>
                <a:schemeClr val="tx1"/>
              </a:solidFill>
              <a:latin typeface="Garamond" panose="02020404030301010803" pitchFamily="18" charset="0"/>
            </a:rPr>
            <a:t>(Companies should dispel the myth that privacy and functionality can't coexist, proving they can have both)</a:t>
          </a:r>
          <a:endParaRPr lang="en-IN" sz="900">
            <a:latin typeface="Garamond" panose="02020404030301010803" pitchFamily="18" charset="0"/>
          </a:endParaRPr>
        </a:p>
      </dgm:t>
    </dgm:pt>
    <dgm:pt modelId="{493066F5-89F3-484D-804F-BA7E9021CEA8}" type="parTrans" cxnId="{50066BB1-705F-D14B-AB8F-D9685595D8CC}">
      <dgm:prSet/>
      <dgm:spPr/>
      <dgm:t>
        <a:bodyPr/>
        <a:lstStyle/>
        <a:p>
          <a:endParaRPr lang="en-GB"/>
        </a:p>
      </dgm:t>
    </dgm:pt>
    <dgm:pt modelId="{3D18500A-05DC-CA41-A873-D9665F947F94}" type="sibTrans" cxnId="{50066BB1-705F-D14B-AB8F-D9685595D8CC}">
      <dgm:prSet/>
      <dgm:spPr/>
      <dgm:t>
        <a:bodyPr/>
        <a:lstStyle/>
        <a:p>
          <a:endParaRPr lang="en-GB"/>
        </a:p>
      </dgm:t>
    </dgm:pt>
    <dgm:pt modelId="{93E69B56-D87F-1F43-B5D8-DF7795A20A73}">
      <dgm:prSet custT="1"/>
      <dgm:spPr/>
      <dgm:t>
        <a:bodyPr/>
        <a:lstStyle/>
        <a:p>
          <a:r>
            <a:rPr lang="en-IN" sz="900" b="0" i="0">
              <a:latin typeface="Garamond" panose="02020404030301010803" pitchFamily="18" charset="0"/>
            </a:rPr>
            <a:t>Visibility and transparency</a:t>
          </a:r>
        </a:p>
        <a:p>
          <a:r>
            <a:rPr lang="en-IN" sz="900" b="0" i="1">
              <a:solidFill>
                <a:schemeClr val="tx1"/>
              </a:solidFill>
              <a:latin typeface="Garamond" panose="02020404030301010803" pitchFamily="18" charset="0"/>
            </a:rPr>
            <a:t>(All stakeholders including users need to be assured that the systems and technologies used are privacy-friendly))</a:t>
          </a:r>
          <a:endParaRPr lang="en-IN" sz="900">
            <a:latin typeface="Garamond" panose="02020404030301010803" pitchFamily="18" charset="0"/>
          </a:endParaRPr>
        </a:p>
      </dgm:t>
    </dgm:pt>
    <dgm:pt modelId="{526DB9ED-49F1-8B4A-86F4-0C2F7635D520}" type="parTrans" cxnId="{293E1ED0-66BF-4D40-81BF-10DCA1296AA1}">
      <dgm:prSet/>
      <dgm:spPr/>
      <dgm:t>
        <a:bodyPr/>
        <a:lstStyle/>
        <a:p>
          <a:endParaRPr lang="en-GB"/>
        </a:p>
      </dgm:t>
    </dgm:pt>
    <dgm:pt modelId="{8CE4F884-E3E0-7148-B67D-B2B8C4D8B8AF}" type="sibTrans" cxnId="{293E1ED0-66BF-4D40-81BF-10DCA1296AA1}">
      <dgm:prSet/>
      <dgm:spPr/>
      <dgm:t>
        <a:bodyPr/>
        <a:lstStyle/>
        <a:p>
          <a:endParaRPr lang="en-GB"/>
        </a:p>
      </dgm:t>
    </dgm:pt>
    <dgm:pt modelId="{96EC3DA2-BE55-7D4C-84E2-3985FCD4C321}">
      <dgm:prSet custT="1"/>
      <dgm:spPr/>
      <dgm:t>
        <a:bodyPr/>
        <a:lstStyle/>
        <a:p>
          <a:r>
            <a:rPr lang="en-IN" sz="900" b="0" i="0">
              <a:latin typeface="Garamond" panose="02020404030301010803" pitchFamily="18" charset="0"/>
            </a:rPr>
            <a:t>Respect for user privacy </a:t>
          </a:r>
        </a:p>
        <a:p>
          <a:r>
            <a:rPr lang="en-IN" sz="900" b="0" i="0">
              <a:solidFill>
                <a:schemeClr val="tx1"/>
              </a:solidFill>
              <a:latin typeface="Garamond" panose="02020404030301010803" pitchFamily="18" charset="0"/>
            </a:rPr>
            <a:t>(</a:t>
          </a:r>
          <a:r>
            <a:rPr lang="en-IN" sz="900" b="0" i="1">
              <a:solidFill>
                <a:schemeClr val="tx1"/>
              </a:solidFill>
              <a:latin typeface="Garamond" panose="02020404030301010803" pitchFamily="18" charset="0"/>
            </a:rPr>
            <a:t>Keep the the user privacy as a core interest and build privacy fridnly systems accordingly)</a:t>
          </a:r>
        </a:p>
      </dgm:t>
    </dgm:pt>
    <dgm:pt modelId="{62ADE628-7D69-9942-83A4-E810A4044DFC}" type="parTrans" cxnId="{AE49DB93-2A31-FB45-9E0A-D8E601D61057}">
      <dgm:prSet/>
      <dgm:spPr/>
      <dgm:t>
        <a:bodyPr/>
        <a:lstStyle/>
        <a:p>
          <a:endParaRPr lang="en-GB"/>
        </a:p>
      </dgm:t>
    </dgm:pt>
    <dgm:pt modelId="{E152B2C4-12BE-A746-A7D7-7191E9CDFB41}" type="sibTrans" cxnId="{AE49DB93-2A31-FB45-9E0A-D8E601D61057}">
      <dgm:prSet/>
      <dgm:spPr/>
      <dgm:t>
        <a:bodyPr/>
        <a:lstStyle/>
        <a:p>
          <a:endParaRPr lang="en-GB"/>
        </a:p>
      </dgm:t>
    </dgm:pt>
    <dgm:pt modelId="{B75D50FF-5E42-3D48-83CC-32945CDCCE14}">
      <dgm:prSet phldrT="[Text]" custT="1"/>
      <dgm:spPr/>
      <dgm:t>
        <a:bodyPr/>
        <a:lstStyle/>
        <a:p>
          <a:r>
            <a:rPr lang="en-IN" sz="900" b="0" i="0">
              <a:latin typeface="Garamond" panose="02020404030301010803" pitchFamily="18" charset="0"/>
            </a:rPr>
            <a:t>Proactive not reactive; preventative not remedial</a:t>
          </a:r>
        </a:p>
        <a:p>
          <a:r>
            <a:rPr lang="en-IN" sz="900" b="0" i="0">
              <a:solidFill>
                <a:schemeClr val="tx1"/>
              </a:solidFill>
              <a:latin typeface="Garamond" panose="02020404030301010803" pitchFamily="18" charset="0"/>
            </a:rPr>
            <a:t>(</a:t>
          </a:r>
          <a:r>
            <a:rPr lang="en-IN" sz="900" b="0" i="1">
              <a:solidFill>
                <a:schemeClr val="tx1"/>
              </a:solidFill>
              <a:latin typeface="Garamond" panose="02020404030301010803" pitchFamily="18" charset="0"/>
            </a:rPr>
            <a:t>Organizations should take a proactive rather than reactive approach</a:t>
          </a:r>
          <a:r>
            <a:rPr lang="en-IN" sz="900" b="0" i="0">
              <a:solidFill>
                <a:schemeClr val="tx1"/>
              </a:solidFill>
              <a:latin typeface="Garamond" panose="02020404030301010803" pitchFamily="18" charset="0"/>
            </a:rPr>
            <a:t>.)</a:t>
          </a:r>
          <a:endParaRPr lang="en-GB" sz="900">
            <a:solidFill>
              <a:schemeClr val="tx1"/>
            </a:solidFill>
            <a:latin typeface="Garamond" panose="02020404030301010803" pitchFamily="18" charset="0"/>
          </a:endParaRPr>
        </a:p>
      </dgm:t>
    </dgm:pt>
    <dgm:pt modelId="{1DD8264D-DFC7-D143-89FA-7417E3FBE851}" type="sibTrans" cxnId="{D7C6B894-9E32-6E4B-8686-41E1B2C09005}">
      <dgm:prSet/>
      <dgm:spPr/>
      <dgm:t>
        <a:bodyPr/>
        <a:lstStyle/>
        <a:p>
          <a:endParaRPr lang="en-GB"/>
        </a:p>
      </dgm:t>
    </dgm:pt>
    <dgm:pt modelId="{D572BE6D-F330-5D4E-B623-BD7A011DEFC1}" type="parTrans" cxnId="{D7C6B894-9E32-6E4B-8686-41E1B2C09005}">
      <dgm:prSet/>
      <dgm:spPr/>
      <dgm:t>
        <a:bodyPr/>
        <a:lstStyle/>
        <a:p>
          <a:endParaRPr lang="en-GB"/>
        </a:p>
      </dgm:t>
    </dgm:pt>
    <dgm:pt modelId="{BE0B47F9-9146-D94F-902C-0DEF70C89A32}" type="pres">
      <dgm:prSet presAssocID="{F81E41B8-7213-5D42-AFD6-07B17D561E7A}" presName="Name0" presStyleCnt="0">
        <dgm:presLayoutVars>
          <dgm:dir/>
          <dgm:animLvl val="lvl"/>
          <dgm:resizeHandles val="exact"/>
        </dgm:presLayoutVars>
      </dgm:prSet>
      <dgm:spPr/>
    </dgm:pt>
    <dgm:pt modelId="{8A15F08C-2A0A-ED47-8EF3-8ECA664754E6}" type="pres">
      <dgm:prSet presAssocID="{96EC3DA2-BE55-7D4C-84E2-3985FCD4C321}" presName="boxAndChildren" presStyleCnt="0"/>
      <dgm:spPr/>
    </dgm:pt>
    <dgm:pt modelId="{A906C594-6617-3F4D-A338-9CC0EEC75175}" type="pres">
      <dgm:prSet presAssocID="{96EC3DA2-BE55-7D4C-84E2-3985FCD4C321}" presName="parentTextBox" presStyleLbl="node1" presStyleIdx="0" presStyleCnt="7"/>
      <dgm:spPr/>
    </dgm:pt>
    <dgm:pt modelId="{B53CE1E0-86AC-8D47-B94E-F8502555D48F}" type="pres">
      <dgm:prSet presAssocID="{62CBC0D3-7DF8-2944-8ABA-22D5C29C4368}" presName="sp" presStyleCnt="0"/>
      <dgm:spPr/>
    </dgm:pt>
    <dgm:pt modelId="{D77B8B1D-C29D-374A-8378-69363BF806D9}" type="pres">
      <dgm:prSet presAssocID="{39C6ADBF-77B8-0B4D-9EF5-49B4AF33B2AA}" presName="arrowAndChildren" presStyleCnt="0"/>
      <dgm:spPr/>
    </dgm:pt>
    <dgm:pt modelId="{C608712E-D13B-8B48-BFCC-EB7BC0467C5E}" type="pres">
      <dgm:prSet presAssocID="{39C6ADBF-77B8-0B4D-9EF5-49B4AF33B2AA}" presName="parentTextArrow" presStyleLbl="node1" presStyleIdx="1" presStyleCnt="7"/>
      <dgm:spPr/>
    </dgm:pt>
    <dgm:pt modelId="{E2A31B04-49AF-7A40-95B5-D8D2C13FBC72}" type="pres">
      <dgm:prSet presAssocID="{3D18500A-05DC-CA41-A873-D9665F947F94}" presName="sp" presStyleCnt="0"/>
      <dgm:spPr/>
    </dgm:pt>
    <dgm:pt modelId="{022BD3A0-09F6-4648-9F28-54ED9C8E62B3}" type="pres">
      <dgm:prSet presAssocID="{DE2608BE-5F58-C143-84BE-32C014B28078}" presName="arrowAndChildren" presStyleCnt="0"/>
      <dgm:spPr/>
    </dgm:pt>
    <dgm:pt modelId="{8DCDD6CB-CE77-2B4A-BFF2-A1E85B235260}" type="pres">
      <dgm:prSet presAssocID="{DE2608BE-5F58-C143-84BE-32C014B28078}" presName="parentTextArrow" presStyleLbl="node1" presStyleIdx="2" presStyleCnt="7"/>
      <dgm:spPr/>
    </dgm:pt>
    <dgm:pt modelId="{D4EA2EA1-EC6A-624A-B86B-312867AD7A25}" type="pres">
      <dgm:prSet presAssocID="{8CE4F884-E3E0-7148-B67D-B2B8C4D8B8AF}" presName="sp" presStyleCnt="0"/>
      <dgm:spPr/>
    </dgm:pt>
    <dgm:pt modelId="{3377383A-08C8-8E44-AE6C-AE3D9D6B31E0}" type="pres">
      <dgm:prSet presAssocID="{93E69B56-D87F-1F43-B5D8-DF7795A20A73}" presName="arrowAndChildren" presStyleCnt="0"/>
      <dgm:spPr/>
    </dgm:pt>
    <dgm:pt modelId="{2C117E91-B3F6-6F46-AEEA-27B91075AAEA}" type="pres">
      <dgm:prSet presAssocID="{93E69B56-D87F-1F43-B5D8-DF7795A20A73}" presName="parentTextArrow" presStyleLbl="node1" presStyleIdx="3" presStyleCnt="7"/>
      <dgm:spPr/>
    </dgm:pt>
    <dgm:pt modelId="{C2EECE63-7979-AC4F-87F1-0EBD955CEE8A}" type="pres">
      <dgm:prSet presAssocID="{6BE6CB8B-5417-114D-BB70-40AA66B02A25}" presName="sp" presStyleCnt="0"/>
      <dgm:spPr/>
    </dgm:pt>
    <dgm:pt modelId="{D456E5B1-C2D2-2F4B-AB13-7F0A5622E748}" type="pres">
      <dgm:prSet presAssocID="{6A78F302-B660-E946-9C23-AE2D44317BB7}" presName="arrowAndChildren" presStyleCnt="0"/>
      <dgm:spPr/>
    </dgm:pt>
    <dgm:pt modelId="{1B726A59-4D7A-5B44-A2B0-C1CE76824484}" type="pres">
      <dgm:prSet presAssocID="{6A78F302-B660-E946-9C23-AE2D44317BB7}" presName="parentTextArrow" presStyleLbl="node1" presStyleIdx="4" presStyleCnt="7"/>
      <dgm:spPr/>
    </dgm:pt>
    <dgm:pt modelId="{A6C851B9-CB53-974F-A225-22FF333C9125}" type="pres">
      <dgm:prSet presAssocID="{639C4F2B-5234-C943-8109-EC38EB33D97F}" presName="sp" presStyleCnt="0"/>
      <dgm:spPr/>
    </dgm:pt>
    <dgm:pt modelId="{C9E63164-42D5-5E47-AC24-95F060A1CC49}" type="pres">
      <dgm:prSet presAssocID="{B6B63496-8023-1143-B5DF-580527CF3EA7}" presName="arrowAndChildren" presStyleCnt="0"/>
      <dgm:spPr/>
    </dgm:pt>
    <dgm:pt modelId="{765A256C-EE55-E549-80E7-008474B45655}" type="pres">
      <dgm:prSet presAssocID="{B6B63496-8023-1143-B5DF-580527CF3EA7}" presName="parentTextArrow" presStyleLbl="node1" presStyleIdx="5" presStyleCnt="7"/>
      <dgm:spPr/>
    </dgm:pt>
    <dgm:pt modelId="{4BE4E2C5-C08A-6C43-BF9A-4C28B5EB104A}" type="pres">
      <dgm:prSet presAssocID="{1DD8264D-DFC7-D143-89FA-7417E3FBE851}" presName="sp" presStyleCnt="0"/>
      <dgm:spPr/>
    </dgm:pt>
    <dgm:pt modelId="{0BC7AEC1-E483-CE4D-992F-6E24DC0505B9}" type="pres">
      <dgm:prSet presAssocID="{B75D50FF-5E42-3D48-83CC-32945CDCCE14}" presName="arrowAndChildren" presStyleCnt="0"/>
      <dgm:spPr/>
    </dgm:pt>
    <dgm:pt modelId="{B5C89614-9CB2-BF45-80C3-3F253F9689E7}" type="pres">
      <dgm:prSet presAssocID="{B75D50FF-5E42-3D48-83CC-32945CDCCE14}" presName="parentTextArrow" presStyleLbl="node1" presStyleIdx="6" presStyleCnt="7"/>
      <dgm:spPr/>
    </dgm:pt>
  </dgm:ptLst>
  <dgm:cxnLst>
    <dgm:cxn modelId="{BFB1BA01-11C2-0143-AE9A-1234066F96BA}" type="presOf" srcId="{93E69B56-D87F-1F43-B5D8-DF7795A20A73}" destId="{2C117E91-B3F6-6F46-AEEA-27B91075AAEA}" srcOrd="0" destOrd="0" presId="urn:microsoft.com/office/officeart/2005/8/layout/process4"/>
    <dgm:cxn modelId="{0E29F80B-8F8F-BF4E-BE08-4D31AF93F246}" srcId="{F81E41B8-7213-5D42-AFD6-07B17D561E7A}" destId="{6A78F302-B660-E946-9C23-AE2D44317BB7}" srcOrd="2" destOrd="0" parTransId="{E55ACDED-5AC7-174B-9C2F-FECFFF3B1766}" sibTransId="{6BE6CB8B-5417-114D-BB70-40AA66B02A25}"/>
    <dgm:cxn modelId="{89D2770C-BB99-D447-80FD-4E320DC9AA12}" type="presOf" srcId="{B6B63496-8023-1143-B5DF-580527CF3EA7}" destId="{765A256C-EE55-E549-80E7-008474B45655}" srcOrd="0" destOrd="0" presId="urn:microsoft.com/office/officeart/2005/8/layout/process4"/>
    <dgm:cxn modelId="{F86A1C7E-9BA7-E945-8057-5E00F50E8503}" type="presOf" srcId="{6A78F302-B660-E946-9C23-AE2D44317BB7}" destId="{1B726A59-4D7A-5B44-A2B0-C1CE76824484}" srcOrd="0" destOrd="0" presId="urn:microsoft.com/office/officeart/2005/8/layout/process4"/>
    <dgm:cxn modelId="{A72A1789-B31C-264A-A4FB-7DE77D49FB96}" type="presOf" srcId="{39C6ADBF-77B8-0B4D-9EF5-49B4AF33B2AA}" destId="{C608712E-D13B-8B48-BFCC-EB7BC0467C5E}" srcOrd="0" destOrd="0" presId="urn:microsoft.com/office/officeart/2005/8/layout/process4"/>
    <dgm:cxn modelId="{AE49DB93-2A31-FB45-9E0A-D8E601D61057}" srcId="{F81E41B8-7213-5D42-AFD6-07B17D561E7A}" destId="{96EC3DA2-BE55-7D4C-84E2-3985FCD4C321}" srcOrd="6" destOrd="0" parTransId="{62ADE628-7D69-9942-83A4-E810A4044DFC}" sibTransId="{E152B2C4-12BE-A746-A7D7-7191E9CDFB41}"/>
    <dgm:cxn modelId="{D7C6B894-9E32-6E4B-8686-41E1B2C09005}" srcId="{F81E41B8-7213-5D42-AFD6-07B17D561E7A}" destId="{B75D50FF-5E42-3D48-83CC-32945CDCCE14}" srcOrd="0" destOrd="0" parTransId="{D572BE6D-F330-5D4E-B623-BD7A011DEFC1}" sibTransId="{1DD8264D-DFC7-D143-89FA-7417E3FBE851}"/>
    <dgm:cxn modelId="{C6560BAB-35F3-364C-8516-6A2D2A27B061}" type="presOf" srcId="{F81E41B8-7213-5D42-AFD6-07B17D561E7A}" destId="{BE0B47F9-9146-D94F-902C-0DEF70C89A32}" srcOrd="0" destOrd="0" presId="urn:microsoft.com/office/officeart/2005/8/layout/process4"/>
    <dgm:cxn modelId="{16DB59AF-9407-534E-9D92-C5DE9579D6C3}" type="presOf" srcId="{DE2608BE-5F58-C143-84BE-32C014B28078}" destId="{8DCDD6CB-CE77-2B4A-BFF2-A1E85B235260}" srcOrd="0" destOrd="0" presId="urn:microsoft.com/office/officeart/2005/8/layout/process4"/>
    <dgm:cxn modelId="{50066BB1-705F-D14B-AB8F-D9685595D8CC}" srcId="{F81E41B8-7213-5D42-AFD6-07B17D561E7A}" destId="{DE2608BE-5F58-C143-84BE-32C014B28078}" srcOrd="4" destOrd="0" parTransId="{493066F5-89F3-484D-804F-BA7E9021CEA8}" sibTransId="{3D18500A-05DC-CA41-A873-D9665F947F94}"/>
    <dgm:cxn modelId="{6383A8BC-81C1-0046-8ADA-E3CEFAE29B6D}" type="presOf" srcId="{B75D50FF-5E42-3D48-83CC-32945CDCCE14}" destId="{B5C89614-9CB2-BF45-80C3-3F253F9689E7}" srcOrd="0" destOrd="0" presId="urn:microsoft.com/office/officeart/2005/8/layout/process4"/>
    <dgm:cxn modelId="{8F887EC4-C290-4546-99F7-157C3750F81F}" type="presOf" srcId="{96EC3DA2-BE55-7D4C-84E2-3985FCD4C321}" destId="{A906C594-6617-3F4D-A338-9CC0EEC75175}" srcOrd="0" destOrd="0" presId="urn:microsoft.com/office/officeart/2005/8/layout/process4"/>
    <dgm:cxn modelId="{A24F63CC-BCD7-F341-B94A-F73DD9FE3DB4}" srcId="{F81E41B8-7213-5D42-AFD6-07B17D561E7A}" destId="{B6B63496-8023-1143-B5DF-580527CF3EA7}" srcOrd="1" destOrd="0" parTransId="{6CE54418-80FF-9349-9F90-55564DF4979E}" sibTransId="{639C4F2B-5234-C943-8109-EC38EB33D97F}"/>
    <dgm:cxn modelId="{293E1ED0-66BF-4D40-81BF-10DCA1296AA1}" srcId="{F81E41B8-7213-5D42-AFD6-07B17D561E7A}" destId="{93E69B56-D87F-1F43-B5D8-DF7795A20A73}" srcOrd="3" destOrd="0" parTransId="{526DB9ED-49F1-8B4A-86F4-0C2F7635D520}" sibTransId="{8CE4F884-E3E0-7148-B67D-B2B8C4D8B8AF}"/>
    <dgm:cxn modelId="{DC7F7EEA-813A-AE42-90BE-A9699757D1D7}" srcId="{F81E41B8-7213-5D42-AFD6-07B17D561E7A}" destId="{39C6ADBF-77B8-0B4D-9EF5-49B4AF33B2AA}" srcOrd="5" destOrd="0" parTransId="{7BF797AC-CDC1-1B4A-9275-7B489FEE77D8}" sibTransId="{62CBC0D3-7DF8-2944-8ABA-22D5C29C4368}"/>
    <dgm:cxn modelId="{C08B3500-3F14-F04E-8BD7-541CA4C3A67E}" type="presParOf" srcId="{BE0B47F9-9146-D94F-902C-0DEF70C89A32}" destId="{8A15F08C-2A0A-ED47-8EF3-8ECA664754E6}" srcOrd="0" destOrd="0" presId="urn:microsoft.com/office/officeart/2005/8/layout/process4"/>
    <dgm:cxn modelId="{DAF34488-3BCC-E74A-8D26-C75491491B0A}" type="presParOf" srcId="{8A15F08C-2A0A-ED47-8EF3-8ECA664754E6}" destId="{A906C594-6617-3F4D-A338-9CC0EEC75175}" srcOrd="0" destOrd="0" presId="urn:microsoft.com/office/officeart/2005/8/layout/process4"/>
    <dgm:cxn modelId="{3D3BC691-715B-2A4A-9C0D-19CBBC820411}" type="presParOf" srcId="{BE0B47F9-9146-D94F-902C-0DEF70C89A32}" destId="{B53CE1E0-86AC-8D47-B94E-F8502555D48F}" srcOrd="1" destOrd="0" presId="urn:microsoft.com/office/officeart/2005/8/layout/process4"/>
    <dgm:cxn modelId="{9F720060-F9ED-314C-8CB5-633A9D456651}" type="presParOf" srcId="{BE0B47F9-9146-D94F-902C-0DEF70C89A32}" destId="{D77B8B1D-C29D-374A-8378-69363BF806D9}" srcOrd="2" destOrd="0" presId="urn:microsoft.com/office/officeart/2005/8/layout/process4"/>
    <dgm:cxn modelId="{C9542829-D3CE-BE48-B202-AF8B2D5F1D5A}" type="presParOf" srcId="{D77B8B1D-C29D-374A-8378-69363BF806D9}" destId="{C608712E-D13B-8B48-BFCC-EB7BC0467C5E}" srcOrd="0" destOrd="0" presId="urn:microsoft.com/office/officeart/2005/8/layout/process4"/>
    <dgm:cxn modelId="{2E4D88D3-2ACA-874E-BB74-A9B9DD8F54FC}" type="presParOf" srcId="{BE0B47F9-9146-D94F-902C-0DEF70C89A32}" destId="{E2A31B04-49AF-7A40-95B5-D8D2C13FBC72}" srcOrd="3" destOrd="0" presId="urn:microsoft.com/office/officeart/2005/8/layout/process4"/>
    <dgm:cxn modelId="{00528173-6FF4-D34D-AE2A-BA159B2FC538}" type="presParOf" srcId="{BE0B47F9-9146-D94F-902C-0DEF70C89A32}" destId="{022BD3A0-09F6-4648-9F28-54ED9C8E62B3}" srcOrd="4" destOrd="0" presId="urn:microsoft.com/office/officeart/2005/8/layout/process4"/>
    <dgm:cxn modelId="{943B6D51-3C08-964B-80D2-31CD2B32C339}" type="presParOf" srcId="{022BD3A0-09F6-4648-9F28-54ED9C8E62B3}" destId="{8DCDD6CB-CE77-2B4A-BFF2-A1E85B235260}" srcOrd="0" destOrd="0" presId="urn:microsoft.com/office/officeart/2005/8/layout/process4"/>
    <dgm:cxn modelId="{74BE1ACA-B3A5-5945-B27F-47843F7E743C}" type="presParOf" srcId="{BE0B47F9-9146-D94F-902C-0DEF70C89A32}" destId="{D4EA2EA1-EC6A-624A-B86B-312867AD7A25}" srcOrd="5" destOrd="0" presId="urn:microsoft.com/office/officeart/2005/8/layout/process4"/>
    <dgm:cxn modelId="{D0B1F2DE-B3C3-0847-867E-3A5E1384C89F}" type="presParOf" srcId="{BE0B47F9-9146-D94F-902C-0DEF70C89A32}" destId="{3377383A-08C8-8E44-AE6C-AE3D9D6B31E0}" srcOrd="6" destOrd="0" presId="urn:microsoft.com/office/officeart/2005/8/layout/process4"/>
    <dgm:cxn modelId="{778A0AD8-A45B-3148-BBC3-D85298141DE5}" type="presParOf" srcId="{3377383A-08C8-8E44-AE6C-AE3D9D6B31E0}" destId="{2C117E91-B3F6-6F46-AEEA-27B91075AAEA}" srcOrd="0" destOrd="0" presId="urn:microsoft.com/office/officeart/2005/8/layout/process4"/>
    <dgm:cxn modelId="{F7CE131D-E6CF-9742-AFB0-13F1082F4528}" type="presParOf" srcId="{BE0B47F9-9146-D94F-902C-0DEF70C89A32}" destId="{C2EECE63-7979-AC4F-87F1-0EBD955CEE8A}" srcOrd="7" destOrd="0" presId="urn:microsoft.com/office/officeart/2005/8/layout/process4"/>
    <dgm:cxn modelId="{788DA67F-E665-3346-A3C1-2B1068B28F27}" type="presParOf" srcId="{BE0B47F9-9146-D94F-902C-0DEF70C89A32}" destId="{D456E5B1-C2D2-2F4B-AB13-7F0A5622E748}" srcOrd="8" destOrd="0" presId="urn:microsoft.com/office/officeart/2005/8/layout/process4"/>
    <dgm:cxn modelId="{5FC75F42-C17B-9B4A-8C2B-D8F69D8CC5B3}" type="presParOf" srcId="{D456E5B1-C2D2-2F4B-AB13-7F0A5622E748}" destId="{1B726A59-4D7A-5B44-A2B0-C1CE76824484}" srcOrd="0" destOrd="0" presId="urn:microsoft.com/office/officeart/2005/8/layout/process4"/>
    <dgm:cxn modelId="{9ACDEE8B-2580-6C45-A68A-C2213828C225}" type="presParOf" srcId="{BE0B47F9-9146-D94F-902C-0DEF70C89A32}" destId="{A6C851B9-CB53-974F-A225-22FF333C9125}" srcOrd="9" destOrd="0" presId="urn:microsoft.com/office/officeart/2005/8/layout/process4"/>
    <dgm:cxn modelId="{3D8E719F-200F-4642-932C-91DD7E455E90}" type="presParOf" srcId="{BE0B47F9-9146-D94F-902C-0DEF70C89A32}" destId="{C9E63164-42D5-5E47-AC24-95F060A1CC49}" srcOrd="10" destOrd="0" presId="urn:microsoft.com/office/officeart/2005/8/layout/process4"/>
    <dgm:cxn modelId="{E13DB78F-C0DC-0540-949A-4556ECF38453}" type="presParOf" srcId="{C9E63164-42D5-5E47-AC24-95F060A1CC49}" destId="{765A256C-EE55-E549-80E7-008474B45655}" srcOrd="0" destOrd="0" presId="urn:microsoft.com/office/officeart/2005/8/layout/process4"/>
    <dgm:cxn modelId="{666A7EB3-EBCC-7642-B779-35DCC9FFFADF}" type="presParOf" srcId="{BE0B47F9-9146-D94F-902C-0DEF70C89A32}" destId="{4BE4E2C5-C08A-6C43-BF9A-4C28B5EB104A}" srcOrd="11" destOrd="0" presId="urn:microsoft.com/office/officeart/2005/8/layout/process4"/>
    <dgm:cxn modelId="{317B6C52-EC56-6A46-A802-F72B6F4C3A57}" type="presParOf" srcId="{BE0B47F9-9146-D94F-902C-0DEF70C89A32}" destId="{0BC7AEC1-E483-CE4D-992F-6E24DC0505B9}" srcOrd="12" destOrd="0" presId="urn:microsoft.com/office/officeart/2005/8/layout/process4"/>
    <dgm:cxn modelId="{33B06598-1BA4-E944-81D3-BB41DFA18E73}" type="presParOf" srcId="{0BC7AEC1-E483-CE4D-992F-6E24DC0505B9}" destId="{B5C89614-9CB2-BF45-80C3-3F253F9689E7}"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7F062-BB84-E844-B334-1238ED3230A1}">
      <dsp:nvSpPr>
        <dsp:cNvPr id="0" name=""/>
        <dsp:cNvSpPr/>
      </dsp:nvSpPr>
      <dsp:spPr>
        <a:xfrm>
          <a:off x="0" y="0"/>
          <a:ext cx="3200400" cy="3200400"/>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C04FD4-8DFA-8C40-97E5-0576D67BDB59}">
      <dsp:nvSpPr>
        <dsp:cNvPr id="0" name=""/>
        <dsp:cNvSpPr/>
      </dsp:nvSpPr>
      <dsp:spPr>
        <a:xfrm>
          <a:off x="1600200" y="0"/>
          <a:ext cx="3886200" cy="3200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u="sng" kern="1200"/>
            <a:t>Key Findings by IBM Security</a:t>
          </a:r>
        </a:p>
      </dsp:txBody>
      <dsp:txXfrm>
        <a:off x="1600200" y="0"/>
        <a:ext cx="1943100" cy="3200400"/>
      </dsp:txXfrm>
    </dsp:sp>
    <dsp:sp modelId="{0CC5C743-AF02-8342-B2E2-9C8FF71E5A61}">
      <dsp:nvSpPr>
        <dsp:cNvPr id="0" name=""/>
        <dsp:cNvSpPr/>
      </dsp:nvSpPr>
      <dsp:spPr>
        <a:xfrm>
          <a:off x="3543300" y="0"/>
          <a:ext cx="1943100" cy="32004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228600" lvl="1" indent="-228600" algn="l" defTabSz="1066800">
            <a:lnSpc>
              <a:spcPct val="90000"/>
            </a:lnSpc>
            <a:spcBef>
              <a:spcPct val="0"/>
            </a:spcBef>
            <a:spcAft>
              <a:spcPct val="15000"/>
            </a:spcAft>
            <a:buChar char="•"/>
          </a:pPr>
          <a:r>
            <a:rPr lang="en-GB" sz="2400" kern="1200">
              <a:solidFill>
                <a:srgbClr val="0070C0"/>
              </a:solidFill>
              <a:latin typeface="Times New Roman" panose="02020603050405020304" pitchFamily="18" charset="0"/>
              <a:cs typeface="Times New Roman" panose="02020603050405020304" pitchFamily="18" charset="0"/>
            </a:rPr>
            <a:t>10%	    </a:t>
          </a:r>
          <a:r>
            <a:rPr lang="en-GB" sz="1000" b="0" kern="1200">
              <a:latin typeface="Times New Roman" panose="02020603050405020304" pitchFamily="18" charset="0"/>
              <a:cs typeface="Times New Roman" panose="02020603050405020304" pitchFamily="18" charset="0"/>
            </a:rPr>
            <a:t>Increase in average total cost of a breach, 2020-2021 </a:t>
          </a:r>
        </a:p>
        <a:p>
          <a:pPr marL="57150" lvl="1" indent="-57150" algn="l" defTabSz="444500">
            <a:lnSpc>
              <a:spcPct val="90000"/>
            </a:lnSpc>
            <a:spcBef>
              <a:spcPct val="0"/>
            </a:spcBef>
            <a:spcAft>
              <a:spcPct val="15000"/>
            </a:spcAft>
            <a:buChar char="•"/>
          </a:pPr>
          <a:endParaRPr lang="en-GB" sz="1000" b="0" kern="1200">
            <a:latin typeface="Times New Roman" panose="02020603050405020304" pitchFamily="18" charset="0"/>
            <a:cs typeface="Times New Roman" panose="02020603050405020304" pitchFamily="18" charset="0"/>
          </a:endParaRPr>
        </a:p>
        <a:p>
          <a:pPr marL="228600" lvl="1" indent="-228600" algn="l" defTabSz="1066800">
            <a:lnSpc>
              <a:spcPct val="90000"/>
            </a:lnSpc>
            <a:spcBef>
              <a:spcPct val="0"/>
            </a:spcBef>
            <a:spcAft>
              <a:spcPct val="15000"/>
            </a:spcAft>
            <a:buChar char="•"/>
          </a:pPr>
          <a:r>
            <a:rPr lang="en-GB" sz="2400" kern="1200">
              <a:solidFill>
                <a:srgbClr val="0070C0"/>
              </a:solidFill>
              <a:latin typeface="Times New Roman" panose="02020603050405020304" pitchFamily="18" charset="0"/>
              <a:cs typeface="Times New Roman" panose="02020603050405020304" pitchFamily="18" charset="0"/>
            </a:rPr>
            <a:t>$1.07m </a:t>
          </a:r>
          <a:r>
            <a:rPr lang="en-GB" sz="1000" kern="1200">
              <a:latin typeface="Times New Roman" panose="02020603050405020304" pitchFamily="18" charset="0"/>
              <a:cs typeface="Times New Roman" panose="02020603050405020304" pitchFamily="18" charset="0"/>
            </a:rPr>
            <a:t>Cost difference where remote work was a factor  in causing the breach </a:t>
          </a:r>
        </a:p>
        <a:p>
          <a:pPr marL="57150" lvl="1" indent="-57150" algn="l" defTabSz="444500">
            <a:lnSpc>
              <a:spcPct val="90000"/>
            </a:lnSpc>
            <a:spcBef>
              <a:spcPct val="0"/>
            </a:spcBef>
            <a:spcAft>
              <a:spcPct val="15000"/>
            </a:spcAft>
            <a:buChar char="•"/>
          </a:pPr>
          <a:endParaRPr lang="en-GB" sz="1000" kern="1200">
            <a:latin typeface="Times New Roman" panose="02020603050405020304" pitchFamily="18" charset="0"/>
            <a:cs typeface="Times New Roman" panose="02020603050405020304" pitchFamily="18" charset="0"/>
          </a:endParaRPr>
        </a:p>
        <a:p>
          <a:pPr marL="228600" lvl="1" indent="-228600" algn="l" defTabSz="1066800">
            <a:lnSpc>
              <a:spcPct val="90000"/>
            </a:lnSpc>
            <a:spcBef>
              <a:spcPct val="0"/>
            </a:spcBef>
            <a:spcAft>
              <a:spcPct val="15000"/>
            </a:spcAft>
            <a:buChar char="•"/>
          </a:pPr>
          <a:r>
            <a:rPr lang="en-GB" sz="2400" kern="1200">
              <a:solidFill>
                <a:srgbClr val="0070C0"/>
              </a:solidFill>
              <a:latin typeface="Times New Roman" panose="02020603050405020304" pitchFamily="18" charset="0"/>
              <a:cs typeface="Times New Roman" panose="02020603050405020304" pitchFamily="18" charset="0"/>
            </a:rPr>
            <a:t>11                    </a:t>
          </a:r>
          <a:r>
            <a:rPr lang="en-GB" sz="1000" kern="1200">
              <a:latin typeface="Times New Roman" panose="02020603050405020304" pitchFamily="18" charset="0"/>
              <a:cs typeface="Times New Roman" panose="02020603050405020304" pitchFamily="18" charset="0"/>
            </a:rPr>
            <a:t>Consecutive years healthcare had the highest industry cost of a breach </a:t>
          </a:r>
        </a:p>
        <a:p>
          <a:pPr marL="228600" lvl="1" indent="-228600" algn="l" defTabSz="1066800">
            <a:lnSpc>
              <a:spcPct val="90000"/>
            </a:lnSpc>
            <a:spcBef>
              <a:spcPct val="0"/>
            </a:spcBef>
            <a:spcAft>
              <a:spcPct val="15000"/>
            </a:spcAft>
            <a:buChar char="•"/>
          </a:pPr>
          <a:endParaRPr lang="en-GB" sz="2400" kern="1200"/>
        </a:p>
      </dsp:txBody>
      <dsp:txXfrm>
        <a:off x="3543300" y="0"/>
        <a:ext cx="1943100" cy="3200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06C594-6617-3F4D-A338-9CC0EEC75175}">
      <dsp:nvSpPr>
        <dsp:cNvPr id="0" name=""/>
        <dsp:cNvSpPr/>
      </dsp:nvSpPr>
      <dsp:spPr>
        <a:xfrm>
          <a:off x="0" y="3272004"/>
          <a:ext cx="6199505" cy="3580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Respect for user privacy </a:t>
          </a:r>
        </a:p>
        <a:p>
          <a:pPr marL="0" lvl="0" indent="0" algn="ctr" defTabSz="400050">
            <a:lnSpc>
              <a:spcPct val="90000"/>
            </a:lnSpc>
            <a:spcBef>
              <a:spcPct val="0"/>
            </a:spcBef>
            <a:spcAft>
              <a:spcPct val="35000"/>
            </a:spcAft>
            <a:buNone/>
          </a:pPr>
          <a:r>
            <a:rPr lang="en-IN" sz="900" b="0" i="0" kern="1200">
              <a:solidFill>
                <a:schemeClr val="tx1"/>
              </a:solidFill>
              <a:latin typeface="Garamond" panose="02020404030301010803" pitchFamily="18" charset="0"/>
            </a:rPr>
            <a:t>(</a:t>
          </a:r>
          <a:r>
            <a:rPr lang="en-IN" sz="900" b="0" i="1" kern="1200">
              <a:solidFill>
                <a:schemeClr val="tx1"/>
              </a:solidFill>
              <a:latin typeface="Garamond" panose="02020404030301010803" pitchFamily="18" charset="0"/>
            </a:rPr>
            <a:t>Keep the the user privacy as a core interest and build privacy fridnly systems accordingly)</a:t>
          </a:r>
        </a:p>
      </dsp:txBody>
      <dsp:txXfrm>
        <a:off x="0" y="3272004"/>
        <a:ext cx="6199505" cy="358053"/>
      </dsp:txXfrm>
    </dsp:sp>
    <dsp:sp modelId="{C608712E-D13B-8B48-BFCC-EB7BC0467C5E}">
      <dsp:nvSpPr>
        <dsp:cNvPr id="0" name=""/>
        <dsp:cNvSpPr/>
      </dsp:nvSpPr>
      <dsp:spPr>
        <a:xfrm rot="10800000">
          <a:off x="0" y="2726688"/>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Privacy embedded into design</a:t>
          </a:r>
          <a:endParaRPr lang="en-IN" sz="900" b="0" i="1" kern="1200">
            <a:solidFill>
              <a:schemeClr val="tx1"/>
            </a:solidFill>
            <a:latin typeface="Garamond" panose="02020404030301010803" pitchFamily="18" charset="0"/>
          </a:endParaRPr>
        </a:p>
        <a:p>
          <a:pPr marL="0" lvl="0" indent="0" algn="ctr" defTabSz="400050">
            <a:lnSpc>
              <a:spcPct val="90000"/>
            </a:lnSpc>
            <a:spcBef>
              <a:spcPct val="0"/>
            </a:spcBef>
            <a:spcAft>
              <a:spcPct val="35000"/>
            </a:spcAft>
            <a:buNone/>
          </a:pPr>
          <a:r>
            <a:rPr lang="en-IN" sz="900" b="0" i="1" u="none" kern="1200">
              <a:solidFill>
                <a:schemeClr val="tx1"/>
              </a:solidFill>
              <a:latin typeface="Garamond" panose="02020404030301010803" pitchFamily="18" charset="0"/>
            </a:rPr>
            <a:t>(Embed privacy in the very intial stages of the product  develpoment and lifecyle)</a:t>
          </a:r>
          <a:endParaRPr lang="en-IN" sz="900" i="1" kern="1200">
            <a:solidFill>
              <a:schemeClr val="tx1"/>
            </a:solidFill>
            <a:latin typeface="Garamond" panose="02020404030301010803" pitchFamily="18" charset="0"/>
          </a:endParaRPr>
        </a:p>
      </dsp:txBody>
      <dsp:txXfrm rot="10800000">
        <a:off x="0" y="2726688"/>
        <a:ext cx="6199505" cy="357819"/>
      </dsp:txXfrm>
    </dsp:sp>
    <dsp:sp modelId="{8DCDD6CB-CE77-2B4A-BFF2-A1E85B235260}">
      <dsp:nvSpPr>
        <dsp:cNvPr id="0" name=""/>
        <dsp:cNvSpPr/>
      </dsp:nvSpPr>
      <dsp:spPr>
        <a:xfrm rot="10800000">
          <a:off x="0" y="2181372"/>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Full functionality – positive-sum, not zero-sum</a:t>
          </a:r>
        </a:p>
        <a:p>
          <a:pPr marL="0" lvl="0" indent="0" algn="ctr" defTabSz="400050">
            <a:lnSpc>
              <a:spcPct val="90000"/>
            </a:lnSpc>
            <a:spcBef>
              <a:spcPct val="0"/>
            </a:spcBef>
            <a:spcAft>
              <a:spcPct val="35000"/>
            </a:spcAft>
            <a:buNone/>
          </a:pPr>
          <a:r>
            <a:rPr lang="en-IN" sz="900" b="0" i="1" u="none" kern="1200">
              <a:solidFill>
                <a:schemeClr val="tx1"/>
              </a:solidFill>
              <a:latin typeface="Garamond" panose="02020404030301010803" pitchFamily="18" charset="0"/>
            </a:rPr>
            <a:t>(Companies should dispel the myth that privacy and functionality can't coexist, proving they can have both)</a:t>
          </a:r>
          <a:endParaRPr lang="en-IN" sz="900" kern="1200">
            <a:latin typeface="Garamond" panose="02020404030301010803" pitchFamily="18" charset="0"/>
          </a:endParaRPr>
        </a:p>
      </dsp:txBody>
      <dsp:txXfrm rot="10800000">
        <a:off x="0" y="2181372"/>
        <a:ext cx="6199505" cy="357819"/>
      </dsp:txXfrm>
    </dsp:sp>
    <dsp:sp modelId="{2C117E91-B3F6-6F46-AEEA-27B91075AAEA}">
      <dsp:nvSpPr>
        <dsp:cNvPr id="0" name=""/>
        <dsp:cNvSpPr/>
      </dsp:nvSpPr>
      <dsp:spPr>
        <a:xfrm rot="10800000">
          <a:off x="0" y="1636057"/>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Visibility and transparency</a:t>
          </a:r>
        </a:p>
        <a:p>
          <a:pPr marL="0" lvl="0" indent="0" algn="ctr" defTabSz="400050">
            <a:lnSpc>
              <a:spcPct val="90000"/>
            </a:lnSpc>
            <a:spcBef>
              <a:spcPct val="0"/>
            </a:spcBef>
            <a:spcAft>
              <a:spcPct val="35000"/>
            </a:spcAft>
            <a:buNone/>
          </a:pPr>
          <a:r>
            <a:rPr lang="en-IN" sz="900" b="0" i="1" kern="1200">
              <a:solidFill>
                <a:schemeClr val="tx1"/>
              </a:solidFill>
              <a:latin typeface="Garamond" panose="02020404030301010803" pitchFamily="18" charset="0"/>
            </a:rPr>
            <a:t>(All stakeholders including users need to be assured that the systems and technologies used are privacy-friendly))</a:t>
          </a:r>
          <a:endParaRPr lang="en-IN" sz="900" kern="1200">
            <a:latin typeface="Garamond" panose="02020404030301010803" pitchFamily="18" charset="0"/>
          </a:endParaRPr>
        </a:p>
      </dsp:txBody>
      <dsp:txXfrm rot="10800000">
        <a:off x="0" y="1636057"/>
        <a:ext cx="6199505" cy="357819"/>
      </dsp:txXfrm>
    </dsp:sp>
    <dsp:sp modelId="{1B726A59-4D7A-5B44-A2B0-C1CE76824484}">
      <dsp:nvSpPr>
        <dsp:cNvPr id="0" name=""/>
        <dsp:cNvSpPr/>
      </dsp:nvSpPr>
      <dsp:spPr>
        <a:xfrm rot="10800000">
          <a:off x="0" y="1090741"/>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IN" sz="900" b="0" i="0" kern="1200">
            <a:latin typeface="Garamond" panose="02020404030301010803" pitchFamily="18" charset="0"/>
          </a:endParaRPr>
        </a:p>
        <a:p>
          <a:pPr marL="0" lvl="0" indent="0" algn="ctr" defTabSz="400050">
            <a:lnSpc>
              <a:spcPct val="90000"/>
            </a:lnSpc>
            <a:spcBef>
              <a:spcPct val="0"/>
            </a:spcBef>
            <a:spcAft>
              <a:spcPct val="35000"/>
            </a:spcAft>
            <a:buNone/>
          </a:pPr>
          <a:r>
            <a:rPr lang="en-IN" sz="900" b="0" i="0" kern="1200">
              <a:latin typeface="Garamond" panose="02020404030301010803" pitchFamily="18" charset="0"/>
            </a:rPr>
            <a:t>End-to-end security – lifecycle protection</a:t>
          </a:r>
        </a:p>
        <a:p>
          <a:pPr marL="0" lvl="0" indent="0" algn="ctr" defTabSz="400050">
            <a:lnSpc>
              <a:spcPct val="90000"/>
            </a:lnSpc>
            <a:spcBef>
              <a:spcPct val="0"/>
            </a:spcBef>
            <a:spcAft>
              <a:spcPct val="35000"/>
            </a:spcAft>
            <a:buNone/>
          </a:pPr>
          <a:r>
            <a:rPr lang="en-IN" sz="900" b="0" i="1" kern="1200">
              <a:solidFill>
                <a:schemeClr val="tx1"/>
              </a:solidFill>
              <a:latin typeface="Garamond" panose="02020404030301010803" pitchFamily="18" charset="0"/>
            </a:rPr>
            <a:t>(</a:t>
          </a:r>
          <a:r>
            <a:rPr lang="en-IN" sz="900" b="0" i="1" u="none" kern="1200">
              <a:solidFill>
                <a:schemeClr val="tx1"/>
              </a:solidFill>
              <a:latin typeface="Garamond" panose="02020404030301010803" pitchFamily="18" charset="0"/>
            </a:rPr>
            <a:t>Privacy by Design ensures user data protection from collection to deletion, including during third-party sharing.)</a:t>
          </a:r>
          <a:endParaRPr lang="en-IN" sz="900" b="0" i="1" kern="1200">
            <a:solidFill>
              <a:schemeClr val="tx1"/>
            </a:solidFill>
            <a:latin typeface="Garamond" panose="02020404030301010803" pitchFamily="18" charset="0"/>
          </a:endParaRPr>
        </a:p>
        <a:p>
          <a:pPr marL="0" lvl="0" indent="0" algn="ctr" defTabSz="400050">
            <a:lnSpc>
              <a:spcPct val="90000"/>
            </a:lnSpc>
            <a:spcBef>
              <a:spcPct val="0"/>
            </a:spcBef>
            <a:spcAft>
              <a:spcPct val="35000"/>
            </a:spcAft>
            <a:buNone/>
          </a:pPr>
          <a:endParaRPr lang="en-GB" sz="500" kern="1200"/>
        </a:p>
      </dsp:txBody>
      <dsp:txXfrm rot="10800000">
        <a:off x="0" y="1090741"/>
        <a:ext cx="6199505" cy="357819"/>
      </dsp:txXfrm>
    </dsp:sp>
    <dsp:sp modelId="{765A256C-EE55-E549-80E7-008474B45655}">
      <dsp:nvSpPr>
        <dsp:cNvPr id="0" name=""/>
        <dsp:cNvSpPr/>
      </dsp:nvSpPr>
      <dsp:spPr>
        <a:xfrm rot="10800000">
          <a:off x="0" y="545425"/>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Privacy as the default setting</a:t>
          </a:r>
        </a:p>
        <a:p>
          <a:pPr marL="0" lvl="0" indent="0" algn="ctr" defTabSz="400050">
            <a:lnSpc>
              <a:spcPct val="90000"/>
            </a:lnSpc>
            <a:spcBef>
              <a:spcPct val="0"/>
            </a:spcBef>
            <a:spcAft>
              <a:spcPct val="35000"/>
            </a:spcAft>
            <a:buNone/>
          </a:pPr>
          <a:r>
            <a:rPr lang="en-IN" sz="900" b="0" i="1" kern="1200">
              <a:solidFill>
                <a:schemeClr val="tx1"/>
              </a:solidFill>
              <a:latin typeface="Garamond" panose="02020404030301010803" pitchFamily="18" charset="0"/>
            </a:rPr>
            <a:t>(</a:t>
          </a:r>
          <a:r>
            <a:rPr lang="en-US" sz="900" i="1" kern="1200">
              <a:solidFill>
                <a:schemeClr val="tx1"/>
              </a:solidFill>
              <a:latin typeface="Garamond" panose="02020404030301010803" pitchFamily="18" charset="0"/>
            </a:rPr>
            <a:t>The Firms can embed features like minimal data use and encryption for effortless privacy and reduced misuse risk</a:t>
          </a:r>
          <a:r>
            <a:rPr lang="en-IN" sz="900" b="0" i="1" kern="1200">
              <a:solidFill>
                <a:schemeClr val="tx1"/>
              </a:solidFill>
              <a:latin typeface="Garamond" panose="02020404030301010803" pitchFamily="18" charset="0"/>
            </a:rPr>
            <a:t>.)</a:t>
          </a:r>
          <a:endParaRPr lang="en-GB" sz="900" i="1" kern="1200">
            <a:solidFill>
              <a:schemeClr val="tx1"/>
            </a:solidFill>
            <a:latin typeface="Garamond" panose="02020404030301010803" pitchFamily="18" charset="0"/>
          </a:endParaRPr>
        </a:p>
      </dsp:txBody>
      <dsp:txXfrm rot="10800000">
        <a:off x="0" y="545425"/>
        <a:ext cx="6199505" cy="357819"/>
      </dsp:txXfrm>
    </dsp:sp>
    <dsp:sp modelId="{B5C89614-9CB2-BF45-80C3-3F253F9689E7}">
      <dsp:nvSpPr>
        <dsp:cNvPr id="0" name=""/>
        <dsp:cNvSpPr/>
      </dsp:nvSpPr>
      <dsp:spPr>
        <a:xfrm rot="10800000">
          <a:off x="0" y="109"/>
          <a:ext cx="6199505" cy="55068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0" i="0" kern="1200">
              <a:latin typeface="Garamond" panose="02020404030301010803" pitchFamily="18" charset="0"/>
            </a:rPr>
            <a:t>Proactive not reactive; preventative not remedial</a:t>
          </a:r>
        </a:p>
        <a:p>
          <a:pPr marL="0" lvl="0" indent="0" algn="ctr" defTabSz="400050">
            <a:lnSpc>
              <a:spcPct val="90000"/>
            </a:lnSpc>
            <a:spcBef>
              <a:spcPct val="0"/>
            </a:spcBef>
            <a:spcAft>
              <a:spcPct val="35000"/>
            </a:spcAft>
            <a:buNone/>
          </a:pPr>
          <a:r>
            <a:rPr lang="en-IN" sz="900" b="0" i="0" kern="1200">
              <a:solidFill>
                <a:schemeClr val="tx1"/>
              </a:solidFill>
              <a:latin typeface="Garamond" panose="02020404030301010803" pitchFamily="18" charset="0"/>
            </a:rPr>
            <a:t>(</a:t>
          </a:r>
          <a:r>
            <a:rPr lang="en-IN" sz="900" b="0" i="1" kern="1200">
              <a:solidFill>
                <a:schemeClr val="tx1"/>
              </a:solidFill>
              <a:latin typeface="Garamond" panose="02020404030301010803" pitchFamily="18" charset="0"/>
            </a:rPr>
            <a:t>Organizations should take a proactive rather than reactive approach</a:t>
          </a:r>
          <a:r>
            <a:rPr lang="en-IN" sz="900" b="0" i="0" kern="1200">
              <a:solidFill>
                <a:schemeClr val="tx1"/>
              </a:solidFill>
              <a:latin typeface="Garamond" panose="02020404030301010803" pitchFamily="18" charset="0"/>
            </a:rPr>
            <a:t>.)</a:t>
          </a:r>
          <a:endParaRPr lang="en-GB" sz="900" kern="1200">
            <a:solidFill>
              <a:schemeClr val="tx1"/>
            </a:solidFill>
            <a:latin typeface="Garamond" panose="02020404030301010803" pitchFamily="18" charset="0"/>
          </a:endParaRPr>
        </a:p>
      </dsp:txBody>
      <dsp:txXfrm rot="10800000">
        <a:off x="0" y="109"/>
        <a:ext cx="6199505" cy="35781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5867-8FEC-4347-AB8B-F82BFCCF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5</cp:revision>
  <dcterms:created xsi:type="dcterms:W3CDTF">2024-07-15T09:52:00Z</dcterms:created>
  <dcterms:modified xsi:type="dcterms:W3CDTF">2024-07-16T18:42:00Z</dcterms:modified>
</cp:coreProperties>
</file>