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C30" w:rsidRPr="00951C30" w:rsidRDefault="00F07A04" w:rsidP="00951C30">
      <w:pPr>
        <w:pStyle w:val="Title"/>
      </w:pPr>
      <w:r>
        <w:t xml:space="preserve">PROJECT 6: </w:t>
      </w:r>
      <w:r w:rsidRPr="00F07A04">
        <w:t>CUDA Monte Carlo</w:t>
      </w:r>
    </w:p>
    <w:p w:rsidR="00951C30" w:rsidRPr="00923985" w:rsidRDefault="00951C30" w:rsidP="00951C30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b/>
          <w:color w:val="000000"/>
        </w:rPr>
      </w:pPr>
      <w:r w:rsidRPr="00923985">
        <w:rPr>
          <w:rFonts w:ascii="Times" w:eastAsia="Times New Roman" w:hAnsi="Times" w:cs="Times New Roman"/>
          <w:b/>
          <w:color w:val="000000"/>
        </w:rPr>
        <w:t>Tell what machine you ran this on.</w:t>
      </w:r>
    </w:p>
    <w:p w:rsidR="00951C30" w:rsidRPr="00923985" w:rsidRDefault="00951C30" w:rsidP="00951C30">
      <w:pPr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/>
        </w:rPr>
      </w:pPr>
      <w:r w:rsidRPr="00923985">
        <w:rPr>
          <w:rFonts w:ascii="Times" w:eastAsia="Times New Roman" w:hAnsi="Times" w:cs="Times New Roman"/>
          <w:color w:val="000000"/>
        </w:rPr>
        <w:t>I ran this on rabbit.</w:t>
      </w:r>
      <w:bookmarkStart w:id="0" w:name="_GoBack"/>
      <w:bookmarkEnd w:id="0"/>
    </w:p>
    <w:p w:rsidR="00923985" w:rsidRPr="00923985" w:rsidRDefault="00951C30" w:rsidP="00923985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b/>
          <w:color w:val="000000"/>
        </w:rPr>
      </w:pPr>
      <w:r w:rsidRPr="00923985">
        <w:rPr>
          <w:rFonts w:ascii="Times" w:eastAsia="Times New Roman" w:hAnsi="Times" w:cs="Times New Roman"/>
          <w:b/>
          <w:color w:val="000000"/>
        </w:rPr>
        <w:t>Show the tables and graphs</w:t>
      </w:r>
    </w:p>
    <w:tbl>
      <w:tblPr>
        <w:tblStyle w:val="MediumGrid3-Accent5"/>
        <w:tblW w:w="9461" w:type="dxa"/>
        <w:tblLook w:val="04A0" w:firstRow="1" w:lastRow="0" w:firstColumn="1" w:lastColumn="0" w:noHBand="0" w:noVBand="1"/>
      </w:tblPr>
      <w:tblGrid>
        <w:gridCol w:w="1661"/>
        <w:gridCol w:w="1227"/>
        <w:gridCol w:w="1227"/>
        <w:gridCol w:w="1227"/>
        <w:gridCol w:w="1227"/>
        <w:gridCol w:w="1446"/>
        <w:gridCol w:w="1446"/>
      </w:tblGrid>
      <w:tr w:rsidR="00951C30" w:rsidRPr="00951C30" w:rsidTr="00951C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  <w:noWrap/>
            <w:hideMark/>
          </w:tcPr>
          <w:p w:rsidR="00951C30" w:rsidRPr="00951C30" w:rsidRDefault="00951C30" w:rsidP="00951C30">
            <w:pPr>
              <w:jc w:val="center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951C30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BLOCKSIZE</w:t>
            </w:r>
          </w:p>
        </w:tc>
        <w:tc>
          <w:tcPr>
            <w:tcW w:w="7800" w:type="dxa"/>
            <w:gridSpan w:val="6"/>
            <w:noWrap/>
            <w:hideMark/>
          </w:tcPr>
          <w:p w:rsidR="00951C30" w:rsidRPr="00951C30" w:rsidRDefault="00951C30" w:rsidP="00951C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951C30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NUMTRIALS</w:t>
            </w:r>
          </w:p>
        </w:tc>
      </w:tr>
      <w:tr w:rsidR="00951C30" w:rsidRPr="00951C30" w:rsidTr="00951C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  <w:noWrap/>
            <w:hideMark/>
          </w:tcPr>
          <w:p w:rsidR="00951C30" w:rsidRPr="00951C30" w:rsidRDefault="00951C30" w:rsidP="00951C30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227" w:type="dxa"/>
            <w:noWrap/>
            <w:hideMark/>
          </w:tcPr>
          <w:p w:rsidR="00951C30" w:rsidRPr="00951C30" w:rsidRDefault="00951C30" w:rsidP="00951C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b/>
                <w:color w:val="000000"/>
                <w:sz w:val="28"/>
                <w:szCs w:val="28"/>
              </w:rPr>
            </w:pPr>
            <w:r w:rsidRPr="00951C30">
              <w:rPr>
                <w:rFonts w:ascii="Cambria" w:eastAsia="Times New Roman" w:hAnsi="Cambria" w:cs="Times New Roman"/>
                <w:b/>
                <w:color w:val="000000"/>
                <w:sz w:val="28"/>
                <w:szCs w:val="28"/>
              </w:rPr>
              <w:t>16K</w:t>
            </w:r>
          </w:p>
        </w:tc>
        <w:tc>
          <w:tcPr>
            <w:tcW w:w="1227" w:type="dxa"/>
            <w:noWrap/>
            <w:hideMark/>
          </w:tcPr>
          <w:p w:rsidR="00951C30" w:rsidRPr="00951C30" w:rsidRDefault="00951C30" w:rsidP="00951C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b/>
                <w:color w:val="000000"/>
              </w:rPr>
            </w:pPr>
            <w:r w:rsidRPr="00951C30">
              <w:rPr>
                <w:rFonts w:ascii="Cambria" w:eastAsia="Times New Roman" w:hAnsi="Cambria" w:cs="Times New Roman"/>
                <w:b/>
                <w:color w:val="000000"/>
              </w:rPr>
              <w:t>32K</w:t>
            </w:r>
          </w:p>
        </w:tc>
        <w:tc>
          <w:tcPr>
            <w:tcW w:w="1227" w:type="dxa"/>
            <w:noWrap/>
            <w:hideMark/>
          </w:tcPr>
          <w:p w:rsidR="00951C30" w:rsidRPr="00951C30" w:rsidRDefault="00951C30" w:rsidP="00951C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b/>
                <w:color w:val="000000"/>
              </w:rPr>
            </w:pPr>
            <w:r w:rsidRPr="00951C30">
              <w:rPr>
                <w:rFonts w:ascii="Cambria" w:eastAsia="Times New Roman" w:hAnsi="Cambria" w:cs="Times New Roman"/>
                <w:b/>
                <w:color w:val="000000"/>
              </w:rPr>
              <w:t>64K</w:t>
            </w:r>
          </w:p>
        </w:tc>
        <w:tc>
          <w:tcPr>
            <w:tcW w:w="1227" w:type="dxa"/>
            <w:noWrap/>
            <w:hideMark/>
          </w:tcPr>
          <w:p w:rsidR="00951C30" w:rsidRPr="00951C30" w:rsidRDefault="00951C30" w:rsidP="00951C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b/>
                <w:color w:val="000000"/>
              </w:rPr>
            </w:pPr>
            <w:r w:rsidRPr="00951C30">
              <w:rPr>
                <w:rFonts w:ascii="Cambria" w:eastAsia="Times New Roman" w:hAnsi="Cambria" w:cs="Times New Roman"/>
                <w:b/>
                <w:color w:val="000000"/>
              </w:rPr>
              <w:t>128K</w:t>
            </w:r>
          </w:p>
        </w:tc>
        <w:tc>
          <w:tcPr>
            <w:tcW w:w="1446" w:type="dxa"/>
            <w:noWrap/>
            <w:hideMark/>
          </w:tcPr>
          <w:p w:rsidR="00951C30" w:rsidRPr="00951C30" w:rsidRDefault="00951C30" w:rsidP="00951C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b/>
                <w:color w:val="000000"/>
              </w:rPr>
            </w:pPr>
            <w:r w:rsidRPr="00951C30">
              <w:rPr>
                <w:rFonts w:ascii="Cambria" w:eastAsia="Times New Roman" w:hAnsi="Cambria" w:cs="Times New Roman"/>
                <w:b/>
                <w:color w:val="000000"/>
              </w:rPr>
              <w:t>256K</w:t>
            </w:r>
          </w:p>
        </w:tc>
        <w:tc>
          <w:tcPr>
            <w:tcW w:w="1446" w:type="dxa"/>
            <w:noWrap/>
            <w:hideMark/>
          </w:tcPr>
          <w:p w:rsidR="00951C30" w:rsidRPr="00951C30" w:rsidRDefault="00951C30" w:rsidP="00951C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b/>
                <w:color w:val="000000"/>
              </w:rPr>
            </w:pPr>
            <w:r w:rsidRPr="00951C30">
              <w:rPr>
                <w:rFonts w:ascii="Cambria" w:eastAsia="Times New Roman" w:hAnsi="Cambria" w:cs="Times New Roman"/>
                <w:b/>
                <w:color w:val="000000"/>
              </w:rPr>
              <w:t>512K</w:t>
            </w:r>
          </w:p>
        </w:tc>
      </w:tr>
      <w:tr w:rsidR="00951C30" w:rsidRPr="00951C30" w:rsidTr="00951C3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  <w:noWrap/>
            <w:hideMark/>
          </w:tcPr>
          <w:p w:rsidR="00951C30" w:rsidRPr="00951C30" w:rsidRDefault="00951C30" w:rsidP="00951C30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951C30">
              <w:rPr>
                <w:rFonts w:ascii="Cambria" w:eastAsia="Times New Roman" w:hAnsi="Cambria" w:cs="Times New Roman"/>
                <w:color w:val="000000"/>
              </w:rPr>
              <w:t>16</w:t>
            </w:r>
          </w:p>
        </w:tc>
        <w:tc>
          <w:tcPr>
            <w:tcW w:w="1227" w:type="dxa"/>
            <w:noWrap/>
            <w:hideMark/>
          </w:tcPr>
          <w:p w:rsidR="00951C30" w:rsidRPr="00951C30" w:rsidRDefault="00951C30" w:rsidP="00951C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00000"/>
              </w:rPr>
            </w:pPr>
            <w:r w:rsidRPr="00951C30">
              <w:rPr>
                <w:rFonts w:ascii="Cambria" w:eastAsia="Times New Roman" w:hAnsi="Cambria" w:cs="Times New Roman"/>
                <w:color w:val="000000"/>
              </w:rPr>
              <w:t>137.82</w:t>
            </w:r>
          </w:p>
        </w:tc>
        <w:tc>
          <w:tcPr>
            <w:tcW w:w="1227" w:type="dxa"/>
            <w:noWrap/>
            <w:hideMark/>
          </w:tcPr>
          <w:p w:rsidR="00951C30" w:rsidRPr="00951C30" w:rsidRDefault="00951C30" w:rsidP="00951C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00000"/>
              </w:rPr>
            </w:pPr>
            <w:r w:rsidRPr="00951C30">
              <w:rPr>
                <w:rFonts w:ascii="Cambria" w:eastAsia="Times New Roman" w:hAnsi="Cambria" w:cs="Times New Roman"/>
                <w:color w:val="000000"/>
              </w:rPr>
              <w:t>236.33</w:t>
            </w:r>
          </w:p>
        </w:tc>
        <w:tc>
          <w:tcPr>
            <w:tcW w:w="1227" w:type="dxa"/>
            <w:noWrap/>
            <w:hideMark/>
          </w:tcPr>
          <w:p w:rsidR="00951C30" w:rsidRPr="00951C30" w:rsidRDefault="00951C30" w:rsidP="00951C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00000"/>
              </w:rPr>
            </w:pPr>
            <w:r w:rsidRPr="00951C30">
              <w:rPr>
                <w:rFonts w:ascii="Cambria" w:eastAsia="Times New Roman" w:hAnsi="Cambria" w:cs="Times New Roman"/>
                <w:color w:val="000000"/>
              </w:rPr>
              <w:t>385.25</w:t>
            </w:r>
          </w:p>
        </w:tc>
        <w:tc>
          <w:tcPr>
            <w:tcW w:w="1227" w:type="dxa"/>
            <w:noWrap/>
            <w:hideMark/>
          </w:tcPr>
          <w:p w:rsidR="00951C30" w:rsidRPr="00951C30" w:rsidRDefault="00951C30" w:rsidP="00951C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00000"/>
              </w:rPr>
            </w:pPr>
            <w:r w:rsidRPr="00951C30">
              <w:rPr>
                <w:rFonts w:ascii="Cambria" w:eastAsia="Times New Roman" w:hAnsi="Cambria" w:cs="Times New Roman"/>
                <w:color w:val="000000"/>
              </w:rPr>
              <w:t>563.95</w:t>
            </w:r>
          </w:p>
        </w:tc>
        <w:tc>
          <w:tcPr>
            <w:tcW w:w="1446" w:type="dxa"/>
            <w:noWrap/>
            <w:hideMark/>
          </w:tcPr>
          <w:p w:rsidR="00951C30" w:rsidRPr="00951C30" w:rsidRDefault="00951C30" w:rsidP="00951C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00000"/>
              </w:rPr>
            </w:pPr>
            <w:r w:rsidRPr="00951C30">
              <w:rPr>
                <w:rFonts w:ascii="Cambria" w:eastAsia="Times New Roman" w:hAnsi="Cambria" w:cs="Times New Roman"/>
                <w:color w:val="000000"/>
              </w:rPr>
              <w:t>727.66</w:t>
            </w:r>
          </w:p>
        </w:tc>
        <w:tc>
          <w:tcPr>
            <w:tcW w:w="1446" w:type="dxa"/>
            <w:noWrap/>
            <w:hideMark/>
          </w:tcPr>
          <w:p w:rsidR="00951C30" w:rsidRPr="00951C30" w:rsidRDefault="00951C30" w:rsidP="00951C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00000"/>
              </w:rPr>
            </w:pPr>
            <w:r w:rsidRPr="00951C30">
              <w:rPr>
                <w:rFonts w:ascii="Cambria" w:eastAsia="Times New Roman" w:hAnsi="Cambria" w:cs="Times New Roman"/>
                <w:color w:val="000000"/>
              </w:rPr>
              <w:t>856.05</w:t>
            </w:r>
          </w:p>
        </w:tc>
      </w:tr>
      <w:tr w:rsidR="00951C30" w:rsidRPr="00951C30" w:rsidTr="00951C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  <w:noWrap/>
            <w:hideMark/>
          </w:tcPr>
          <w:p w:rsidR="00951C30" w:rsidRPr="00951C30" w:rsidRDefault="00951C30" w:rsidP="00951C30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951C30">
              <w:rPr>
                <w:rFonts w:ascii="Cambria" w:eastAsia="Times New Roman" w:hAnsi="Cambria" w:cs="Times New Roman"/>
                <w:color w:val="000000"/>
              </w:rPr>
              <w:t>32</w:t>
            </w:r>
          </w:p>
        </w:tc>
        <w:tc>
          <w:tcPr>
            <w:tcW w:w="1227" w:type="dxa"/>
            <w:noWrap/>
            <w:hideMark/>
          </w:tcPr>
          <w:p w:rsidR="00951C30" w:rsidRPr="00951C30" w:rsidRDefault="00951C30" w:rsidP="00951C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00000"/>
              </w:rPr>
            </w:pPr>
            <w:r w:rsidRPr="00951C30">
              <w:rPr>
                <w:rFonts w:ascii="Cambria" w:eastAsia="Times New Roman" w:hAnsi="Cambria" w:cs="Times New Roman"/>
                <w:color w:val="000000"/>
              </w:rPr>
              <w:t>148.19</w:t>
            </w:r>
          </w:p>
        </w:tc>
        <w:tc>
          <w:tcPr>
            <w:tcW w:w="1227" w:type="dxa"/>
            <w:noWrap/>
            <w:hideMark/>
          </w:tcPr>
          <w:p w:rsidR="00951C30" w:rsidRPr="00951C30" w:rsidRDefault="00951C30" w:rsidP="00951C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00000"/>
              </w:rPr>
            </w:pPr>
            <w:r w:rsidRPr="00951C30">
              <w:rPr>
                <w:rFonts w:ascii="Cambria" w:eastAsia="Times New Roman" w:hAnsi="Cambria" w:cs="Times New Roman"/>
                <w:color w:val="000000"/>
              </w:rPr>
              <w:t>267.78</w:t>
            </w:r>
          </w:p>
        </w:tc>
        <w:tc>
          <w:tcPr>
            <w:tcW w:w="1227" w:type="dxa"/>
            <w:noWrap/>
            <w:hideMark/>
          </w:tcPr>
          <w:p w:rsidR="00951C30" w:rsidRPr="00951C30" w:rsidRDefault="00951C30" w:rsidP="00951C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00000"/>
              </w:rPr>
            </w:pPr>
            <w:r w:rsidRPr="00951C30">
              <w:rPr>
                <w:rFonts w:ascii="Cambria" w:eastAsia="Times New Roman" w:hAnsi="Cambria" w:cs="Times New Roman"/>
                <w:color w:val="000000"/>
              </w:rPr>
              <w:t>456.94</w:t>
            </w:r>
          </w:p>
        </w:tc>
        <w:tc>
          <w:tcPr>
            <w:tcW w:w="1227" w:type="dxa"/>
            <w:noWrap/>
            <w:hideMark/>
          </w:tcPr>
          <w:p w:rsidR="00951C30" w:rsidRPr="00951C30" w:rsidRDefault="00951C30" w:rsidP="00951C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00000"/>
              </w:rPr>
            </w:pPr>
            <w:r w:rsidRPr="00951C30">
              <w:rPr>
                <w:rFonts w:ascii="Cambria" w:eastAsia="Times New Roman" w:hAnsi="Cambria" w:cs="Times New Roman"/>
                <w:color w:val="000000"/>
              </w:rPr>
              <w:t>754.61</w:t>
            </w:r>
          </w:p>
        </w:tc>
        <w:tc>
          <w:tcPr>
            <w:tcW w:w="1446" w:type="dxa"/>
            <w:noWrap/>
            <w:hideMark/>
          </w:tcPr>
          <w:p w:rsidR="00951C30" w:rsidRPr="00951C30" w:rsidRDefault="00951C30" w:rsidP="00951C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00000"/>
              </w:rPr>
            </w:pPr>
            <w:r w:rsidRPr="00951C30">
              <w:rPr>
                <w:rFonts w:ascii="Cambria" w:eastAsia="Times New Roman" w:hAnsi="Cambria" w:cs="Times New Roman"/>
                <w:color w:val="000000"/>
              </w:rPr>
              <w:t>1078.04</w:t>
            </w:r>
          </w:p>
        </w:tc>
        <w:tc>
          <w:tcPr>
            <w:tcW w:w="1446" w:type="dxa"/>
            <w:noWrap/>
            <w:hideMark/>
          </w:tcPr>
          <w:p w:rsidR="00951C30" w:rsidRPr="00951C30" w:rsidRDefault="00951C30" w:rsidP="00951C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00000"/>
              </w:rPr>
            </w:pPr>
            <w:r w:rsidRPr="00951C30">
              <w:rPr>
                <w:rFonts w:ascii="Cambria" w:eastAsia="Times New Roman" w:hAnsi="Cambria" w:cs="Times New Roman"/>
                <w:color w:val="000000"/>
              </w:rPr>
              <w:t>1335.29</w:t>
            </w:r>
          </w:p>
        </w:tc>
      </w:tr>
      <w:tr w:rsidR="00951C30" w:rsidRPr="00951C30" w:rsidTr="00951C3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  <w:noWrap/>
            <w:hideMark/>
          </w:tcPr>
          <w:p w:rsidR="00951C30" w:rsidRPr="00951C30" w:rsidRDefault="00951C30" w:rsidP="00951C30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951C30">
              <w:rPr>
                <w:rFonts w:ascii="Cambria" w:eastAsia="Times New Roman" w:hAnsi="Cambria" w:cs="Times New Roman"/>
                <w:color w:val="000000"/>
              </w:rPr>
              <w:t>64</w:t>
            </w:r>
          </w:p>
        </w:tc>
        <w:tc>
          <w:tcPr>
            <w:tcW w:w="1227" w:type="dxa"/>
            <w:noWrap/>
            <w:hideMark/>
          </w:tcPr>
          <w:p w:rsidR="00951C30" w:rsidRPr="00951C30" w:rsidRDefault="00951C30" w:rsidP="00951C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00000"/>
              </w:rPr>
            </w:pPr>
            <w:r w:rsidRPr="00951C30">
              <w:rPr>
                <w:rFonts w:ascii="Cambria" w:eastAsia="Times New Roman" w:hAnsi="Cambria" w:cs="Times New Roman"/>
                <w:color w:val="000000"/>
              </w:rPr>
              <w:t>149.58</w:t>
            </w:r>
          </w:p>
        </w:tc>
        <w:tc>
          <w:tcPr>
            <w:tcW w:w="1227" w:type="dxa"/>
            <w:noWrap/>
            <w:hideMark/>
          </w:tcPr>
          <w:p w:rsidR="00951C30" w:rsidRPr="00951C30" w:rsidRDefault="00951C30" w:rsidP="00951C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00000"/>
              </w:rPr>
            </w:pPr>
            <w:r w:rsidRPr="00951C30">
              <w:rPr>
                <w:rFonts w:ascii="Cambria" w:eastAsia="Times New Roman" w:hAnsi="Cambria" w:cs="Times New Roman"/>
                <w:color w:val="000000"/>
              </w:rPr>
              <w:t>284.52</w:t>
            </w:r>
          </w:p>
        </w:tc>
        <w:tc>
          <w:tcPr>
            <w:tcW w:w="1227" w:type="dxa"/>
            <w:noWrap/>
            <w:hideMark/>
          </w:tcPr>
          <w:p w:rsidR="00951C30" w:rsidRPr="00951C30" w:rsidRDefault="00951C30" w:rsidP="00951C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00000"/>
              </w:rPr>
            </w:pPr>
            <w:r w:rsidRPr="00951C30">
              <w:rPr>
                <w:rFonts w:ascii="Cambria" w:eastAsia="Times New Roman" w:hAnsi="Cambria" w:cs="Times New Roman"/>
                <w:color w:val="000000"/>
              </w:rPr>
              <w:t>549.21</w:t>
            </w:r>
          </w:p>
        </w:tc>
        <w:tc>
          <w:tcPr>
            <w:tcW w:w="1227" w:type="dxa"/>
            <w:noWrap/>
            <w:hideMark/>
          </w:tcPr>
          <w:p w:rsidR="00951C30" w:rsidRPr="00951C30" w:rsidRDefault="00951C30" w:rsidP="00951C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00000"/>
              </w:rPr>
            </w:pPr>
            <w:r w:rsidRPr="00951C30">
              <w:rPr>
                <w:rFonts w:ascii="Cambria" w:eastAsia="Times New Roman" w:hAnsi="Cambria" w:cs="Times New Roman"/>
                <w:color w:val="000000"/>
              </w:rPr>
              <w:t>885.24</w:t>
            </w:r>
          </w:p>
        </w:tc>
        <w:tc>
          <w:tcPr>
            <w:tcW w:w="1446" w:type="dxa"/>
            <w:noWrap/>
            <w:hideMark/>
          </w:tcPr>
          <w:p w:rsidR="00951C30" w:rsidRPr="00951C30" w:rsidRDefault="00951C30" w:rsidP="00951C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00000"/>
              </w:rPr>
            </w:pPr>
            <w:r w:rsidRPr="00951C30">
              <w:rPr>
                <w:rFonts w:ascii="Cambria" w:eastAsia="Times New Roman" w:hAnsi="Cambria" w:cs="Times New Roman"/>
                <w:color w:val="000000"/>
              </w:rPr>
              <w:t>1344.49</w:t>
            </w:r>
          </w:p>
        </w:tc>
        <w:tc>
          <w:tcPr>
            <w:tcW w:w="1446" w:type="dxa"/>
            <w:noWrap/>
            <w:hideMark/>
          </w:tcPr>
          <w:p w:rsidR="00951C30" w:rsidRPr="00951C30" w:rsidRDefault="00951C30" w:rsidP="00951C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00000"/>
              </w:rPr>
            </w:pPr>
            <w:r w:rsidRPr="00951C30">
              <w:rPr>
                <w:rFonts w:ascii="Cambria" w:eastAsia="Times New Roman" w:hAnsi="Cambria" w:cs="Times New Roman"/>
                <w:color w:val="000000"/>
              </w:rPr>
              <w:t>1982.1</w:t>
            </w:r>
          </w:p>
        </w:tc>
      </w:tr>
    </w:tbl>
    <w:p w:rsidR="0028662A" w:rsidRDefault="0028662A" w:rsidP="00951C30">
      <w:pPr>
        <w:spacing w:before="100" w:beforeAutospacing="1" w:after="100" w:afterAutospacing="1"/>
        <w:ind w:left="720"/>
        <w:rPr>
          <w:rFonts w:ascii="Times" w:eastAsia="Times New Roman" w:hAnsi="Times" w:cs="Times New Roman"/>
          <w:b/>
          <w:color w:val="000000"/>
          <w:sz w:val="27"/>
          <w:szCs w:val="27"/>
        </w:rPr>
      </w:pPr>
    </w:p>
    <w:p w:rsidR="00923985" w:rsidRDefault="0028662A" w:rsidP="00951C30">
      <w:pPr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28662A">
        <w:rPr>
          <w:rFonts w:ascii="Times" w:eastAsia="Times New Roman" w:hAnsi="Times" w:cs="Times New Roman"/>
          <w:b/>
          <w:color w:val="000000"/>
          <w:sz w:val="27"/>
          <w:szCs w:val="27"/>
        </w:rPr>
        <w:t>Probability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reported: 0.4198</w:t>
      </w:r>
    </w:p>
    <w:p w:rsidR="00951C30" w:rsidRDefault="00951C30" w:rsidP="00951C30">
      <w:pPr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5BEFC6DC" wp14:editId="39842823">
            <wp:extent cx="4762500" cy="2743200"/>
            <wp:effectExtent l="0" t="0" r="12700" b="254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923985" w:rsidRDefault="00923985" w:rsidP="00951C30">
      <w:pPr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/>
          <w:sz w:val="27"/>
          <w:szCs w:val="27"/>
        </w:rPr>
      </w:pPr>
    </w:p>
    <w:p w:rsidR="00923985" w:rsidRDefault="00923985" w:rsidP="00951C30">
      <w:pPr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/>
          <w:sz w:val="27"/>
          <w:szCs w:val="27"/>
        </w:rPr>
      </w:pPr>
    </w:p>
    <w:p w:rsidR="00951C30" w:rsidRPr="00951C30" w:rsidRDefault="00951C30" w:rsidP="00951C30">
      <w:pPr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746BC018" wp14:editId="18FC4BB2">
            <wp:extent cx="4572000" cy="2743200"/>
            <wp:effectExtent l="0" t="0" r="25400" b="2540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951C30" w:rsidRPr="00923985" w:rsidRDefault="00951C30" w:rsidP="00951C30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b/>
          <w:color w:val="000000"/>
        </w:rPr>
      </w:pPr>
      <w:r w:rsidRPr="00923985">
        <w:rPr>
          <w:rFonts w:ascii="Times" w:eastAsia="Times New Roman" w:hAnsi="Times" w:cs="Times New Roman"/>
          <w:b/>
          <w:color w:val="000000"/>
        </w:rPr>
        <w:t>What patterns are you seeing in the performance curves?</w:t>
      </w:r>
    </w:p>
    <w:p w:rsidR="00951C30" w:rsidRPr="00923985" w:rsidRDefault="006E05F3" w:rsidP="0028662A">
      <w:pPr>
        <w:spacing w:before="100" w:beforeAutospacing="1" w:after="100" w:afterAutospacing="1"/>
        <w:ind w:left="720"/>
        <w:jc w:val="both"/>
        <w:rPr>
          <w:rFonts w:ascii="Times" w:eastAsia="Times New Roman" w:hAnsi="Times" w:cs="Times New Roman"/>
          <w:color w:val="000000"/>
        </w:rPr>
      </w:pPr>
      <w:r w:rsidRPr="00923985">
        <w:rPr>
          <w:rFonts w:ascii="Times" w:eastAsia="Times New Roman" w:hAnsi="Times" w:cs="Times New Roman"/>
          <w:color w:val="000000"/>
        </w:rPr>
        <w:t>The</w:t>
      </w:r>
      <w:r w:rsidR="00951C30" w:rsidRPr="00923985">
        <w:rPr>
          <w:rFonts w:ascii="Times" w:eastAsia="Times New Roman" w:hAnsi="Times" w:cs="Times New Roman"/>
          <w:color w:val="000000"/>
        </w:rPr>
        <w:t xml:space="preserve"> performance seems to improve as the </w:t>
      </w:r>
      <w:proofErr w:type="spellStart"/>
      <w:r w:rsidR="00951C30" w:rsidRPr="00923985">
        <w:rPr>
          <w:rFonts w:ascii="Times" w:eastAsia="Times New Roman" w:hAnsi="Times" w:cs="Times New Roman"/>
          <w:color w:val="000000"/>
        </w:rPr>
        <w:t>numtrials</w:t>
      </w:r>
      <w:proofErr w:type="spellEnd"/>
      <w:r w:rsidR="00951C30" w:rsidRPr="00923985">
        <w:rPr>
          <w:rFonts w:ascii="Times" w:eastAsia="Times New Roman" w:hAnsi="Times" w:cs="Times New Roman"/>
          <w:color w:val="000000"/>
        </w:rPr>
        <w:t xml:space="preserve"> increases. </w:t>
      </w:r>
      <w:proofErr w:type="spellStart"/>
      <w:r w:rsidRPr="00923985">
        <w:rPr>
          <w:rFonts w:ascii="Times" w:eastAsia="Times New Roman" w:hAnsi="Times" w:cs="Times New Roman"/>
          <w:color w:val="000000"/>
        </w:rPr>
        <w:t>Blocksize</w:t>
      </w:r>
      <w:proofErr w:type="spellEnd"/>
      <w:r w:rsidRPr="00923985">
        <w:rPr>
          <w:rFonts w:ascii="Times" w:eastAsia="Times New Roman" w:hAnsi="Times" w:cs="Times New Roman"/>
          <w:color w:val="000000"/>
        </w:rPr>
        <w:t xml:space="preserve"> 64 performs much better than the </w:t>
      </w:r>
      <w:proofErr w:type="spellStart"/>
      <w:r w:rsidRPr="00923985">
        <w:rPr>
          <w:rFonts w:ascii="Times" w:eastAsia="Times New Roman" w:hAnsi="Times" w:cs="Times New Roman"/>
          <w:color w:val="000000"/>
        </w:rPr>
        <w:t>blocksize</w:t>
      </w:r>
      <w:proofErr w:type="spellEnd"/>
      <w:r w:rsidRPr="00923985">
        <w:rPr>
          <w:rFonts w:ascii="Times" w:eastAsia="Times New Roman" w:hAnsi="Times" w:cs="Times New Roman"/>
          <w:color w:val="000000"/>
        </w:rPr>
        <w:t xml:space="preserve"> 16. Also, as seen above, the performance tends to improve as </w:t>
      </w:r>
      <w:proofErr w:type="spellStart"/>
      <w:r w:rsidRPr="00923985">
        <w:rPr>
          <w:rFonts w:ascii="Times" w:eastAsia="Times New Roman" w:hAnsi="Times" w:cs="Times New Roman"/>
          <w:color w:val="000000"/>
        </w:rPr>
        <w:t>blocksize</w:t>
      </w:r>
      <w:proofErr w:type="spellEnd"/>
      <w:r w:rsidRPr="00923985">
        <w:rPr>
          <w:rFonts w:ascii="Times" w:eastAsia="Times New Roman" w:hAnsi="Times" w:cs="Times New Roman"/>
          <w:color w:val="000000"/>
        </w:rPr>
        <w:t xml:space="preserve"> increases (graph 2). With higher </w:t>
      </w:r>
      <w:proofErr w:type="spellStart"/>
      <w:r w:rsidRPr="00923985">
        <w:rPr>
          <w:rFonts w:ascii="Times" w:eastAsia="Times New Roman" w:hAnsi="Times" w:cs="Times New Roman"/>
          <w:color w:val="000000"/>
        </w:rPr>
        <w:t>numtrials</w:t>
      </w:r>
      <w:proofErr w:type="spellEnd"/>
      <w:r w:rsidRPr="00923985">
        <w:rPr>
          <w:rFonts w:ascii="Times" w:eastAsia="Times New Roman" w:hAnsi="Times" w:cs="Times New Roman"/>
          <w:color w:val="000000"/>
        </w:rPr>
        <w:t xml:space="preserve"> the performance is much better than that with lower </w:t>
      </w:r>
      <w:proofErr w:type="spellStart"/>
      <w:r w:rsidRPr="00923985">
        <w:rPr>
          <w:rFonts w:ascii="Times" w:eastAsia="Times New Roman" w:hAnsi="Times" w:cs="Times New Roman"/>
          <w:color w:val="000000"/>
        </w:rPr>
        <w:t>numtrials</w:t>
      </w:r>
      <w:proofErr w:type="spellEnd"/>
      <w:r w:rsidRPr="00923985">
        <w:rPr>
          <w:rFonts w:ascii="Times" w:eastAsia="Times New Roman" w:hAnsi="Times" w:cs="Times New Roman"/>
          <w:color w:val="000000"/>
        </w:rPr>
        <w:t>.</w:t>
      </w:r>
    </w:p>
    <w:p w:rsidR="00951C30" w:rsidRPr="00923985" w:rsidRDefault="00951C30" w:rsidP="0028662A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" w:eastAsia="Times New Roman" w:hAnsi="Times" w:cs="Times New Roman"/>
          <w:b/>
          <w:color w:val="000000"/>
        </w:rPr>
      </w:pPr>
      <w:r w:rsidRPr="00923985">
        <w:rPr>
          <w:rFonts w:ascii="Times" w:eastAsia="Times New Roman" w:hAnsi="Times" w:cs="Times New Roman"/>
          <w:b/>
          <w:color w:val="000000"/>
        </w:rPr>
        <w:t>Why do you think the patterns look this way?</w:t>
      </w:r>
    </w:p>
    <w:p w:rsidR="00951C30" w:rsidRPr="00923985" w:rsidRDefault="0067415C" w:rsidP="0028662A">
      <w:pPr>
        <w:spacing w:before="100" w:beforeAutospacing="1" w:after="100" w:afterAutospacing="1"/>
        <w:ind w:left="720"/>
        <w:jc w:val="both"/>
        <w:rPr>
          <w:rFonts w:ascii="Times" w:eastAsia="Times New Roman" w:hAnsi="Times" w:cs="Times New Roman"/>
          <w:color w:val="000000"/>
        </w:rPr>
      </w:pPr>
      <w:r w:rsidRPr="00923985">
        <w:rPr>
          <w:rFonts w:ascii="Times" w:eastAsia="Times New Roman" w:hAnsi="Times" w:cs="Times New Roman"/>
          <w:color w:val="000000"/>
        </w:rPr>
        <w:t xml:space="preserve">All threads in a Warp execute the same instruction at any given time, on different data. Each SM needs a gang of Warps to work on so that something is always ready to run. Hence, with higher </w:t>
      </w:r>
      <w:proofErr w:type="spellStart"/>
      <w:r w:rsidRPr="00923985">
        <w:rPr>
          <w:rFonts w:ascii="Times" w:eastAsia="Times New Roman" w:hAnsi="Times" w:cs="Times New Roman"/>
          <w:color w:val="000000"/>
        </w:rPr>
        <w:t>blocksize</w:t>
      </w:r>
      <w:proofErr w:type="spellEnd"/>
      <w:r w:rsidRPr="00923985">
        <w:rPr>
          <w:rFonts w:ascii="Times" w:eastAsia="Times New Roman" w:hAnsi="Times" w:cs="Times New Roman"/>
          <w:color w:val="000000"/>
        </w:rPr>
        <w:t xml:space="preserve"> (threads per block with multiples of the Warp size 32) the performance tends to improve, as all threads will execute the same instruction </w:t>
      </w:r>
      <w:proofErr w:type="spellStart"/>
      <w:r w:rsidRPr="00923985">
        <w:rPr>
          <w:rFonts w:ascii="Times" w:eastAsia="Times New Roman" w:hAnsi="Times" w:cs="Times New Roman"/>
          <w:color w:val="000000"/>
        </w:rPr>
        <w:t>parallely</w:t>
      </w:r>
      <w:proofErr w:type="spellEnd"/>
      <w:r w:rsidRPr="00923985">
        <w:rPr>
          <w:rFonts w:ascii="Times" w:eastAsia="Times New Roman" w:hAnsi="Times" w:cs="Times New Roman"/>
          <w:color w:val="000000"/>
        </w:rPr>
        <w:t xml:space="preserve"> on different data.</w:t>
      </w:r>
    </w:p>
    <w:p w:rsidR="00951C30" w:rsidRPr="00923985" w:rsidRDefault="00951C30" w:rsidP="0028662A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" w:eastAsia="Times New Roman" w:hAnsi="Times" w:cs="Times New Roman"/>
          <w:b/>
          <w:color w:val="000000"/>
        </w:rPr>
      </w:pPr>
      <w:r w:rsidRPr="00923985">
        <w:rPr>
          <w:rFonts w:ascii="Times" w:eastAsia="Times New Roman" w:hAnsi="Times" w:cs="Times New Roman"/>
          <w:b/>
          <w:color w:val="000000"/>
        </w:rPr>
        <w:t>Why is a BLOCKSIZE of 16 so much worse than the other two?</w:t>
      </w:r>
    </w:p>
    <w:p w:rsidR="00951C30" w:rsidRPr="00923985" w:rsidRDefault="006E05F3" w:rsidP="0028662A">
      <w:pPr>
        <w:ind w:left="720"/>
        <w:jc w:val="both"/>
        <w:rPr>
          <w:rFonts w:ascii="Times" w:eastAsia="Times New Roman" w:hAnsi="Times" w:cs="Times New Roman"/>
          <w:color w:val="000000"/>
        </w:rPr>
      </w:pPr>
      <w:r w:rsidRPr="00923985">
        <w:rPr>
          <w:rFonts w:ascii="Times" w:eastAsia="Times New Roman" w:hAnsi="Times" w:cs="Times New Roman"/>
          <w:color w:val="000000"/>
        </w:rPr>
        <w:t>Multiples of the Warp size 32 is good number of threads per block. A “Warp” is a group of 32 threads that are simultaneously executing the same instruction on different pieces of data.</w:t>
      </w:r>
      <w:r w:rsidR="0067415C" w:rsidRPr="00923985">
        <w:rPr>
          <w:rFonts w:ascii="Times" w:eastAsia="Times New Roman" w:hAnsi="Times" w:cs="Times New Roman"/>
          <w:color w:val="000000"/>
        </w:rPr>
        <w:t xml:space="preserve"> Hence, the performance of </w:t>
      </w:r>
      <w:proofErr w:type="spellStart"/>
      <w:r w:rsidR="0067415C" w:rsidRPr="00923985">
        <w:rPr>
          <w:rFonts w:ascii="Times" w:eastAsia="Times New Roman" w:hAnsi="Times" w:cs="Times New Roman"/>
          <w:color w:val="000000"/>
        </w:rPr>
        <w:t>blocksize</w:t>
      </w:r>
      <w:proofErr w:type="spellEnd"/>
      <w:r w:rsidR="0067415C" w:rsidRPr="00923985">
        <w:rPr>
          <w:rFonts w:ascii="Times" w:eastAsia="Times New Roman" w:hAnsi="Times" w:cs="Times New Roman"/>
          <w:color w:val="000000"/>
        </w:rPr>
        <w:t xml:space="preserve"> 16 is much worse than a </w:t>
      </w:r>
      <w:proofErr w:type="spellStart"/>
      <w:r w:rsidR="0067415C" w:rsidRPr="00923985">
        <w:rPr>
          <w:rFonts w:ascii="Times" w:eastAsia="Times New Roman" w:hAnsi="Times" w:cs="Times New Roman"/>
          <w:color w:val="000000"/>
        </w:rPr>
        <w:t>blocksize</w:t>
      </w:r>
      <w:proofErr w:type="spellEnd"/>
      <w:r w:rsidR="0067415C" w:rsidRPr="00923985">
        <w:rPr>
          <w:rFonts w:ascii="Times" w:eastAsia="Times New Roman" w:hAnsi="Times" w:cs="Times New Roman"/>
          <w:color w:val="000000"/>
        </w:rPr>
        <w:t xml:space="preserve"> of 64.</w:t>
      </w:r>
      <w:r w:rsidRPr="00923985">
        <w:rPr>
          <w:rFonts w:ascii="Times" w:eastAsia="Times New Roman" w:hAnsi="Times" w:cs="Times New Roman"/>
          <w:color w:val="000000"/>
        </w:rPr>
        <w:tab/>
      </w:r>
      <w:r w:rsidRPr="00923985">
        <w:rPr>
          <w:rFonts w:ascii="Times" w:eastAsia="Times New Roman" w:hAnsi="Times" w:cs="Times New Roman"/>
          <w:color w:val="000000"/>
        </w:rPr>
        <w:tab/>
      </w:r>
    </w:p>
    <w:p w:rsidR="00951C30" w:rsidRPr="00923985" w:rsidRDefault="00951C30" w:rsidP="0028662A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" w:eastAsia="Times New Roman" w:hAnsi="Times" w:cs="Times New Roman"/>
          <w:b/>
          <w:color w:val="000000"/>
        </w:rPr>
      </w:pPr>
      <w:r w:rsidRPr="00923985">
        <w:rPr>
          <w:rFonts w:ascii="Times" w:eastAsia="Times New Roman" w:hAnsi="Times" w:cs="Times New Roman"/>
          <w:b/>
          <w:color w:val="000000"/>
        </w:rPr>
        <w:t>What does that mean for the proper use of GPU parallel computing?</w:t>
      </w:r>
    </w:p>
    <w:p w:rsidR="004547A3" w:rsidRPr="00923985" w:rsidRDefault="00923985" w:rsidP="0028662A">
      <w:pPr>
        <w:pStyle w:val="ListParagraph"/>
        <w:widowControl w:val="0"/>
        <w:autoSpaceDE w:val="0"/>
        <w:autoSpaceDN w:val="0"/>
        <w:adjustRightInd w:val="0"/>
        <w:jc w:val="both"/>
        <w:rPr>
          <w:rFonts w:ascii="Times" w:eastAsia="Times New Roman" w:hAnsi="Times" w:cs="Times New Roman"/>
          <w:color w:val="000000"/>
        </w:rPr>
      </w:pPr>
      <w:r w:rsidRPr="00923985">
        <w:rPr>
          <w:rFonts w:ascii="Times" w:eastAsia="Times New Roman" w:hAnsi="Times" w:cs="Times New Roman"/>
          <w:color w:val="000000"/>
        </w:rPr>
        <w:t xml:space="preserve">It means that by experimenting, we can maybe find a good combination of number of </w:t>
      </w:r>
      <w:proofErr w:type="spellStart"/>
      <w:r>
        <w:rPr>
          <w:rFonts w:ascii="Times" w:eastAsia="Times New Roman" w:hAnsi="Times" w:cs="Times New Roman"/>
          <w:color w:val="000000"/>
        </w:rPr>
        <w:t>numtrials</w:t>
      </w:r>
      <w:proofErr w:type="spellEnd"/>
      <w:r w:rsidR="0028662A">
        <w:rPr>
          <w:rFonts w:ascii="Times" w:eastAsia="Times New Roman" w:hAnsi="Times" w:cs="Times New Roman"/>
          <w:color w:val="000000"/>
        </w:rPr>
        <w:t xml:space="preserve"> and </w:t>
      </w:r>
      <w:proofErr w:type="spellStart"/>
      <w:r w:rsidR="0028662A">
        <w:rPr>
          <w:rFonts w:ascii="Times" w:eastAsia="Times New Roman" w:hAnsi="Times" w:cs="Times New Roman"/>
          <w:color w:val="000000"/>
        </w:rPr>
        <w:t>blocksizes</w:t>
      </w:r>
      <w:proofErr w:type="spellEnd"/>
      <w:r w:rsidR="0028662A">
        <w:rPr>
          <w:rFonts w:ascii="Times" w:eastAsia="Times New Roman" w:hAnsi="Times" w:cs="Times New Roman"/>
          <w:color w:val="000000"/>
        </w:rPr>
        <w:t xml:space="preserve"> </w:t>
      </w:r>
      <w:r w:rsidRPr="00923985">
        <w:rPr>
          <w:rFonts w:ascii="Times" w:eastAsia="Times New Roman" w:hAnsi="Times" w:cs="Times New Roman"/>
          <w:color w:val="000000"/>
        </w:rPr>
        <w:t xml:space="preserve">for optimally utilizing the GPU parallel computing. After observation, it seems like having large data items distributed between </w:t>
      </w:r>
      <w:r w:rsidR="0028662A">
        <w:rPr>
          <w:rFonts w:ascii="Times" w:eastAsia="Times New Roman" w:hAnsi="Times" w:cs="Times New Roman"/>
          <w:color w:val="000000"/>
        </w:rPr>
        <w:t xml:space="preserve">large number of </w:t>
      </w:r>
      <w:proofErr w:type="gramStart"/>
      <w:r w:rsidR="0028662A">
        <w:rPr>
          <w:rFonts w:ascii="Times" w:eastAsia="Times New Roman" w:hAnsi="Times" w:cs="Times New Roman"/>
          <w:color w:val="000000"/>
        </w:rPr>
        <w:t>threads(</w:t>
      </w:r>
      <w:proofErr w:type="spellStart"/>
      <w:proofErr w:type="gramEnd"/>
      <w:r w:rsidR="0028662A">
        <w:rPr>
          <w:rFonts w:ascii="Times" w:eastAsia="Times New Roman" w:hAnsi="Times" w:cs="Times New Roman"/>
          <w:color w:val="000000"/>
        </w:rPr>
        <w:t>blocksize</w:t>
      </w:r>
      <w:proofErr w:type="spellEnd"/>
      <w:r w:rsidR="0028662A">
        <w:rPr>
          <w:rFonts w:ascii="Times" w:eastAsia="Times New Roman" w:hAnsi="Times" w:cs="Times New Roman"/>
          <w:color w:val="000000"/>
        </w:rPr>
        <w:t>) will give better performance.</w:t>
      </w:r>
    </w:p>
    <w:sectPr w:rsidR="004547A3" w:rsidRPr="00923985" w:rsidSect="00CC38F7">
      <w:headerReference w:type="even" r:id="rId11"/>
      <w:head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662A" w:rsidRDefault="0028662A" w:rsidP="0028662A">
      <w:r>
        <w:separator/>
      </w:r>
    </w:p>
  </w:endnote>
  <w:endnote w:type="continuationSeparator" w:id="0">
    <w:p w:rsidR="0028662A" w:rsidRDefault="0028662A" w:rsidP="00286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662A" w:rsidRDefault="0028662A" w:rsidP="0028662A">
      <w:r>
        <w:separator/>
      </w:r>
    </w:p>
  </w:footnote>
  <w:footnote w:type="continuationSeparator" w:id="0">
    <w:p w:rsidR="0028662A" w:rsidRDefault="0028662A" w:rsidP="0028662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662A" w:rsidRDefault="0028662A">
    <w:pPr>
      <w:pStyle w:val="Header"/>
    </w:pPr>
    <w:sdt>
      <w:sdtPr>
        <w:id w:val="171999623"/>
        <w:placeholder>
          <w:docPart w:val="46CF40125315C34FA11A4B418F3ADEBF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E83AA7FE6D5A314C8E4530A6A481DB42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88ABB6BFF1304F4CAC6BDD8857E78231"/>
        </w:placeholder>
        <w:temporary/>
        <w:showingPlcHdr/>
      </w:sdtPr>
      <w:sdtContent>
        <w:r>
          <w:t>[Type text]</w:t>
        </w:r>
      </w:sdtContent>
    </w:sdt>
  </w:p>
  <w:p w:rsidR="0028662A" w:rsidRDefault="0028662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662A" w:rsidRDefault="0028662A">
    <w:pPr>
      <w:pStyle w:val="Header"/>
    </w:pPr>
    <w:r>
      <w:t>CS575</w:t>
    </w:r>
    <w:r>
      <w:tab/>
    </w:r>
    <w:r>
      <w:t>Introduction to Parallel Programming</w:t>
    </w:r>
    <w:r>
      <w:ptab w:relativeTo="margin" w:alignment="right" w:leader="none"/>
    </w:r>
    <w:r>
      <w:t>Aashwin Vats</w:t>
    </w:r>
  </w:p>
  <w:p w:rsidR="0028662A" w:rsidRDefault="0028662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631681"/>
    <w:multiLevelType w:val="multilevel"/>
    <w:tmpl w:val="014C0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A04"/>
    <w:rsid w:val="0028662A"/>
    <w:rsid w:val="004547A3"/>
    <w:rsid w:val="0067415C"/>
    <w:rsid w:val="006E05F3"/>
    <w:rsid w:val="00923985"/>
    <w:rsid w:val="00951C30"/>
    <w:rsid w:val="00CC38F7"/>
    <w:rsid w:val="00F07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F8C8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07A04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07A04"/>
    <w:rPr>
      <w:rFonts w:ascii="Times New Roman" w:hAnsi="Times New Roman" w:cs="Times New Roman"/>
      <w:b/>
      <w:bCs/>
      <w:sz w:val="27"/>
      <w:szCs w:val="27"/>
    </w:rPr>
  </w:style>
  <w:style w:type="paragraph" w:styleId="Title">
    <w:name w:val="Title"/>
    <w:basedOn w:val="Normal"/>
    <w:next w:val="Normal"/>
    <w:link w:val="TitleChar"/>
    <w:uiPriority w:val="10"/>
    <w:qFormat/>
    <w:rsid w:val="00F07A0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7A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MediumList2-Accent5">
    <w:name w:val="Medium List 2 Accent 5"/>
    <w:basedOn w:val="TableNormal"/>
    <w:uiPriority w:val="66"/>
    <w:rsid w:val="00951C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023004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023004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023004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023004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023004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3-Accent5">
    <w:name w:val="Medium Grid 3 Accent 5"/>
    <w:basedOn w:val="TableNormal"/>
    <w:uiPriority w:val="69"/>
    <w:rsid w:val="00951C30"/>
    <w:tblPr>
      <w:tblStyleRowBandSize w:val="1"/>
      <w:tblStyleColBandSize w:val="1"/>
      <w:tblInd w:w="0" w:type="dxa"/>
      <w:tblBorders>
        <w:top w:val="single" w:sz="8" w:space="0" w:color="023004" w:themeColor="background1"/>
        <w:left w:val="single" w:sz="8" w:space="0" w:color="023004" w:themeColor="background1"/>
        <w:bottom w:val="single" w:sz="8" w:space="0" w:color="023004" w:themeColor="background1"/>
        <w:right w:val="single" w:sz="8" w:space="0" w:color="023004" w:themeColor="background1"/>
        <w:insideH w:val="single" w:sz="6" w:space="0" w:color="023004" w:themeColor="background1"/>
        <w:insideV w:val="single" w:sz="6" w:space="0" w:color="023004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023004" w:themeColor="background1"/>
      </w:rPr>
      <w:tblPr/>
      <w:tcPr>
        <w:tcBorders>
          <w:top w:val="single" w:sz="8" w:space="0" w:color="023004" w:themeColor="background1"/>
          <w:left w:val="single" w:sz="8" w:space="0" w:color="023004" w:themeColor="background1"/>
          <w:bottom w:val="single" w:sz="24" w:space="0" w:color="023004" w:themeColor="background1"/>
          <w:right w:val="single" w:sz="8" w:space="0" w:color="023004" w:themeColor="background1"/>
          <w:insideH w:val="nil"/>
          <w:insideV w:val="single" w:sz="8" w:space="0" w:color="023004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023004" w:themeColor="background1"/>
      </w:rPr>
      <w:tblPr/>
      <w:tcPr>
        <w:tcBorders>
          <w:top w:val="single" w:sz="24" w:space="0" w:color="023004" w:themeColor="background1"/>
          <w:left w:val="single" w:sz="8" w:space="0" w:color="023004" w:themeColor="background1"/>
          <w:bottom w:val="single" w:sz="8" w:space="0" w:color="023004" w:themeColor="background1"/>
          <w:right w:val="single" w:sz="8" w:space="0" w:color="023004" w:themeColor="background1"/>
          <w:insideH w:val="nil"/>
          <w:insideV w:val="single" w:sz="8" w:space="0" w:color="023004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023004" w:themeColor="background1"/>
      </w:rPr>
      <w:tblPr/>
      <w:tcPr>
        <w:tcBorders>
          <w:left w:val="single" w:sz="8" w:space="0" w:color="023004" w:themeColor="background1"/>
          <w:right w:val="single" w:sz="24" w:space="0" w:color="023004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023004" w:themeColor="background1"/>
      </w:rPr>
      <w:tblPr/>
      <w:tcPr>
        <w:tcBorders>
          <w:top w:val="nil"/>
          <w:left w:val="single" w:sz="24" w:space="0" w:color="023004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023004" w:themeColor="background1"/>
          <w:left w:val="single" w:sz="8" w:space="0" w:color="023004" w:themeColor="background1"/>
          <w:bottom w:val="single" w:sz="8" w:space="0" w:color="023004" w:themeColor="background1"/>
          <w:right w:val="single" w:sz="8" w:space="0" w:color="023004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023004" w:themeColor="background1"/>
          <w:left w:val="single" w:sz="8" w:space="0" w:color="023004" w:themeColor="background1"/>
          <w:bottom w:val="single" w:sz="8" w:space="0" w:color="023004" w:themeColor="background1"/>
          <w:right w:val="single" w:sz="8" w:space="0" w:color="023004" w:themeColor="background1"/>
          <w:insideH w:val="single" w:sz="8" w:space="0" w:color="023004" w:themeColor="background1"/>
          <w:insideV w:val="single" w:sz="8" w:space="0" w:color="023004" w:themeColor="background1"/>
        </w:tcBorders>
        <w:shd w:val="clear" w:color="auto" w:fill="A5D5E2" w:themeFill="accent5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51C3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C3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E05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662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662A"/>
  </w:style>
  <w:style w:type="paragraph" w:styleId="Footer">
    <w:name w:val="footer"/>
    <w:basedOn w:val="Normal"/>
    <w:link w:val="FooterChar"/>
    <w:uiPriority w:val="99"/>
    <w:unhideWhenUsed/>
    <w:rsid w:val="0028662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662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07A04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07A04"/>
    <w:rPr>
      <w:rFonts w:ascii="Times New Roman" w:hAnsi="Times New Roman" w:cs="Times New Roman"/>
      <w:b/>
      <w:bCs/>
      <w:sz w:val="27"/>
      <w:szCs w:val="27"/>
    </w:rPr>
  </w:style>
  <w:style w:type="paragraph" w:styleId="Title">
    <w:name w:val="Title"/>
    <w:basedOn w:val="Normal"/>
    <w:next w:val="Normal"/>
    <w:link w:val="TitleChar"/>
    <w:uiPriority w:val="10"/>
    <w:qFormat/>
    <w:rsid w:val="00F07A0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7A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MediumList2-Accent5">
    <w:name w:val="Medium List 2 Accent 5"/>
    <w:basedOn w:val="TableNormal"/>
    <w:uiPriority w:val="66"/>
    <w:rsid w:val="00951C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023004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023004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023004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023004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023004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3-Accent5">
    <w:name w:val="Medium Grid 3 Accent 5"/>
    <w:basedOn w:val="TableNormal"/>
    <w:uiPriority w:val="69"/>
    <w:rsid w:val="00951C30"/>
    <w:tblPr>
      <w:tblStyleRowBandSize w:val="1"/>
      <w:tblStyleColBandSize w:val="1"/>
      <w:tblInd w:w="0" w:type="dxa"/>
      <w:tblBorders>
        <w:top w:val="single" w:sz="8" w:space="0" w:color="023004" w:themeColor="background1"/>
        <w:left w:val="single" w:sz="8" w:space="0" w:color="023004" w:themeColor="background1"/>
        <w:bottom w:val="single" w:sz="8" w:space="0" w:color="023004" w:themeColor="background1"/>
        <w:right w:val="single" w:sz="8" w:space="0" w:color="023004" w:themeColor="background1"/>
        <w:insideH w:val="single" w:sz="6" w:space="0" w:color="023004" w:themeColor="background1"/>
        <w:insideV w:val="single" w:sz="6" w:space="0" w:color="023004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023004" w:themeColor="background1"/>
      </w:rPr>
      <w:tblPr/>
      <w:tcPr>
        <w:tcBorders>
          <w:top w:val="single" w:sz="8" w:space="0" w:color="023004" w:themeColor="background1"/>
          <w:left w:val="single" w:sz="8" w:space="0" w:color="023004" w:themeColor="background1"/>
          <w:bottom w:val="single" w:sz="24" w:space="0" w:color="023004" w:themeColor="background1"/>
          <w:right w:val="single" w:sz="8" w:space="0" w:color="023004" w:themeColor="background1"/>
          <w:insideH w:val="nil"/>
          <w:insideV w:val="single" w:sz="8" w:space="0" w:color="023004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023004" w:themeColor="background1"/>
      </w:rPr>
      <w:tblPr/>
      <w:tcPr>
        <w:tcBorders>
          <w:top w:val="single" w:sz="24" w:space="0" w:color="023004" w:themeColor="background1"/>
          <w:left w:val="single" w:sz="8" w:space="0" w:color="023004" w:themeColor="background1"/>
          <w:bottom w:val="single" w:sz="8" w:space="0" w:color="023004" w:themeColor="background1"/>
          <w:right w:val="single" w:sz="8" w:space="0" w:color="023004" w:themeColor="background1"/>
          <w:insideH w:val="nil"/>
          <w:insideV w:val="single" w:sz="8" w:space="0" w:color="023004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023004" w:themeColor="background1"/>
      </w:rPr>
      <w:tblPr/>
      <w:tcPr>
        <w:tcBorders>
          <w:left w:val="single" w:sz="8" w:space="0" w:color="023004" w:themeColor="background1"/>
          <w:right w:val="single" w:sz="24" w:space="0" w:color="023004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023004" w:themeColor="background1"/>
      </w:rPr>
      <w:tblPr/>
      <w:tcPr>
        <w:tcBorders>
          <w:top w:val="nil"/>
          <w:left w:val="single" w:sz="24" w:space="0" w:color="023004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023004" w:themeColor="background1"/>
          <w:left w:val="single" w:sz="8" w:space="0" w:color="023004" w:themeColor="background1"/>
          <w:bottom w:val="single" w:sz="8" w:space="0" w:color="023004" w:themeColor="background1"/>
          <w:right w:val="single" w:sz="8" w:space="0" w:color="023004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023004" w:themeColor="background1"/>
          <w:left w:val="single" w:sz="8" w:space="0" w:color="023004" w:themeColor="background1"/>
          <w:bottom w:val="single" w:sz="8" w:space="0" w:color="023004" w:themeColor="background1"/>
          <w:right w:val="single" w:sz="8" w:space="0" w:color="023004" w:themeColor="background1"/>
          <w:insideH w:val="single" w:sz="8" w:space="0" w:color="023004" w:themeColor="background1"/>
          <w:insideV w:val="single" w:sz="8" w:space="0" w:color="023004" w:themeColor="background1"/>
        </w:tcBorders>
        <w:shd w:val="clear" w:color="auto" w:fill="A5D5E2" w:themeFill="accent5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51C3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C3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E05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662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662A"/>
  </w:style>
  <w:style w:type="paragraph" w:styleId="Footer">
    <w:name w:val="footer"/>
    <w:basedOn w:val="Normal"/>
    <w:link w:val="FooterChar"/>
    <w:uiPriority w:val="99"/>
    <w:unhideWhenUsed/>
    <w:rsid w:val="0028662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66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hart" Target="charts/chart1.xml"/><Relationship Id="rId10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Workbook2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Workbook2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Performance vs NUMTRIALS</a:t>
            </a:r>
          </a:p>
        </c:rich>
      </c:tx>
      <c:layout/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Sheet1!$C$9</c:f>
              <c:strCache>
                <c:ptCount val="1"/>
                <c:pt idx="0">
                  <c:v>16</c:v>
                </c:pt>
              </c:strCache>
            </c:strRef>
          </c:tx>
          <c:xVal>
            <c:strRef>
              <c:f>Sheet1!$D$8:$I$8</c:f>
              <c:strCache>
                <c:ptCount val="6"/>
                <c:pt idx="0">
                  <c:v>16K</c:v>
                </c:pt>
                <c:pt idx="1">
                  <c:v>32K</c:v>
                </c:pt>
                <c:pt idx="2">
                  <c:v>64K</c:v>
                </c:pt>
                <c:pt idx="3">
                  <c:v>128K</c:v>
                </c:pt>
                <c:pt idx="4">
                  <c:v>256K</c:v>
                </c:pt>
                <c:pt idx="5">
                  <c:v>512K</c:v>
                </c:pt>
              </c:strCache>
            </c:strRef>
          </c:xVal>
          <c:yVal>
            <c:numRef>
              <c:f>Sheet1!$D$9:$I$9</c:f>
              <c:numCache>
                <c:formatCode>General</c:formatCode>
                <c:ptCount val="6"/>
                <c:pt idx="0">
                  <c:v>137.82</c:v>
                </c:pt>
                <c:pt idx="1">
                  <c:v>236.33</c:v>
                </c:pt>
                <c:pt idx="2">
                  <c:v>385.25</c:v>
                </c:pt>
                <c:pt idx="3">
                  <c:v>563.95</c:v>
                </c:pt>
                <c:pt idx="4">
                  <c:v>727.66</c:v>
                </c:pt>
                <c:pt idx="5">
                  <c:v>856.05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Sheet1!$C$10</c:f>
              <c:strCache>
                <c:ptCount val="1"/>
                <c:pt idx="0">
                  <c:v>32</c:v>
                </c:pt>
              </c:strCache>
            </c:strRef>
          </c:tx>
          <c:xVal>
            <c:strRef>
              <c:f>Sheet1!$D$8:$I$8</c:f>
              <c:strCache>
                <c:ptCount val="6"/>
                <c:pt idx="0">
                  <c:v>16K</c:v>
                </c:pt>
                <c:pt idx="1">
                  <c:v>32K</c:v>
                </c:pt>
                <c:pt idx="2">
                  <c:v>64K</c:v>
                </c:pt>
                <c:pt idx="3">
                  <c:v>128K</c:v>
                </c:pt>
                <c:pt idx="4">
                  <c:v>256K</c:v>
                </c:pt>
                <c:pt idx="5">
                  <c:v>512K</c:v>
                </c:pt>
              </c:strCache>
            </c:strRef>
          </c:xVal>
          <c:yVal>
            <c:numRef>
              <c:f>Sheet1!$D$10:$I$10</c:f>
              <c:numCache>
                <c:formatCode>General</c:formatCode>
                <c:ptCount val="6"/>
                <c:pt idx="0">
                  <c:v>148.19</c:v>
                </c:pt>
                <c:pt idx="1">
                  <c:v>267.78</c:v>
                </c:pt>
                <c:pt idx="2">
                  <c:v>456.94</c:v>
                </c:pt>
                <c:pt idx="3">
                  <c:v>754.61</c:v>
                </c:pt>
                <c:pt idx="4">
                  <c:v>1078.04</c:v>
                </c:pt>
                <c:pt idx="5">
                  <c:v>1335.29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Sheet1!$C$11</c:f>
              <c:strCache>
                <c:ptCount val="1"/>
                <c:pt idx="0">
                  <c:v>64</c:v>
                </c:pt>
              </c:strCache>
            </c:strRef>
          </c:tx>
          <c:xVal>
            <c:strRef>
              <c:f>Sheet1!$D$8:$I$8</c:f>
              <c:strCache>
                <c:ptCount val="6"/>
                <c:pt idx="0">
                  <c:v>16K</c:v>
                </c:pt>
                <c:pt idx="1">
                  <c:v>32K</c:v>
                </c:pt>
                <c:pt idx="2">
                  <c:v>64K</c:v>
                </c:pt>
                <c:pt idx="3">
                  <c:v>128K</c:v>
                </c:pt>
                <c:pt idx="4">
                  <c:v>256K</c:v>
                </c:pt>
                <c:pt idx="5">
                  <c:v>512K</c:v>
                </c:pt>
              </c:strCache>
            </c:strRef>
          </c:xVal>
          <c:yVal>
            <c:numRef>
              <c:f>Sheet1!$D$11:$I$11</c:f>
              <c:numCache>
                <c:formatCode>General</c:formatCode>
                <c:ptCount val="6"/>
                <c:pt idx="0">
                  <c:v>149.58</c:v>
                </c:pt>
                <c:pt idx="1">
                  <c:v>284.52</c:v>
                </c:pt>
                <c:pt idx="2">
                  <c:v>549.21</c:v>
                </c:pt>
                <c:pt idx="3">
                  <c:v>885.24</c:v>
                </c:pt>
                <c:pt idx="4">
                  <c:v>1344.49</c:v>
                </c:pt>
                <c:pt idx="5">
                  <c:v>1982.1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08429640"/>
        <c:axId val="-2107736632"/>
      </c:scatterChart>
      <c:valAx>
        <c:axId val="-210842964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NUMTRIALS</a:t>
                </a:r>
              </a:p>
            </c:rich>
          </c:tx>
          <c:layout/>
          <c:overlay val="0"/>
        </c:title>
        <c:majorTickMark val="out"/>
        <c:minorTickMark val="none"/>
        <c:tickLblPos val="nextTo"/>
        <c:crossAx val="-2107736632"/>
        <c:crosses val="autoZero"/>
        <c:crossBetween val="midCat"/>
      </c:valAx>
      <c:valAx>
        <c:axId val="-210773663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900"/>
                </a:pPr>
                <a:r>
                  <a:rPr lang="en-US" sz="900"/>
                  <a:t>PERFORMANCE(</a:t>
                </a:r>
                <a:r>
                  <a:rPr lang="en-US" sz="900" b="1" i="0" u="none" strike="noStrike" baseline="0" smtClean="0"/>
                  <a:t>MegaTrials/Second</a:t>
                </a:r>
                <a:r>
                  <a:rPr lang="en-US" sz="900"/>
                  <a:t>)</a:t>
                </a:r>
              </a:p>
            </c:rich>
          </c:tx>
          <c:layout>
            <c:manualLayout>
              <c:xMode val="edge"/>
              <c:yMode val="edge"/>
              <c:x val="0.0305555555555555"/>
              <c:y val="0.123148148148148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-2108429640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Performance vs BLOCKSIZE</a:t>
            </a:r>
          </a:p>
        </c:rich>
      </c:tx>
      <c:layout/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Sheet1!$D$8</c:f>
              <c:strCache>
                <c:ptCount val="1"/>
                <c:pt idx="0">
                  <c:v>16K</c:v>
                </c:pt>
              </c:strCache>
            </c:strRef>
          </c:tx>
          <c:xVal>
            <c:numRef>
              <c:f>Sheet1!$C$9:$C$11</c:f>
              <c:numCache>
                <c:formatCode>General</c:formatCode>
                <c:ptCount val="3"/>
                <c:pt idx="0">
                  <c:v>16.0</c:v>
                </c:pt>
                <c:pt idx="1">
                  <c:v>32.0</c:v>
                </c:pt>
                <c:pt idx="2">
                  <c:v>64.0</c:v>
                </c:pt>
              </c:numCache>
            </c:numRef>
          </c:xVal>
          <c:yVal>
            <c:numRef>
              <c:f>Sheet1!$D$9:$D$11</c:f>
              <c:numCache>
                <c:formatCode>General</c:formatCode>
                <c:ptCount val="3"/>
                <c:pt idx="0">
                  <c:v>137.82</c:v>
                </c:pt>
                <c:pt idx="1">
                  <c:v>148.19</c:v>
                </c:pt>
                <c:pt idx="2">
                  <c:v>149.58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Sheet1!$E$8</c:f>
              <c:strCache>
                <c:ptCount val="1"/>
                <c:pt idx="0">
                  <c:v>32K</c:v>
                </c:pt>
              </c:strCache>
            </c:strRef>
          </c:tx>
          <c:xVal>
            <c:numRef>
              <c:f>Sheet1!$C$9:$C$11</c:f>
              <c:numCache>
                <c:formatCode>General</c:formatCode>
                <c:ptCount val="3"/>
                <c:pt idx="0">
                  <c:v>16.0</c:v>
                </c:pt>
                <c:pt idx="1">
                  <c:v>32.0</c:v>
                </c:pt>
                <c:pt idx="2">
                  <c:v>64.0</c:v>
                </c:pt>
              </c:numCache>
            </c:numRef>
          </c:xVal>
          <c:yVal>
            <c:numRef>
              <c:f>Sheet1!$E$9:$E$11</c:f>
              <c:numCache>
                <c:formatCode>General</c:formatCode>
                <c:ptCount val="3"/>
                <c:pt idx="0">
                  <c:v>236.33</c:v>
                </c:pt>
                <c:pt idx="1">
                  <c:v>267.78</c:v>
                </c:pt>
                <c:pt idx="2">
                  <c:v>284.52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Sheet1!$F$8</c:f>
              <c:strCache>
                <c:ptCount val="1"/>
                <c:pt idx="0">
                  <c:v>64K</c:v>
                </c:pt>
              </c:strCache>
            </c:strRef>
          </c:tx>
          <c:xVal>
            <c:numRef>
              <c:f>Sheet1!$C$9:$C$11</c:f>
              <c:numCache>
                <c:formatCode>General</c:formatCode>
                <c:ptCount val="3"/>
                <c:pt idx="0">
                  <c:v>16.0</c:v>
                </c:pt>
                <c:pt idx="1">
                  <c:v>32.0</c:v>
                </c:pt>
                <c:pt idx="2">
                  <c:v>64.0</c:v>
                </c:pt>
              </c:numCache>
            </c:numRef>
          </c:xVal>
          <c:yVal>
            <c:numRef>
              <c:f>Sheet1!$F$9:$F$11</c:f>
              <c:numCache>
                <c:formatCode>General</c:formatCode>
                <c:ptCount val="3"/>
                <c:pt idx="0">
                  <c:v>385.25</c:v>
                </c:pt>
                <c:pt idx="1">
                  <c:v>456.94</c:v>
                </c:pt>
                <c:pt idx="2">
                  <c:v>549.21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Sheet1!$G$8</c:f>
              <c:strCache>
                <c:ptCount val="1"/>
                <c:pt idx="0">
                  <c:v>128K</c:v>
                </c:pt>
              </c:strCache>
            </c:strRef>
          </c:tx>
          <c:xVal>
            <c:numRef>
              <c:f>Sheet1!$C$9:$C$11</c:f>
              <c:numCache>
                <c:formatCode>General</c:formatCode>
                <c:ptCount val="3"/>
                <c:pt idx="0">
                  <c:v>16.0</c:v>
                </c:pt>
                <c:pt idx="1">
                  <c:v>32.0</c:v>
                </c:pt>
                <c:pt idx="2">
                  <c:v>64.0</c:v>
                </c:pt>
              </c:numCache>
            </c:numRef>
          </c:xVal>
          <c:yVal>
            <c:numRef>
              <c:f>Sheet1!$G$9:$G$11</c:f>
              <c:numCache>
                <c:formatCode>General</c:formatCode>
                <c:ptCount val="3"/>
                <c:pt idx="0">
                  <c:v>563.95</c:v>
                </c:pt>
                <c:pt idx="1">
                  <c:v>754.61</c:v>
                </c:pt>
                <c:pt idx="2">
                  <c:v>885.24</c:v>
                </c:pt>
              </c:numCache>
            </c:numRef>
          </c:yVal>
          <c:smooth val="1"/>
        </c:ser>
        <c:ser>
          <c:idx val="4"/>
          <c:order val="4"/>
          <c:tx>
            <c:strRef>
              <c:f>Sheet1!$H$8</c:f>
              <c:strCache>
                <c:ptCount val="1"/>
                <c:pt idx="0">
                  <c:v>256K</c:v>
                </c:pt>
              </c:strCache>
            </c:strRef>
          </c:tx>
          <c:xVal>
            <c:numRef>
              <c:f>Sheet1!$C$9:$C$11</c:f>
              <c:numCache>
                <c:formatCode>General</c:formatCode>
                <c:ptCount val="3"/>
                <c:pt idx="0">
                  <c:v>16.0</c:v>
                </c:pt>
                <c:pt idx="1">
                  <c:v>32.0</c:v>
                </c:pt>
                <c:pt idx="2">
                  <c:v>64.0</c:v>
                </c:pt>
              </c:numCache>
            </c:numRef>
          </c:xVal>
          <c:yVal>
            <c:numRef>
              <c:f>Sheet1!$H$9:$H$11</c:f>
              <c:numCache>
                <c:formatCode>General</c:formatCode>
                <c:ptCount val="3"/>
                <c:pt idx="0">
                  <c:v>727.66</c:v>
                </c:pt>
                <c:pt idx="1">
                  <c:v>1078.04</c:v>
                </c:pt>
                <c:pt idx="2">
                  <c:v>1344.49</c:v>
                </c:pt>
              </c:numCache>
            </c:numRef>
          </c:yVal>
          <c:smooth val="1"/>
        </c:ser>
        <c:ser>
          <c:idx val="5"/>
          <c:order val="5"/>
          <c:tx>
            <c:strRef>
              <c:f>Sheet1!$I$8</c:f>
              <c:strCache>
                <c:ptCount val="1"/>
                <c:pt idx="0">
                  <c:v>512K</c:v>
                </c:pt>
              </c:strCache>
            </c:strRef>
          </c:tx>
          <c:xVal>
            <c:numRef>
              <c:f>Sheet1!$C$9:$C$11</c:f>
              <c:numCache>
                <c:formatCode>General</c:formatCode>
                <c:ptCount val="3"/>
                <c:pt idx="0">
                  <c:v>16.0</c:v>
                </c:pt>
                <c:pt idx="1">
                  <c:v>32.0</c:v>
                </c:pt>
                <c:pt idx="2">
                  <c:v>64.0</c:v>
                </c:pt>
              </c:numCache>
            </c:numRef>
          </c:xVal>
          <c:yVal>
            <c:numRef>
              <c:f>Sheet1!$I$9:$I$11</c:f>
              <c:numCache>
                <c:formatCode>General</c:formatCode>
                <c:ptCount val="3"/>
                <c:pt idx="0">
                  <c:v>856.05</c:v>
                </c:pt>
                <c:pt idx="1">
                  <c:v>1335.29</c:v>
                </c:pt>
                <c:pt idx="2">
                  <c:v>1982.1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07941368"/>
        <c:axId val="-2107533224"/>
      </c:scatterChart>
      <c:valAx>
        <c:axId val="-210794136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BLOCKSIZE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-2107533224"/>
        <c:crosses val="autoZero"/>
        <c:crossBetween val="midCat"/>
      </c:valAx>
      <c:valAx>
        <c:axId val="-210753322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900"/>
                </a:pPr>
                <a:r>
                  <a:rPr lang="en-US" sz="900" b="1" i="0" baseline="0">
                    <a:effectLst/>
                  </a:rPr>
                  <a:t>PERFORMANCE(MegaTrials/Second)</a:t>
                </a:r>
                <a:endParaRPr lang="en-US" sz="900">
                  <a:effectLst/>
                </a:endParaRPr>
              </a:p>
            </c:rich>
          </c:tx>
          <c:layout>
            <c:manualLayout>
              <c:xMode val="edge"/>
              <c:yMode val="edge"/>
              <c:x val="0.0194444444444444"/>
              <c:y val="0.197464275298921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-2107941368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6CF40125315C34FA11A4B418F3AD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9A2434-B22A-C345-A68C-B2297918461D}"/>
      </w:docPartPr>
      <w:docPartBody>
        <w:p w:rsidR="00000000" w:rsidRDefault="004D084E" w:rsidP="004D084E">
          <w:pPr>
            <w:pStyle w:val="46CF40125315C34FA11A4B418F3ADEBF"/>
          </w:pPr>
          <w:r>
            <w:t>[Type text]</w:t>
          </w:r>
        </w:p>
      </w:docPartBody>
    </w:docPart>
    <w:docPart>
      <w:docPartPr>
        <w:name w:val="E83AA7FE6D5A314C8E4530A6A481DB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3D0A72-8687-D84E-BF44-93A0662E694F}"/>
      </w:docPartPr>
      <w:docPartBody>
        <w:p w:rsidR="00000000" w:rsidRDefault="004D084E" w:rsidP="004D084E">
          <w:pPr>
            <w:pStyle w:val="E83AA7FE6D5A314C8E4530A6A481DB42"/>
          </w:pPr>
          <w:r>
            <w:t>[Type text]</w:t>
          </w:r>
        </w:p>
      </w:docPartBody>
    </w:docPart>
    <w:docPart>
      <w:docPartPr>
        <w:name w:val="88ABB6BFF1304F4CAC6BDD8857E782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F840FE-7A4C-D84D-8A82-69C7F8B58D4C}"/>
      </w:docPartPr>
      <w:docPartBody>
        <w:p w:rsidR="00000000" w:rsidRDefault="004D084E" w:rsidP="004D084E">
          <w:pPr>
            <w:pStyle w:val="88ABB6BFF1304F4CAC6BDD8857E78231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84E"/>
    <w:rsid w:val="004D0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CF40125315C34FA11A4B418F3ADEBF">
    <w:name w:val="46CF40125315C34FA11A4B418F3ADEBF"/>
    <w:rsid w:val="004D084E"/>
  </w:style>
  <w:style w:type="paragraph" w:customStyle="1" w:styleId="E83AA7FE6D5A314C8E4530A6A481DB42">
    <w:name w:val="E83AA7FE6D5A314C8E4530A6A481DB42"/>
    <w:rsid w:val="004D084E"/>
  </w:style>
  <w:style w:type="paragraph" w:customStyle="1" w:styleId="88ABB6BFF1304F4CAC6BDD8857E78231">
    <w:name w:val="88ABB6BFF1304F4CAC6BDD8857E78231"/>
    <w:rsid w:val="004D084E"/>
  </w:style>
  <w:style w:type="paragraph" w:customStyle="1" w:styleId="5F6DC4E3B1BD6747A91FC078528A0BD7">
    <w:name w:val="5F6DC4E3B1BD6747A91FC078528A0BD7"/>
    <w:rsid w:val="004D084E"/>
  </w:style>
  <w:style w:type="paragraph" w:customStyle="1" w:styleId="2A167029A07AD2489A9C46858D7CF0F1">
    <w:name w:val="2A167029A07AD2489A9C46858D7CF0F1"/>
    <w:rsid w:val="004D084E"/>
  </w:style>
  <w:style w:type="paragraph" w:customStyle="1" w:styleId="F5F73615500A3D43B14CE6EDE47AA2E4">
    <w:name w:val="F5F73615500A3D43B14CE6EDE47AA2E4"/>
    <w:rsid w:val="004D084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CF40125315C34FA11A4B418F3ADEBF">
    <w:name w:val="46CF40125315C34FA11A4B418F3ADEBF"/>
    <w:rsid w:val="004D084E"/>
  </w:style>
  <w:style w:type="paragraph" w:customStyle="1" w:styleId="E83AA7FE6D5A314C8E4530A6A481DB42">
    <w:name w:val="E83AA7FE6D5A314C8E4530A6A481DB42"/>
    <w:rsid w:val="004D084E"/>
  </w:style>
  <w:style w:type="paragraph" w:customStyle="1" w:styleId="88ABB6BFF1304F4CAC6BDD8857E78231">
    <w:name w:val="88ABB6BFF1304F4CAC6BDD8857E78231"/>
    <w:rsid w:val="004D084E"/>
  </w:style>
  <w:style w:type="paragraph" w:customStyle="1" w:styleId="5F6DC4E3B1BD6747A91FC078528A0BD7">
    <w:name w:val="5F6DC4E3B1BD6747A91FC078528A0BD7"/>
    <w:rsid w:val="004D084E"/>
  </w:style>
  <w:style w:type="paragraph" w:customStyle="1" w:styleId="2A167029A07AD2489A9C46858D7CF0F1">
    <w:name w:val="2A167029A07AD2489A9C46858D7CF0F1"/>
    <w:rsid w:val="004D084E"/>
  </w:style>
  <w:style w:type="paragraph" w:customStyle="1" w:styleId="F5F73615500A3D43B14CE6EDE47AA2E4">
    <w:name w:val="F5F73615500A3D43B14CE6EDE47AA2E4"/>
    <w:rsid w:val="004D08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F9079F0-BA93-E74E-A8B3-1B1D844A2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267</Words>
  <Characters>1522</Characters>
  <Application>Microsoft Macintosh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AASHWIN VATS</dc:creator>
  <cp:keywords/>
  <dc:description/>
  <cp:lastModifiedBy>AASHWIN VATS</cp:lastModifiedBy>
  <cp:revision>1</cp:revision>
  <dcterms:created xsi:type="dcterms:W3CDTF">2019-06-01T19:51:00Z</dcterms:created>
  <dcterms:modified xsi:type="dcterms:W3CDTF">2019-06-01T21:00:00Z</dcterms:modified>
</cp:coreProperties>
</file>