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C757D"/>
          <w:sz w:val="17"/>
        </w:rPr>
        <w:t>Project Code: Minor_Project_COM-711 | Task ID: COM71115-3</w:t>
        <w:br/>
        <w:t>Date: October 2026</w:t>
      </w:r>
    </w:p>
    <w:p>
      <w:pPr>
        <w:spacing w:before="80" w:after="40"/>
      </w:pPr>
      <w:r>
        <w:rPr>
          <w:rFonts w:ascii="Arial" w:hAnsi="Arial"/>
          <w:b/>
          <w:color w:val="1B365D"/>
          <w:sz w:val="40"/>
        </w:rPr>
        <w:t>WEEK 1 TECHNICAL PROGRESS REPORT</w:t>
      </w:r>
    </w:p>
    <w:p>
      <w:pPr>
        <w:spacing w:before="0" w:after="280"/>
      </w:pPr>
      <w:r>
        <w:rPr>
          <w:rFonts w:ascii="Arial" w:hAnsi="Arial"/>
          <w:b/>
          <w:color w:val="4682B4"/>
          <w:sz w:val="22"/>
        </w:rPr>
        <w:t>Project Setup and Data Source Identification</w:t>
        <w:br/>
        <w:t>Course: COM-711 (Minor Project) | Academic Session 2026-2027</w:t>
      </w:r>
    </w:p>
    <w:p>
      <w:pPr>
        <w:spacing w:before="0" w:after="240"/>
        <w:pBdr>
          <w:bottom w:val="single" w:sz="12" w:space="1" w:color="1B365D"/>
        </w:pBdr>
      </w:pPr>
    </w:p>
    <w:p>
      <w:pPr>
        <w:keepNext/>
        <w:spacing w:before="280" w:after="80"/>
      </w:pPr>
      <w:r>
        <w:rPr>
          <w:rFonts w:ascii="Arial" w:hAnsi="Arial"/>
          <w:b/>
          <w:color w:val="1B365D"/>
          <w:sz w:val="26"/>
        </w:rPr>
        <w:t>1. Executive Summary &amp; Objective</w:t>
      </w:r>
    </w:p>
    <w:p>
      <w:pPr>
        <w:spacing w:before="40" w:after="80" w:line="276" w:lineRule="auto"/>
      </w:pPr>
      <w:r>
        <w:rPr>
          <w:rFonts w:ascii="Arial" w:hAnsi="Arial"/>
          <w:color w:val="212529"/>
          <w:sz w:val="20"/>
        </w:rPr>
        <w:t>The primary objective of Week 1 was to establish the software engineering repository, configure Git version control, execute an exhaustive reproducible audit of the supplied property dataset, investigate access methods and terms of service across all seven public data sources specified in the project synopsis, and formalize the canonical 35-variable data dictionary.</w:t>
      </w:r>
    </w:p>
    <w:p>
      <w:pPr>
        <w:spacing w:before="40" w:after="80" w:line="276" w:lineRule="auto"/>
      </w:pPr>
      <w:r>
        <w:rPr>
          <w:rFonts w:ascii="Arial" w:hAnsi="Arial"/>
          <w:color w:val="212529"/>
          <w:sz w:val="20"/>
        </w:rPr>
        <w:t>During this week, the engineering team set up the repository architecture with clear raw, interim, and processed data boundaries; ingested and mathematically audited 1,200 property records across 36 canonical Jammu localities; probed real-world web endpoints; and established an empirical baseline for data ingestion without relying on speculative assumptions or invented figures.</w:t>
      </w:r>
    </w:p>
    <w:p>
      <w:pPr>
        <w:keepNext/>
        <w:spacing w:before="280" w:after="80"/>
      </w:pPr>
      <w:r>
        <w:rPr>
          <w:rFonts w:ascii="Arial" w:hAnsi="Arial"/>
          <w:b/>
          <w:color w:val="1B365D"/>
          <w:sz w:val="26"/>
        </w:rPr>
        <w:t>2. Original Assigned Group Tasks (Task ID: COM71115-3)</w:t>
      </w:r>
    </w:p>
    <w:p>
      <w:pPr>
        <w:spacing w:before="40" w:after="80" w:line="276" w:lineRule="auto"/>
      </w:pPr>
      <w:r>
        <w:rPr>
          <w:rFonts w:ascii="Arial" w:hAnsi="Arial"/>
          <w:b/>
          <w:color w:val="212529"/>
          <w:sz w:val="20"/>
        </w:rPr>
        <w:t xml:space="preserve">• </w:t>
      </w:r>
      <w:r>
        <w:rPr>
          <w:rFonts w:ascii="Arial" w:hAnsi="Arial"/>
          <w:color w:val="212529"/>
          <w:sz w:val="20"/>
        </w:rPr>
        <w:t>Task 1: Set up Git repository and project structure.</w:t>
      </w:r>
    </w:p>
    <w:p>
      <w:pPr>
        <w:spacing w:before="40" w:after="80" w:line="276" w:lineRule="auto"/>
      </w:pPr>
      <w:r>
        <w:rPr>
          <w:rFonts w:ascii="Arial" w:hAnsi="Arial"/>
          <w:b/>
          <w:color w:val="212529"/>
          <w:sz w:val="20"/>
        </w:rPr>
        <w:t xml:space="preserve">• </w:t>
      </w:r>
      <w:r>
        <w:rPr>
          <w:rFonts w:ascii="Arial" w:hAnsi="Arial"/>
          <w:color w:val="212529"/>
          <w:sz w:val="20"/>
        </w:rPr>
        <w:t>Task 2: Confirm access methods for 99acres, JDA, J&amp;K RERA, JMC, Revenue Dept, SDMA, and OpenStreetMap.</w:t>
      </w:r>
    </w:p>
    <w:p>
      <w:pPr>
        <w:spacing w:before="40" w:after="80" w:line="276" w:lineRule="auto"/>
      </w:pPr>
      <w:r>
        <w:rPr>
          <w:rFonts w:ascii="Arial" w:hAnsi="Arial"/>
          <w:b/>
          <w:color w:val="212529"/>
          <w:sz w:val="20"/>
        </w:rPr>
        <w:t xml:space="preserve">• </w:t>
      </w:r>
      <w:r>
        <w:rPr>
          <w:rFonts w:ascii="Arial" w:hAnsi="Arial"/>
          <w:color w:val="212529"/>
          <w:sz w:val="20"/>
        </w:rPr>
        <w:t>Task 3: Document initial data acquisition strategy and potential challenges for each source.</w:t>
      </w:r>
    </w:p>
    <w:p>
      <w:pPr>
        <w:spacing w:before="40" w:after="80" w:line="276" w:lineRule="auto"/>
      </w:pPr>
      <w:r>
        <w:rPr>
          <w:rFonts w:ascii="Arial" w:hAnsi="Arial"/>
          <w:b/>
          <w:color w:val="212529"/>
          <w:sz w:val="20"/>
        </w:rPr>
        <w:t xml:space="preserve">• </w:t>
      </w:r>
      <w:r>
        <w:rPr>
          <w:rFonts w:ascii="Arial" w:hAnsi="Arial"/>
          <w:color w:val="212529"/>
          <w:sz w:val="20"/>
        </w:rPr>
        <w:t>Task 4: Define initial data schema based on abstract variables.</w:t>
      </w:r>
    </w:p>
    <w:p>
      <w:pPr>
        <w:keepNext/>
        <w:spacing w:before="280" w:after="80"/>
      </w:pPr>
      <w:r>
        <w:rPr>
          <w:rFonts w:ascii="Arial" w:hAnsi="Arial"/>
          <w:b/>
          <w:color w:val="1B365D"/>
          <w:sz w:val="26"/>
        </w:rPr>
        <w:t>3. Task-by-Task Execution &amp; Status Table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shd w:fill="1B365D"/>
            <w:tcMar>
              <w:top w:w="140" w:type="dxa"/>
              <w:bottom w:w="140" w:type="dxa"/>
              <w:left w:w="150" w:type="dxa"/>
              <w:right w:w="150" w:type="dxa"/>
            </w:tcMar>
          </w:tcPr>
          <w:p>
            <w:pPr>
              <w:jc w:val="left"/>
            </w:pPr>
            <w:r>
              <w:rPr>
                <w:rFonts w:ascii="Arial" w:hAnsi="Arial"/>
                <w:b/>
                <w:color w:val="FFFFFF"/>
                <w:sz w:val="19"/>
              </w:rPr>
              <w:t>Task Requirement</w:t>
            </w:r>
          </w:p>
        </w:tc>
        <w:tc>
          <w:tcPr>
            <w:tcW w:type="dxa" w:w="2880"/>
            <w:shd w:fill="1B365D"/>
            <w:tcMar>
              <w:top w:w="140" w:type="dxa"/>
              <w:bottom w:w="140" w:type="dxa"/>
              <w:left w:w="150" w:type="dxa"/>
              <w:right w:w="150" w:type="dxa"/>
            </w:tcMar>
          </w:tcPr>
          <w:p>
            <w:pPr>
              <w:jc w:val="left"/>
            </w:pPr>
            <w:r>
              <w:rPr>
                <w:rFonts w:ascii="Arial" w:hAnsi="Arial"/>
                <w:b/>
                <w:color w:val="FFFFFF"/>
                <w:sz w:val="19"/>
              </w:rPr>
              <w:t>Technical Action Taken</w:t>
            </w:r>
          </w:p>
        </w:tc>
        <w:tc>
          <w:tcPr>
            <w:tcW w:type="dxa" w:w="2160"/>
            <w:shd w:fill="1B365D"/>
            <w:tcMar>
              <w:top w:w="140" w:type="dxa"/>
              <w:bottom w:w="140" w:type="dxa"/>
              <w:left w:w="150" w:type="dxa"/>
              <w:right w:w="150" w:type="dxa"/>
            </w:tcMar>
          </w:tcPr>
          <w:p>
            <w:pPr>
              <w:jc w:val="left"/>
            </w:pPr>
            <w:r>
              <w:rPr>
                <w:rFonts w:ascii="Arial" w:hAnsi="Arial"/>
                <w:b/>
                <w:color w:val="FFFFFF"/>
                <w:sz w:val="19"/>
              </w:rPr>
              <w:t>Quantitative Outcome</w:t>
            </w:r>
          </w:p>
        </w:tc>
        <w:tc>
          <w:tcPr>
            <w:tcW w:type="dxa" w:w="2016"/>
            <w:shd w:fill="1B365D"/>
            <w:tcMar>
              <w:top w:w="140" w:type="dxa"/>
              <w:bottom w:w="140" w:type="dxa"/>
              <w:left w:w="150" w:type="dxa"/>
              <w:right w:w="150" w:type="dxa"/>
            </w:tcMar>
          </w:tcPr>
          <w:p>
            <w:pPr>
              <w:jc w:val="left"/>
            </w:pPr>
            <w:r>
              <w:rPr>
                <w:rFonts w:ascii="Arial" w:hAnsi="Arial"/>
                <w:b/>
                <w:color w:val="FFFFFF"/>
                <w:sz w:val="19"/>
              </w:rPr>
              <w:t>Evidence / Repo Artifact</w:t>
            </w:r>
          </w:p>
        </w:tc>
        <w:tc>
          <w:tcPr>
            <w:tcW w:type="dxa" w:w="1440"/>
            <w:shd w:fill="1B365D"/>
            <w:tcMar>
              <w:top w:w="140" w:type="dxa"/>
              <w:bottom w:w="140" w:type="dxa"/>
              <w:left w:w="150" w:type="dxa"/>
              <w:right w:w="150" w:type="dxa"/>
            </w:tcMar>
          </w:tcPr>
          <w:p>
            <w:pPr>
              <w:jc w:val="left"/>
            </w:pPr>
            <w:r>
              <w:rPr>
                <w:rFonts w:ascii="Arial" w:hAnsi="Arial"/>
                <w:b/>
                <w:color w:val="FFFFFF"/>
                <w:sz w:val="19"/>
              </w:rPr>
              <w:t>Status</w:t>
            </w:r>
          </w:p>
        </w:tc>
      </w:tr>
      <w:tr>
        <w:tc>
          <w:tcPr>
            <w:tcW w:type="dxa" w:w="1872"/>
            <w:shd w:fill="FFFFFF"/>
            <w:tcMar>
              <w:top w:w="100" w:type="dxa"/>
              <w:bottom w:w="100" w:type="dxa"/>
              <w:left w:w="150" w:type="dxa"/>
              <w:right w:w="150" w:type="dxa"/>
            </w:tcMar>
          </w:tcPr>
          <w:p>
            <w:pPr>
              <w:jc w:val="left"/>
            </w:pPr>
            <w:r>
              <w:rPr>
                <w:rFonts w:ascii="Arial" w:hAnsi="Arial"/>
                <w:color w:val="212529"/>
                <w:sz w:val="18"/>
              </w:rPr>
              <w:t>1. Git Repository &amp; Structure Setup</w:t>
            </w:r>
          </w:p>
        </w:tc>
        <w:tc>
          <w:tcPr>
            <w:tcW w:type="dxa" w:w="2880"/>
            <w:shd w:fill="FFFFFF"/>
            <w:tcMar>
              <w:top w:w="100" w:type="dxa"/>
              <w:bottom w:w="100" w:type="dxa"/>
              <w:left w:w="150" w:type="dxa"/>
              <w:right w:w="150" w:type="dxa"/>
            </w:tcMar>
          </w:tcPr>
          <w:p>
            <w:pPr>
              <w:jc w:val="left"/>
            </w:pPr>
            <w:r>
              <w:rPr>
                <w:rFonts w:ascii="Arial" w:hAnsi="Arial"/>
                <w:color w:val="212529"/>
                <w:sz w:val="18"/>
              </w:rPr>
              <w:t>Configured feature branch, standardized directory hierarchy (config, data/raw, data/processed, src, tests, docs), created .gitignore and requirements.txt.</w:t>
            </w:r>
          </w:p>
        </w:tc>
        <w:tc>
          <w:tcPr>
            <w:tcW w:type="dxa" w:w="2160"/>
            <w:shd w:fill="FFFFFF"/>
            <w:tcMar>
              <w:top w:w="100" w:type="dxa"/>
              <w:bottom w:w="100" w:type="dxa"/>
              <w:left w:w="150" w:type="dxa"/>
              <w:right w:w="150" w:type="dxa"/>
            </w:tcMar>
          </w:tcPr>
          <w:p>
            <w:pPr>
              <w:jc w:val="left"/>
            </w:pPr>
            <w:r>
              <w:rPr>
                <w:rFonts w:ascii="Arial" w:hAnsi="Arial"/>
                <w:color w:val="212529"/>
                <w:sz w:val="18"/>
              </w:rPr>
              <w:t>10 modular directories initialized; 8 dependencies specified; Git branch created.</w:t>
            </w:r>
          </w:p>
        </w:tc>
        <w:tc>
          <w:tcPr>
            <w:tcW w:type="dxa" w:w="2016"/>
            <w:shd w:fill="FFFFFF"/>
            <w:tcMar>
              <w:top w:w="100" w:type="dxa"/>
              <w:bottom w:w="100" w:type="dxa"/>
              <w:left w:w="150" w:type="dxa"/>
              <w:right w:w="150" w:type="dxa"/>
            </w:tcMar>
          </w:tcPr>
          <w:p>
            <w:pPr>
              <w:jc w:val="left"/>
            </w:pPr>
            <w:r>
              <w:rPr>
                <w:rFonts w:ascii="Arial" w:hAnsi="Arial"/>
                <w:color w:val="212529"/>
                <w:sz w:val="18"/>
              </w:rPr>
              <w:t>config/settings.py</w:t>
              <w:br/>
              <w:t>.gitignore</w:t>
              <w:br/>
              <w:t>requirements.txt</w:t>
            </w:r>
          </w:p>
        </w:tc>
        <w:tc>
          <w:tcPr>
            <w:tcW w:type="dxa" w:w="1440"/>
            <w:shd w:fill="FFFFFF"/>
            <w:tcMar>
              <w:top w:w="100" w:type="dxa"/>
              <w:bottom w:w="100" w:type="dxa"/>
              <w:left w:w="150" w:type="dxa"/>
              <w:right w:w="150" w:type="dxa"/>
            </w:tcMar>
          </w:tcPr>
          <w:p>
            <w:pPr>
              <w:jc w:val="left"/>
            </w:pPr>
            <w:r>
              <w:rPr>
                <w:rFonts w:ascii="Arial" w:hAnsi="Arial"/>
                <w:color w:val="212529"/>
                <w:sz w:val="18"/>
              </w:rPr>
              <w:t>COMPLETED</w:t>
            </w:r>
          </w:p>
        </w:tc>
      </w:tr>
      <w:tr>
        <w:tc>
          <w:tcPr>
            <w:tcW w:type="dxa" w:w="1872"/>
            <w:shd w:fill="F8F9FA"/>
            <w:tcMar>
              <w:top w:w="100" w:type="dxa"/>
              <w:bottom w:w="100" w:type="dxa"/>
              <w:left w:w="150" w:type="dxa"/>
              <w:right w:w="150" w:type="dxa"/>
            </w:tcMar>
          </w:tcPr>
          <w:p>
            <w:pPr>
              <w:jc w:val="left"/>
            </w:pPr>
            <w:r>
              <w:rPr>
                <w:rFonts w:ascii="Arial" w:hAnsi="Arial"/>
                <w:color w:val="212529"/>
                <w:sz w:val="18"/>
              </w:rPr>
              <w:t>2. Access Methods Confirmation</w:t>
            </w:r>
          </w:p>
        </w:tc>
        <w:tc>
          <w:tcPr>
            <w:tcW w:type="dxa" w:w="2880"/>
            <w:shd w:fill="F8F9FA"/>
            <w:tcMar>
              <w:top w:w="100" w:type="dxa"/>
              <w:bottom w:w="100" w:type="dxa"/>
              <w:left w:w="150" w:type="dxa"/>
              <w:right w:w="150" w:type="dxa"/>
            </w:tcMar>
          </w:tcPr>
          <w:p>
            <w:pPr>
              <w:jc w:val="left"/>
            </w:pPr>
            <w:r>
              <w:rPr>
                <w:rFonts w:ascii="Arial" w:hAnsi="Arial"/>
                <w:color w:val="212529"/>
                <w:sz w:val="18"/>
              </w:rPr>
              <w:t>Programmatically probed live endpoints for all 7 sources. Recorded HTTP codes, SSL behavior, latency, and robots.txt rules.</w:t>
            </w:r>
          </w:p>
        </w:tc>
        <w:tc>
          <w:tcPr>
            <w:tcW w:type="dxa" w:w="2160"/>
            <w:shd w:fill="F8F9FA"/>
            <w:tcMar>
              <w:top w:w="100" w:type="dxa"/>
              <w:bottom w:w="100" w:type="dxa"/>
              <w:left w:w="150" w:type="dxa"/>
              <w:right w:w="150" w:type="dxa"/>
            </w:tcMar>
          </w:tcPr>
          <w:p>
            <w:pPr>
              <w:jc w:val="left"/>
            </w:pPr>
            <w:r>
              <w:rPr>
                <w:rFonts w:ascii="Arial" w:hAnsi="Arial"/>
                <w:color w:val="212529"/>
                <w:sz w:val="18"/>
              </w:rPr>
              <w:t>4 sources accessible (JDA 200, RERA 200, SDMA 200, OSM 200); 1 restricted (99acres 403); 2 timed out/404.</w:t>
            </w:r>
          </w:p>
        </w:tc>
        <w:tc>
          <w:tcPr>
            <w:tcW w:type="dxa" w:w="2016"/>
            <w:shd w:fill="F8F9FA"/>
            <w:tcMar>
              <w:top w:w="100" w:type="dxa"/>
              <w:bottom w:w="100" w:type="dxa"/>
              <w:left w:w="150" w:type="dxa"/>
              <w:right w:w="150" w:type="dxa"/>
            </w:tcMar>
          </w:tcPr>
          <w:p>
            <w:pPr>
              <w:jc w:val="left"/>
            </w:pPr>
            <w:r>
              <w:rPr>
                <w:rFonts w:ascii="Arial" w:hAnsi="Arial"/>
                <w:color w:val="212529"/>
                <w:sz w:val="18"/>
              </w:rPr>
              <w:t>src/audit/source_investigator.py</w:t>
              <w:br/>
              <w:t>docs/data_source_register.json</w:t>
            </w:r>
          </w:p>
        </w:tc>
        <w:tc>
          <w:tcPr>
            <w:tcW w:type="dxa" w:w="1440"/>
            <w:shd w:fill="F8F9FA"/>
            <w:tcMar>
              <w:top w:w="100" w:type="dxa"/>
              <w:bottom w:w="100" w:type="dxa"/>
              <w:left w:w="150" w:type="dxa"/>
              <w:right w:w="150" w:type="dxa"/>
            </w:tcMar>
          </w:tcPr>
          <w:p>
            <w:pPr>
              <w:jc w:val="left"/>
            </w:pPr>
            <w:r>
              <w:rPr>
                <w:rFonts w:ascii="Arial" w:hAnsi="Arial"/>
                <w:color w:val="212529"/>
                <w:sz w:val="18"/>
              </w:rPr>
              <w:t>COMPLETED</w:t>
            </w:r>
          </w:p>
        </w:tc>
      </w:tr>
      <w:tr>
        <w:tc>
          <w:tcPr>
            <w:tcW w:type="dxa" w:w="1872"/>
            <w:shd w:fill="FFFFFF"/>
            <w:tcMar>
              <w:top w:w="100" w:type="dxa"/>
              <w:bottom w:w="100" w:type="dxa"/>
              <w:left w:w="150" w:type="dxa"/>
              <w:right w:w="150" w:type="dxa"/>
            </w:tcMar>
          </w:tcPr>
          <w:p>
            <w:pPr>
              <w:jc w:val="left"/>
            </w:pPr>
            <w:r>
              <w:rPr>
                <w:rFonts w:ascii="Arial" w:hAnsi="Arial"/>
                <w:color w:val="212529"/>
                <w:sz w:val="18"/>
              </w:rPr>
              <w:t>3. Acquisition Strategy &amp; Challenges</w:t>
            </w:r>
          </w:p>
        </w:tc>
        <w:tc>
          <w:tcPr>
            <w:tcW w:type="dxa" w:w="2880"/>
            <w:shd w:fill="FFFFFF"/>
            <w:tcMar>
              <w:top w:w="100" w:type="dxa"/>
              <w:bottom w:w="100" w:type="dxa"/>
              <w:left w:w="150" w:type="dxa"/>
              <w:right w:w="150" w:type="dxa"/>
            </w:tcMar>
          </w:tcPr>
          <w:p>
            <w:pPr>
              <w:jc w:val="left"/>
            </w:pPr>
            <w:r>
              <w:rPr>
                <w:rFonts w:ascii="Arial" w:hAnsi="Arial"/>
                <w:color w:val="212529"/>
                <w:sz w:val="18"/>
              </w:rPr>
              <w:t>Documented legal terms, Cloudflare bot protection, ODbL licensing, and technical acquisition fallback protocols for every source.</w:t>
            </w:r>
          </w:p>
        </w:tc>
        <w:tc>
          <w:tcPr>
            <w:tcW w:type="dxa" w:w="2160"/>
            <w:shd w:fill="FFFFFF"/>
            <w:tcMar>
              <w:top w:w="100" w:type="dxa"/>
              <w:bottom w:w="100" w:type="dxa"/>
              <w:left w:w="150" w:type="dxa"/>
              <w:right w:w="150" w:type="dxa"/>
            </w:tcMar>
          </w:tcPr>
          <w:p>
            <w:pPr>
              <w:jc w:val="left"/>
            </w:pPr>
            <w:r>
              <w:rPr>
                <w:rFonts w:ascii="Arial" w:hAnsi="Arial"/>
                <w:color w:val="212529"/>
                <w:sz w:val="18"/>
              </w:rPr>
              <w:t>Exhaustive source register compiled covering 7 authorities across Jammu.</w:t>
            </w:r>
          </w:p>
        </w:tc>
        <w:tc>
          <w:tcPr>
            <w:tcW w:type="dxa" w:w="2016"/>
            <w:shd w:fill="FFFFFF"/>
            <w:tcMar>
              <w:top w:w="100" w:type="dxa"/>
              <w:bottom w:w="100" w:type="dxa"/>
              <w:left w:w="150" w:type="dxa"/>
              <w:right w:w="150" w:type="dxa"/>
            </w:tcMar>
          </w:tcPr>
          <w:p>
            <w:pPr>
              <w:jc w:val="left"/>
            </w:pPr>
            <w:r>
              <w:rPr>
                <w:rFonts w:ascii="Arial" w:hAnsi="Arial"/>
                <w:color w:val="212529"/>
                <w:sz w:val="18"/>
              </w:rPr>
              <w:t>docs/data_source_register.md</w:t>
              <w:br/>
              <w:t>docs/data_source_register.json</w:t>
            </w:r>
          </w:p>
        </w:tc>
        <w:tc>
          <w:tcPr>
            <w:tcW w:type="dxa" w:w="1440"/>
            <w:shd w:fill="FFFFFF"/>
            <w:tcMar>
              <w:top w:w="100" w:type="dxa"/>
              <w:bottom w:w="100" w:type="dxa"/>
              <w:left w:w="150" w:type="dxa"/>
              <w:right w:w="150" w:type="dxa"/>
            </w:tcMar>
          </w:tcPr>
          <w:p>
            <w:pPr>
              <w:jc w:val="left"/>
            </w:pPr>
            <w:r>
              <w:rPr>
                <w:rFonts w:ascii="Arial" w:hAnsi="Arial"/>
                <w:color w:val="212529"/>
                <w:sz w:val="18"/>
              </w:rPr>
              <w:t>COMPLETED</w:t>
            </w:r>
          </w:p>
        </w:tc>
      </w:tr>
      <w:tr>
        <w:tc>
          <w:tcPr>
            <w:tcW w:type="dxa" w:w="1872"/>
            <w:shd w:fill="F8F9FA"/>
            <w:tcMar>
              <w:top w:w="100" w:type="dxa"/>
              <w:bottom w:w="100" w:type="dxa"/>
              <w:left w:w="150" w:type="dxa"/>
              <w:right w:w="150" w:type="dxa"/>
            </w:tcMar>
          </w:tcPr>
          <w:p>
            <w:pPr>
              <w:jc w:val="left"/>
            </w:pPr>
            <w:r>
              <w:rPr>
                <w:rFonts w:ascii="Arial" w:hAnsi="Arial"/>
                <w:color w:val="212529"/>
                <w:sz w:val="18"/>
              </w:rPr>
              <w:t>4. Initial Data Schema Definition</w:t>
            </w:r>
          </w:p>
        </w:tc>
        <w:tc>
          <w:tcPr>
            <w:tcW w:type="dxa" w:w="2880"/>
            <w:shd w:fill="F8F9FA"/>
            <w:tcMar>
              <w:top w:w="100" w:type="dxa"/>
              <w:bottom w:w="100" w:type="dxa"/>
              <w:left w:w="150" w:type="dxa"/>
              <w:right w:w="150" w:type="dxa"/>
            </w:tcMar>
          </w:tcPr>
          <w:p>
            <w:pPr>
              <w:jc w:val="left"/>
            </w:pPr>
            <w:r>
              <w:rPr>
                <w:rFonts w:ascii="Arial" w:hAnsi="Arial"/>
                <w:color w:val="212529"/>
                <w:sz w:val="18"/>
              </w:rPr>
              <w:t>Cross-referenced synopsis variables (28 base + 7 engineered) with raw dataset; defined canonical types, units, missing policies, and join keys.</w:t>
            </w:r>
          </w:p>
        </w:tc>
        <w:tc>
          <w:tcPr>
            <w:tcW w:type="dxa" w:w="2160"/>
            <w:shd w:fill="F8F9FA"/>
            <w:tcMar>
              <w:top w:w="100" w:type="dxa"/>
              <w:bottom w:w="100" w:type="dxa"/>
              <w:left w:w="150" w:type="dxa"/>
              <w:right w:w="150" w:type="dxa"/>
            </w:tcMar>
          </w:tcPr>
          <w:p>
            <w:pPr>
              <w:jc w:val="left"/>
            </w:pPr>
            <w:r>
              <w:rPr>
                <w:rFonts w:ascii="Arial" w:hAnsi="Arial"/>
                <w:color w:val="212529"/>
                <w:sz w:val="18"/>
              </w:rPr>
              <w:t>35 core variables + 7 derived variables formally defined in schema.</w:t>
            </w:r>
          </w:p>
        </w:tc>
        <w:tc>
          <w:tcPr>
            <w:tcW w:type="dxa" w:w="2016"/>
            <w:shd w:fill="F8F9FA"/>
            <w:tcMar>
              <w:top w:w="100" w:type="dxa"/>
              <w:bottom w:w="100" w:type="dxa"/>
              <w:left w:w="150" w:type="dxa"/>
              <w:right w:w="150" w:type="dxa"/>
            </w:tcMar>
          </w:tcPr>
          <w:p>
            <w:pPr>
              <w:jc w:val="left"/>
            </w:pPr>
            <w:r>
              <w:rPr>
                <w:rFonts w:ascii="Arial" w:hAnsi="Arial"/>
                <w:color w:val="212529"/>
                <w:sz w:val="18"/>
              </w:rPr>
              <w:t>src/audit/generate_data_dictionary.py</w:t>
              <w:br/>
              <w:t>docs/data_dictionary.md</w:t>
            </w:r>
          </w:p>
        </w:tc>
        <w:tc>
          <w:tcPr>
            <w:tcW w:type="dxa" w:w="1440"/>
            <w:shd w:fill="F8F9FA"/>
            <w:tcMar>
              <w:top w:w="100" w:type="dxa"/>
              <w:bottom w:w="100" w:type="dxa"/>
              <w:left w:w="150" w:type="dxa"/>
              <w:right w:w="150" w:type="dxa"/>
            </w:tcMar>
          </w:tcPr>
          <w:p>
            <w:pPr>
              <w:jc w:val="left"/>
            </w:pPr>
            <w:r>
              <w:rPr>
                <w:rFonts w:ascii="Arial" w:hAnsi="Arial"/>
                <w:color w:val="212529"/>
                <w:sz w:val="18"/>
              </w:rPr>
              <w:t>COMPLETED</w:t>
            </w:r>
          </w:p>
        </w:tc>
      </w:tr>
    </w:tbl>
    <w:p>
      <w:pPr>
        <w:keepNext/>
        <w:spacing w:before="280" w:after="80"/>
      </w:pPr>
      <w:r>
        <w:rPr>
          <w:rFonts w:ascii="Arial" w:hAnsi="Arial"/>
          <w:b/>
          <w:color w:val="1B365D"/>
          <w:sz w:val="26"/>
        </w:rPr>
        <w:t>4. Raw Dataset Audit &amp; Mathematical Integrity Findings</w:t>
      </w:r>
    </w:p>
    <w:p>
      <w:pPr>
        <w:spacing w:before="40" w:after="80" w:line="276" w:lineRule="auto"/>
      </w:pPr>
      <w:r>
        <w:rPr>
          <w:rFonts w:ascii="Arial" w:hAnsi="Arial"/>
          <w:color w:val="212529"/>
          <w:sz w:val="20"/>
        </w:rPr>
        <w:t>An automated, reproducible data audit script (src/audit/dataset_audit.py) was implemented to inspect the supplied dataset (property_dataset_raw.csv). Key quantitative findings include:</w:t>
      </w:r>
    </w:p>
    <w:p>
      <w:pPr>
        <w:spacing w:before="40" w:after="80" w:line="276" w:lineRule="auto"/>
      </w:pPr>
      <w:r>
        <w:rPr>
          <w:rFonts w:ascii="Arial" w:hAnsi="Arial"/>
          <w:b/>
          <w:color w:val="212529"/>
          <w:sz w:val="20"/>
        </w:rPr>
        <w:t xml:space="preserve">• Dataset Dimensions: </w:t>
      </w:r>
      <w:r>
        <w:rPr>
          <w:rFonts w:ascii="Arial" w:hAnsi="Arial"/>
          <w:color w:val="212529"/>
          <w:sz w:val="20"/>
        </w:rPr>
        <w:t>The dataset contains exactly 1,200 rows and 36 columns with zero missing values across all columns. Every record possesses a unique alphanumeric identifier ranging sequentially from JMU0001 to JMU1200.</w:t>
      </w:r>
    </w:p>
    <w:p>
      <w:pPr>
        <w:spacing w:before="40" w:after="80" w:line="276" w:lineRule="auto"/>
      </w:pPr>
      <w:r>
        <w:rPr>
          <w:rFonts w:ascii="Arial" w:hAnsi="Arial"/>
          <w:b/>
          <w:color w:val="212529"/>
          <w:sz w:val="20"/>
        </w:rPr>
        <w:t xml:space="preserve">• Locality Coverage: </w:t>
      </w:r>
      <w:r>
        <w:rPr>
          <w:rFonts w:ascii="Arial" w:hAnsi="Arial"/>
          <w:color w:val="212529"/>
          <w:sz w:val="20"/>
        </w:rPr>
        <w:t>Exactly 36 unique localities are represented, matching the canonical urban and suburban agglomeration of Jammu District. The minimum record count per locality is 19, the mean is 33.3, and the maximum is 48.</w:t>
      </w:r>
    </w:p>
    <w:p>
      <w:pPr>
        <w:spacing w:before="40" w:after="80" w:line="276" w:lineRule="auto"/>
      </w:pPr>
      <w:r>
        <w:rPr>
          <w:rFonts w:ascii="Arial" w:hAnsi="Arial"/>
          <w:b/>
          <w:color w:val="212529"/>
          <w:sz w:val="20"/>
        </w:rPr>
        <w:t xml:space="preserve">• Mathematical Consistency: </w:t>
      </w:r>
      <w:r>
        <w:rPr>
          <w:rFonts w:ascii="Arial" w:hAnsi="Arial"/>
          <w:color w:val="212529"/>
          <w:sz w:val="20"/>
        </w:rPr>
        <w:t>Calculated total prices exactly correlate with (area_sqft * price_per_sqft) / 100,000 (mean absolute error &lt; 0.005 Lakh INR). Area in Marlas perfectly scales to square feet using the Jammu regional factor of 272.25 sq ft/Marla.</w:t>
      </w:r>
    </w:p>
    <w:p>
      <w:pPr>
        <w:spacing w:before="40" w:after="80" w:line="276" w:lineRule="auto"/>
      </w:pPr>
      <w:r>
        <w:rPr>
          <w:rFonts w:ascii="Arial" w:hAnsi="Arial"/>
          <w:b/>
          <w:color w:val="212529"/>
          <w:sz w:val="20"/>
        </w:rPr>
        <w:t xml:space="preserve">• Temporal Reference Year: </w:t>
      </w:r>
      <w:r>
        <w:rPr>
          <w:rFonts w:ascii="Arial" w:hAnsi="Arial"/>
          <w:color w:val="212529"/>
          <w:sz w:val="20"/>
        </w:rPr>
        <w:t>Analysis of (year_built + property_age_years) yields an exact constant sum of 2026 across all records, establishing 2026 as the empirical temporal reference baseline.</w:t>
      </w:r>
    </w:p>
    <w:p>
      <w:pPr>
        <w:spacing w:before="40" w:after="80" w:line="276" w:lineRule="auto"/>
      </w:pPr>
      <w:r>
        <w:rPr>
          <w:rFonts w:ascii="Arial" w:hAnsi="Arial"/>
          <w:b/>
          <w:color w:val="212529"/>
          <w:sz w:val="20"/>
        </w:rPr>
        <w:t xml:space="preserve">• Geospatial Absence: </w:t>
      </w:r>
      <w:r>
        <w:rPr>
          <w:rFonts w:ascii="Arial" w:hAnsi="Arial"/>
          <w:color w:val="212529"/>
          <w:sz w:val="20"/>
        </w:rPr>
        <w:t>Property-level geographic coordinates (latitude, longitude) are ABSENT in the raw CSV. Only relative distances to city center and highway are present. Locality-level centroid geocoding is required.</w:t>
      </w:r>
    </w:p>
    <w:p>
      <w:pPr>
        <w:keepNext/>
        <w:spacing w:before="200" w:after="60"/>
      </w:pPr>
      <w:r>
        <w:rPr>
          <w:rFonts w:ascii="Arial" w:hAnsi="Arial"/>
          <w:b/>
          <w:color w:val="4682B4"/>
          <w:sz w:val="22"/>
        </w:rPr>
        <w:t>Key Numeric Variable Distribution (Audited Sample)</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2592"/>
            <w:shd w:fill="1B365D"/>
            <w:tcMar>
              <w:top w:w="140" w:type="dxa"/>
              <w:bottom w:w="140" w:type="dxa"/>
              <w:left w:w="150" w:type="dxa"/>
              <w:right w:w="150" w:type="dxa"/>
            </w:tcMar>
          </w:tcPr>
          <w:p>
            <w:pPr>
              <w:jc w:val="left"/>
            </w:pPr>
            <w:r>
              <w:rPr>
                <w:rFonts w:ascii="Arial" w:hAnsi="Arial"/>
                <w:b/>
                <w:color w:val="FFFFFF"/>
                <w:sz w:val="19"/>
              </w:rPr>
              <w:t>Variable</w:t>
            </w:r>
          </w:p>
        </w:tc>
        <w:tc>
          <w:tcPr>
            <w:tcW w:type="dxa" w:w="1440"/>
            <w:shd w:fill="1B365D"/>
            <w:tcMar>
              <w:top w:w="140" w:type="dxa"/>
              <w:bottom w:w="140" w:type="dxa"/>
              <w:left w:w="150" w:type="dxa"/>
              <w:right w:w="150" w:type="dxa"/>
            </w:tcMar>
          </w:tcPr>
          <w:p>
            <w:pPr>
              <w:jc w:val="left"/>
            </w:pPr>
            <w:r>
              <w:rPr>
                <w:rFonts w:ascii="Arial" w:hAnsi="Arial"/>
                <w:b/>
                <w:color w:val="FFFFFF"/>
                <w:sz w:val="19"/>
              </w:rPr>
              <w:t>Min</w:t>
            </w:r>
          </w:p>
        </w:tc>
        <w:tc>
          <w:tcPr>
            <w:tcW w:type="dxa" w:w="1440"/>
            <w:shd w:fill="1B365D"/>
            <w:tcMar>
              <w:top w:w="140" w:type="dxa"/>
              <w:bottom w:w="140" w:type="dxa"/>
              <w:left w:w="150" w:type="dxa"/>
              <w:right w:w="150" w:type="dxa"/>
            </w:tcMar>
          </w:tcPr>
          <w:p>
            <w:pPr>
              <w:jc w:val="left"/>
            </w:pPr>
            <w:r>
              <w:rPr>
                <w:rFonts w:ascii="Arial" w:hAnsi="Arial"/>
                <w:b/>
                <w:color w:val="FFFFFF"/>
                <w:sz w:val="19"/>
              </w:rPr>
              <w:t>Median</w:t>
            </w:r>
          </w:p>
        </w:tc>
        <w:tc>
          <w:tcPr>
            <w:tcW w:type="dxa" w:w="1440"/>
            <w:shd w:fill="1B365D"/>
            <w:tcMar>
              <w:top w:w="140" w:type="dxa"/>
              <w:bottom w:w="140" w:type="dxa"/>
              <w:left w:w="150" w:type="dxa"/>
              <w:right w:w="150" w:type="dxa"/>
            </w:tcMar>
          </w:tcPr>
          <w:p>
            <w:pPr>
              <w:jc w:val="left"/>
            </w:pPr>
            <w:r>
              <w:rPr>
                <w:rFonts w:ascii="Arial" w:hAnsi="Arial"/>
                <w:b/>
                <w:color w:val="FFFFFF"/>
                <w:sz w:val="19"/>
              </w:rPr>
              <w:t>Mean</w:t>
            </w:r>
          </w:p>
        </w:tc>
        <w:tc>
          <w:tcPr>
            <w:tcW w:type="dxa" w:w="1440"/>
            <w:shd w:fill="1B365D"/>
            <w:tcMar>
              <w:top w:w="140" w:type="dxa"/>
              <w:bottom w:w="140" w:type="dxa"/>
              <w:left w:w="150" w:type="dxa"/>
              <w:right w:w="150" w:type="dxa"/>
            </w:tcMar>
          </w:tcPr>
          <w:p>
            <w:pPr>
              <w:jc w:val="left"/>
            </w:pPr>
            <w:r>
              <w:rPr>
                <w:rFonts w:ascii="Arial" w:hAnsi="Arial"/>
                <w:b/>
                <w:color w:val="FFFFFF"/>
                <w:sz w:val="19"/>
              </w:rPr>
              <w:t>Max</w:t>
            </w:r>
          </w:p>
        </w:tc>
        <w:tc>
          <w:tcPr>
            <w:tcW w:type="dxa" w:w="1728"/>
            <w:shd w:fill="1B365D"/>
            <w:tcMar>
              <w:top w:w="140" w:type="dxa"/>
              <w:bottom w:w="140" w:type="dxa"/>
              <w:left w:w="150" w:type="dxa"/>
              <w:right w:w="150" w:type="dxa"/>
            </w:tcMar>
          </w:tcPr>
          <w:p>
            <w:pPr>
              <w:jc w:val="left"/>
            </w:pPr>
            <w:r>
              <w:rPr>
                <w:rFonts w:ascii="Arial" w:hAnsi="Arial"/>
                <w:b/>
                <w:color w:val="FFFFFF"/>
                <w:sz w:val="19"/>
              </w:rPr>
              <w:t>Outliers (IQR)</w:t>
            </w:r>
          </w:p>
        </w:tc>
      </w:tr>
      <w:tr>
        <w:tc>
          <w:tcPr>
            <w:tcW w:type="dxa" w:w="2592"/>
            <w:shd w:fill="FFFFFF"/>
            <w:tcMar>
              <w:top w:w="100" w:type="dxa"/>
              <w:bottom w:w="100" w:type="dxa"/>
              <w:left w:w="150" w:type="dxa"/>
              <w:right w:w="150" w:type="dxa"/>
            </w:tcMar>
          </w:tcPr>
          <w:p>
            <w:pPr>
              <w:jc w:val="left"/>
            </w:pPr>
            <w:r>
              <w:rPr>
                <w:rFonts w:ascii="Arial" w:hAnsi="Arial"/>
                <w:color w:val="212529"/>
                <w:sz w:val="18"/>
              </w:rPr>
              <w:t>area_sqft</w:t>
            </w:r>
          </w:p>
        </w:tc>
        <w:tc>
          <w:tcPr>
            <w:tcW w:type="dxa" w:w="1440"/>
            <w:shd w:fill="FFFFFF"/>
            <w:tcMar>
              <w:top w:w="100" w:type="dxa"/>
              <w:bottom w:w="100" w:type="dxa"/>
              <w:left w:w="150" w:type="dxa"/>
              <w:right w:w="150" w:type="dxa"/>
            </w:tcMar>
          </w:tcPr>
          <w:p>
            <w:pPr>
              <w:jc w:val="left"/>
            </w:pPr>
            <w:r>
              <w:rPr>
                <w:rFonts w:ascii="Arial" w:hAnsi="Arial"/>
                <w:color w:val="212529"/>
                <w:sz w:val="18"/>
              </w:rPr>
              <w:t>451.0</w:t>
            </w:r>
          </w:p>
        </w:tc>
        <w:tc>
          <w:tcPr>
            <w:tcW w:type="dxa" w:w="1440"/>
            <w:shd w:fill="FFFFFF"/>
            <w:tcMar>
              <w:top w:w="100" w:type="dxa"/>
              <w:bottom w:w="100" w:type="dxa"/>
              <w:left w:w="150" w:type="dxa"/>
              <w:right w:w="150" w:type="dxa"/>
            </w:tcMar>
          </w:tcPr>
          <w:p>
            <w:pPr>
              <w:jc w:val="left"/>
            </w:pPr>
            <w:r>
              <w:rPr>
                <w:rFonts w:ascii="Arial" w:hAnsi="Arial"/>
                <w:color w:val="212529"/>
                <w:sz w:val="18"/>
              </w:rPr>
              <w:t>1,827.0</w:t>
            </w:r>
          </w:p>
        </w:tc>
        <w:tc>
          <w:tcPr>
            <w:tcW w:type="dxa" w:w="1440"/>
            <w:shd w:fill="FFFFFF"/>
            <w:tcMar>
              <w:top w:w="100" w:type="dxa"/>
              <w:bottom w:w="100" w:type="dxa"/>
              <w:left w:w="150" w:type="dxa"/>
              <w:right w:w="150" w:type="dxa"/>
            </w:tcMar>
          </w:tcPr>
          <w:p>
            <w:pPr>
              <w:jc w:val="left"/>
            </w:pPr>
            <w:r>
              <w:rPr>
                <w:rFonts w:ascii="Arial" w:hAnsi="Arial"/>
                <w:color w:val="212529"/>
                <w:sz w:val="18"/>
              </w:rPr>
              <w:t>1,833.4</w:t>
            </w:r>
          </w:p>
        </w:tc>
        <w:tc>
          <w:tcPr>
            <w:tcW w:type="dxa" w:w="1440"/>
            <w:shd w:fill="FFFFFF"/>
            <w:tcMar>
              <w:top w:w="100" w:type="dxa"/>
              <w:bottom w:w="100" w:type="dxa"/>
              <w:left w:w="150" w:type="dxa"/>
              <w:right w:w="150" w:type="dxa"/>
            </w:tcMar>
          </w:tcPr>
          <w:p>
            <w:pPr>
              <w:jc w:val="left"/>
            </w:pPr>
            <w:r>
              <w:rPr>
                <w:rFonts w:ascii="Arial" w:hAnsi="Arial"/>
                <w:color w:val="212529"/>
                <w:sz w:val="18"/>
              </w:rPr>
              <w:t>3,199.0</w:t>
            </w:r>
          </w:p>
        </w:tc>
        <w:tc>
          <w:tcPr>
            <w:tcW w:type="dxa" w:w="1728"/>
            <w:shd w:fill="FFFFFF"/>
            <w:tcMar>
              <w:top w:w="100" w:type="dxa"/>
              <w:bottom w:w="100" w:type="dxa"/>
              <w:left w:w="150" w:type="dxa"/>
              <w:right w:w="150" w:type="dxa"/>
            </w:tcMar>
          </w:tcPr>
          <w:p>
            <w:pPr>
              <w:jc w:val="left"/>
            </w:pPr>
            <w:r>
              <w:rPr>
                <w:rFonts w:ascii="Arial" w:hAnsi="Arial"/>
                <w:color w:val="212529"/>
                <w:sz w:val="18"/>
              </w:rPr>
              <w:t>0 (Well bounded)</w:t>
            </w:r>
          </w:p>
        </w:tc>
      </w:tr>
      <w:tr>
        <w:tc>
          <w:tcPr>
            <w:tcW w:type="dxa" w:w="2592"/>
            <w:shd w:fill="F8F9FA"/>
            <w:tcMar>
              <w:top w:w="100" w:type="dxa"/>
              <w:bottom w:w="100" w:type="dxa"/>
              <w:left w:w="150" w:type="dxa"/>
              <w:right w:w="150" w:type="dxa"/>
            </w:tcMar>
          </w:tcPr>
          <w:p>
            <w:pPr>
              <w:jc w:val="left"/>
            </w:pPr>
            <w:r>
              <w:rPr>
                <w:rFonts w:ascii="Arial" w:hAnsi="Arial"/>
                <w:color w:val="212529"/>
                <w:sz w:val="18"/>
              </w:rPr>
              <w:t>price_per_sqft</w:t>
            </w:r>
          </w:p>
        </w:tc>
        <w:tc>
          <w:tcPr>
            <w:tcW w:type="dxa" w:w="1440"/>
            <w:shd w:fill="F8F9FA"/>
            <w:tcMar>
              <w:top w:w="100" w:type="dxa"/>
              <w:bottom w:w="100" w:type="dxa"/>
              <w:left w:w="150" w:type="dxa"/>
              <w:right w:w="150" w:type="dxa"/>
            </w:tcMar>
          </w:tcPr>
          <w:p>
            <w:pPr>
              <w:jc w:val="left"/>
            </w:pPr>
            <w:r>
              <w:rPr>
                <w:rFonts w:ascii="Arial" w:hAnsi="Arial"/>
                <w:color w:val="212529"/>
                <w:sz w:val="18"/>
              </w:rPr>
              <w:t>1,312.0</w:t>
            </w:r>
          </w:p>
        </w:tc>
        <w:tc>
          <w:tcPr>
            <w:tcW w:type="dxa" w:w="1440"/>
            <w:shd w:fill="F8F9FA"/>
            <w:tcMar>
              <w:top w:w="100" w:type="dxa"/>
              <w:bottom w:w="100" w:type="dxa"/>
              <w:left w:w="150" w:type="dxa"/>
              <w:right w:w="150" w:type="dxa"/>
            </w:tcMar>
          </w:tcPr>
          <w:p>
            <w:pPr>
              <w:jc w:val="left"/>
            </w:pPr>
            <w:r>
              <w:rPr>
                <w:rFonts w:ascii="Arial" w:hAnsi="Arial"/>
                <w:color w:val="212529"/>
                <w:sz w:val="18"/>
              </w:rPr>
              <w:t>4,236.0</w:t>
            </w:r>
          </w:p>
        </w:tc>
        <w:tc>
          <w:tcPr>
            <w:tcW w:type="dxa" w:w="1440"/>
            <w:shd w:fill="F8F9FA"/>
            <w:tcMar>
              <w:top w:w="100" w:type="dxa"/>
              <w:bottom w:w="100" w:type="dxa"/>
              <w:left w:w="150" w:type="dxa"/>
              <w:right w:w="150" w:type="dxa"/>
            </w:tcMar>
          </w:tcPr>
          <w:p>
            <w:pPr>
              <w:jc w:val="left"/>
            </w:pPr>
            <w:r>
              <w:rPr>
                <w:rFonts w:ascii="Arial" w:hAnsi="Arial"/>
                <w:color w:val="212529"/>
                <w:sz w:val="18"/>
              </w:rPr>
              <w:t>4,443.2</w:t>
            </w:r>
          </w:p>
        </w:tc>
        <w:tc>
          <w:tcPr>
            <w:tcW w:type="dxa" w:w="1440"/>
            <w:shd w:fill="F8F9FA"/>
            <w:tcMar>
              <w:top w:w="100" w:type="dxa"/>
              <w:bottom w:w="100" w:type="dxa"/>
              <w:left w:w="150" w:type="dxa"/>
              <w:right w:w="150" w:type="dxa"/>
            </w:tcMar>
          </w:tcPr>
          <w:p>
            <w:pPr>
              <w:jc w:val="left"/>
            </w:pPr>
            <w:r>
              <w:rPr>
                <w:rFonts w:ascii="Arial" w:hAnsi="Arial"/>
                <w:color w:val="212529"/>
                <w:sz w:val="18"/>
              </w:rPr>
              <w:t>11,158.0</w:t>
            </w:r>
          </w:p>
        </w:tc>
        <w:tc>
          <w:tcPr>
            <w:tcW w:type="dxa" w:w="1728"/>
            <w:shd w:fill="F8F9FA"/>
            <w:tcMar>
              <w:top w:w="100" w:type="dxa"/>
              <w:bottom w:w="100" w:type="dxa"/>
              <w:left w:w="150" w:type="dxa"/>
              <w:right w:w="150" w:type="dxa"/>
            </w:tcMar>
          </w:tcPr>
          <w:p>
            <w:pPr>
              <w:jc w:val="left"/>
            </w:pPr>
            <w:r>
              <w:rPr>
                <w:rFonts w:ascii="Arial" w:hAnsi="Arial"/>
                <w:color w:val="212529"/>
                <w:sz w:val="18"/>
              </w:rPr>
              <w:t>42 (High-value core)</w:t>
            </w:r>
          </w:p>
        </w:tc>
      </w:tr>
      <w:tr>
        <w:tc>
          <w:tcPr>
            <w:tcW w:type="dxa" w:w="2592"/>
            <w:shd w:fill="FFFFFF"/>
            <w:tcMar>
              <w:top w:w="100" w:type="dxa"/>
              <w:bottom w:w="100" w:type="dxa"/>
              <w:left w:w="150" w:type="dxa"/>
              <w:right w:w="150" w:type="dxa"/>
            </w:tcMar>
          </w:tcPr>
          <w:p>
            <w:pPr>
              <w:jc w:val="left"/>
            </w:pPr>
            <w:r>
              <w:rPr>
                <w:rFonts w:ascii="Arial" w:hAnsi="Arial"/>
                <w:color w:val="212529"/>
                <w:sz w:val="18"/>
              </w:rPr>
              <w:t>total_price_lakh</w:t>
            </w:r>
          </w:p>
        </w:tc>
        <w:tc>
          <w:tcPr>
            <w:tcW w:type="dxa" w:w="1440"/>
            <w:shd w:fill="FFFFFF"/>
            <w:tcMar>
              <w:top w:w="100" w:type="dxa"/>
              <w:bottom w:w="100" w:type="dxa"/>
              <w:left w:w="150" w:type="dxa"/>
              <w:right w:w="150" w:type="dxa"/>
            </w:tcMar>
          </w:tcPr>
          <w:p>
            <w:pPr>
              <w:jc w:val="left"/>
            </w:pPr>
            <w:r>
              <w:rPr>
                <w:rFonts w:ascii="Arial" w:hAnsi="Arial"/>
                <w:color w:val="212529"/>
                <w:sz w:val="18"/>
              </w:rPr>
              <w:t>8.85</w:t>
            </w:r>
          </w:p>
        </w:tc>
        <w:tc>
          <w:tcPr>
            <w:tcW w:type="dxa" w:w="1440"/>
            <w:shd w:fill="FFFFFF"/>
            <w:tcMar>
              <w:top w:w="100" w:type="dxa"/>
              <w:bottom w:w="100" w:type="dxa"/>
              <w:left w:w="150" w:type="dxa"/>
              <w:right w:w="150" w:type="dxa"/>
            </w:tcMar>
          </w:tcPr>
          <w:p>
            <w:pPr>
              <w:jc w:val="left"/>
            </w:pPr>
            <w:r>
              <w:rPr>
                <w:rFonts w:ascii="Arial" w:hAnsi="Arial"/>
                <w:color w:val="212529"/>
                <w:sz w:val="18"/>
              </w:rPr>
              <w:t>69.0</w:t>
            </w:r>
          </w:p>
        </w:tc>
        <w:tc>
          <w:tcPr>
            <w:tcW w:type="dxa" w:w="1440"/>
            <w:shd w:fill="FFFFFF"/>
            <w:tcMar>
              <w:top w:w="100" w:type="dxa"/>
              <w:bottom w:w="100" w:type="dxa"/>
              <w:left w:w="150" w:type="dxa"/>
              <w:right w:w="150" w:type="dxa"/>
            </w:tcMar>
          </w:tcPr>
          <w:p>
            <w:pPr>
              <w:jc w:val="left"/>
            </w:pPr>
            <w:r>
              <w:rPr>
                <w:rFonts w:ascii="Arial" w:hAnsi="Arial"/>
                <w:color w:val="212529"/>
                <w:sz w:val="18"/>
              </w:rPr>
              <w:t>80.4</w:t>
            </w:r>
          </w:p>
        </w:tc>
        <w:tc>
          <w:tcPr>
            <w:tcW w:type="dxa" w:w="1440"/>
            <w:shd w:fill="FFFFFF"/>
            <w:tcMar>
              <w:top w:w="100" w:type="dxa"/>
              <w:bottom w:w="100" w:type="dxa"/>
              <w:left w:w="150" w:type="dxa"/>
              <w:right w:w="150" w:type="dxa"/>
            </w:tcMar>
          </w:tcPr>
          <w:p>
            <w:pPr>
              <w:jc w:val="left"/>
            </w:pPr>
            <w:r>
              <w:rPr>
                <w:rFonts w:ascii="Arial" w:hAnsi="Arial"/>
                <w:color w:val="212529"/>
                <w:sz w:val="18"/>
              </w:rPr>
              <w:t>302.2</w:t>
            </w:r>
          </w:p>
        </w:tc>
        <w:tc>
          <w:tcPr>
            <w:tcW w:type="dxa" w:w="1728"/>
            <w:shd w:fill="FFFFFF"/>
            <w:tcMar>
              <w:top w:w="100" w:type="dxa"/>
              <w:bottom w:w="100" w:type="dxa"/>
              <w:left w:w="150" w:type="dxa"/>
              <w:right w:w="150" w:type="dxa"/>
            </w:tcMar>
          </w:tcPr>
          <w:p>
            <w:pPr>
              <w:jc w:val="left"/>
            </w:pPr>
            <w:r>
              <w:rPr>
                <w:rFonts w:ascii="Arial" w:hAnsi="Arial"/>
                <w:color w:val="212529"/>
                <w:sz w:val="18"/>
              </w:rPr>
              <w:t>38 (Luxury/Commercial)</w:t>
            </w:r>
          </w:p>
        </w:tc>
      </w:tr>
      <w:tr>
        <w:tc>
          <w:tcPr>
            <w:tcW w:type="dxa" w:w="2592"/>
            <w:shd w:fill="F8F9FA"/>
            <w:tcMar>
              <w:top w:w="100" w:type="dxa"/>
              <w:bottom w:w="100" w:type="dxa"/>
              <w:left w:w="150" w:type="dxa"/>
              <w:right w:w="150" w:type="dxa"/>
            </w:tcMar>
          </w:tcPr>
          <w:p>
            <w:pPr>
              <w:jc w:val="left"/>
            </w:pPr>
            <w:r>
              <w:rPr>
                <w:rFonts w:ascii="Arial" w:hAnsi="Arial"/>
                <w:color w:val="212529"/>
                <w:sz w:val="18"/>
              </w:rPr>
              <w:t>property_age_years</w:t>
            </w:r>
          </w:p>
        </w:tc>
        <w:tc>
          <w:tcPr>
            <w:tcW w:type="dxa" w:w="1440"/>
            <w:shd w:fill="F8F9FA"/>
            <w:tcMar>
              <w:top w:w="100" w:type="dxa"/>
              <w:bottom w:w="100" w:type="dxa"/>
              <w:left w:w="150" w:type="dxa"/>
              <w:right w:w="150" w:type="dxa"/>
            </w:tcMar>
          </w:tcPr>
          <w:p>
            <w:pPr>
              <w:jc w:val="left"/>
            </w:pPr>
            <w:r>
              <w:rPr>
                <w:rFonts w:ascii="Arial" w:hAnsi="Arial"/>
                <w:color w:val="212529"/>
                <w:sz w:val="18"/>
              </w:rPr>
              <w:t>2.0</w:t>
            </w:r>
          </w:p>
        </w:tc>
        <w:tc>
          <w:tcPr>
            <w:tcW w:type="dxa" w:w="1440"/>
            <w:shd w:fill="F8F9FA"/>
            <w:tcMar>
              <w:top w:w="100" w:type="dxa"/>
              <w:bottom w:w="100" w:type="dxa"/>
              <w:left w:w="150" w:type="dxa"/>
              <w:right w:w="150" w:type="dxa"/>
            </w:tcMar>
          </w:tcPr>
          <w:p>
            <w:pPr>
              <w:jc w:val="left"/>
            </w:pPr>
            <w:r>
              <w:rPr>
                <w:rFonts w:ascii="Arial" w:hAnsi="Arial"/>
                <w:color w:val="212529"/>
                <w:sz w:val="18"/>
              </w:rPr>
              <w:t>19.0</w:t>
            </w:r>
          </w:p>
        </w:tc>
        <w:tc>
          <w:tcPr>
            <w:tcW w:type="dxa" w:w="1440"/>
            <w:shd w:fill="F8F9FA"/>
            <w:tcMar>
              <w:top w:w="100" w:type="dxa"/>
              <w:bottom w:w="100" w:type="dxa"/>
              <w:left w:w="150" w:type="dxa"/>
              <w:right w:w="150" w:type="dxa"/>
            </w:tcMar>
          </w:tcPr>
          <w:p>
            <w:pPr>
              <w:jc w:val="left"/>
            </w:pPr>
            <w:r>
              <w:rPr>
                <w:rFonts w:ascii="Arial" w:hAnsi="Arial"/>
                <w:color w:val="212529"/>
                <w:sz w:val="18"/>
              </w:rPr>
              <w:t>19.1</w:t>
            </w:r>
          </w:p>
        </w:tc>
        <w:tc>
          <w:tcPr>
            <w:tcW w:type="dxa" w:w="1440"/>
            <w:shd w:fill="F8F9FA"/>
            <w:tcMar>
              <w:top w:w="100" w:type="dxa"/>
              <w:bottom w:w="100" w:type="dxa"/>
              <w:left w:w="150" w:type="dxa"/>
              <w:right w:w="150" w:type="dxa"/>
            </w:tcMar>
          </w:tcPr>
          <w:p>
            <w:pPr>
              <w:jc w:val="left"/>
            </w:pPr>
            <w:r>
              <w:rPr>
                <w:rFonts w:ascii="Arial" w:hAnsi="Arial"/>
                <w:color w:val="212529"/>
                <w:sz w:val="18"/>
              </w:rPr>
              <w:t>36.0</w:t>
            </w:r>
          </w:p>
        </w:tc>
        <w:tc>
          <w:tcPr>
            <w:tcW w:type="dxa" w:w="1728"/>
            <w:shd w:fill="F8F9FA"/>
            <w:tcMar>
              <w:top w:w="100" w:type="dxa"/>
              <w:bottom w:w="100" w:type="dxa"/>
              <w:left w:w="150" w:type="dxa"/>
              <w:right w:w="150" w:type="dxa"/>
            </w:tcMar>
          </w:tcPr>
          <w:p>
            <w:pPr>
              <w:jc w:val="left"/>
            </w:pPr>
            <w:r>
              <w:rPr>
                <w:rFonts w:ascii="Arial" w:hAnsi="Arial"/>
                <w:color w:val="212529"/>
                <w:sz w:val="18"/>
              </w:rPr>
              <w:t>0 (1990 - 2024 built)</w:t>
            </w:r>
          </w:p>
        </w:tc>
      </w:tr>
      <w:tr>
        <w:tc>
          <w:tcPr>
            <w:tcW w:type="dxa" w:w="2592"/>
            <w:shd w:fill="FFFFFF"/>
            <w:tcMar>
              <w:top w:w="100" w:type="dxa"/>
              <w:bottom w:w="100" w:type="dxa"/>
              <w:left w:w="150" w:type="dxa"/>
              <w:right w:w="150" w:type="dxa"/>
            </w:tcMar>
          </w:tcPr>
          <w:p>
            <w:pPr>
              <w:jc w:val="left"/>
            </w:pPr>
            <w:r>
              <w:rPr>
                <w:rFonts w:ascii="Arial" w:hAnsi="Arial"/>
                <w:color w:val="212529"/>
                <w:sz w:val="18"/>
              </w:rPr>
              <w:t>distance_to_center_km</w:t>
            </w:r>
          </w:p>
        </w:tc>
        <w:tc>
          <w:tcPr>
            <w:tcW w:type="dxa" w:w="1440"/>
            <w:shd w:fill="FFFFFF"/>
            <w:tcMar>
              <w:top w:w="100" w:type="dxa"/>
              <w:bottom w:w="100" w:type="dxa"/>
              <w:left w:w="150" w:type="dxa"/>
              <w:right w:w="150" w:type="dxa"/>
            </w:tcMar>
          </w:tcPr>
          <w:p>
            <w:pPr>
              <w:jc w:val="left"/>
            </w:pPr>
            <w:r>
              <w:rPr>
                <w:rFonts w:ascii="Arial" w:hAnsi="Arial"/>
                <w:color w:val="212529"/>
                <w:sz w:val="18"/>
              </w:rPr>
              <w:t>0.5</w:t>
            </w:r>
          </w:p>
        </w:tc>
        <w:tc>
          <w:tcPr>
            <w:tcW w:type="dxa" w:w="1440"/>
            <w:shd w:fill="FFFFFF"/>
            <w:tcMar>
              <w:top w:w="100" w:type="dxa"/>
              <w:bottom w:w="100" w:type="dxa"/>
              <w:left w:w="150" w:type="dxa"/>
              <w:right w:w="150" w:type="dxa"/>
            </w:tcMar>
          </w:tcPr>
          <w:p>
            <w:pPr>
              <w:jc w:val="left"/>
            </w:pPr>
            <w:r>
              <w:rPr>
                <w:rFonts w:ascii="Arial" w:hAnsi="Arial"/>
                <w:color w:val="212529"/>
                <w:sz w:val="18"/>
              </w:rPr>
              <w:t>6.2</w:t>
            </w:r>
          </w:p>
        </w:tc>
        <w:tc>
          <w:tcPr>
            <w:tcW w:type="dxa" w:w="1440"/>
            <w:shd w:fill="FFFFFF"/>
            <w:tcMar>
              <w:top w:w="100" w:type="dxa"/>
              <w:bottom w:w="100" w:type="dxa"/>
              <w:left w:w="150" w:type="dxa"/>
              <w:right w:w="150" w:type="dxa"/>
            </w:tcMar>
          </w:tcPr>
          <w:p>
            <w:pPr>
              <w:jc w:val="left"/>
            </w:pPr>
            <w:r>
              <w:rPr>
                <w:rFonts w:ascii="Arial" w:hAnsi="Arial"/>
                <w:color w:val="212529"/>
                <w:sz w:val="18"/>
              </w:rPr>
              <w:t>7.7</w:t>
            </w:r>
          </w:p>
        </w:tc>
        <w:tc>
          <w:tcPr>
            <w:tcW w:type="dxa" w:w="1440"/>
            <w:shd w:fill="FFFFFF"/>
            <w:tcMar>
              <w:top w:w="100" w:type="dxa"/>
              <w:bottom w:w="100" w:type="dxa"/>
              <w:left w:w="150" w:type="dxa"/>
              <w:right w:w="150" w:type="dxa"/>
            </w:tcMar>
          </w:tcPr>
          <w:p>
            <w:pPr>
              <w:jc w:val="left"/>
            </w:pPr>
            <w:r>
              <w:rPr>
                <w:rFonts w:ascii="Arial" w:hAnsi="Arial"/>
                <w:color w:val="212529"/>
                <w:sz w:val="18"/>
              </w:rPr>
              <w:t>24.8</w:t>
            </w:r>
          </w:p>
        </w:tc>
        <w:tc>
          <w:tcPr>
            <w:tcW w:type="dxa" w:w="1728"/>
            <w:shd w:fill="FFFFFF"/>
            <w:tcMar>
              <w:top w:w="100" w:type="dxa"/>
              <w:bottom w:w="100" w:type="dxa"/>
              <w:left w:w="150" w:type="dxa"/>
              <w:right w:w="150" w:type="dxa"/>
            </w:tcMar>
          </w:tcPr>
          <w:p>
            <w:pPr>
              <w:jc w:val="left"/>
            </w:pPr>
            <w:r>
              <w:rPr>
                <w:rFonts w:ascii="Arial" w:hAnsi="Arial"/>
                <w:color w:val="212529"/>
                <w:sz w:val="18"/>
              </w:rPr>
              <w:t>0 (Across Jammu)</w:t>
            </w:r>
          </w:p>
        </w:tc>
      </w:tr>
      <w:tr>
        <w:tc>
          <w:tcPr>
            <w:tcW w:type="dxa" w:w="2592"/>
            <w:shd w:fill="F8F9FA"/>
            <w:tcMar>
              <w:top w:w="100" w:type="dxa"/>
              <w:bottom w:w="100" w:type="dxa"/>
              <w:left w:w="150" w:type="dxa"/>
              <w:right w:w="150" w:type="dxa"/>
            </w:tcMar>
          </w:tcPr>
          <w:p>
            <w:pPr>
              <w:jc w:val="left"/>
            </w:pPr>
            <w:r>
              <w:rPr>
                <w:rFonts w:ascii="Arial" w:hAnsi="Arial"/>
                <w:color w:val="212529"/>
                <w:sz w:val="18"/>
              </w:rPr>
              <w:t>locality_score</w:t>
            </w:r>
          </w:p>
        </w:tc>
        <w:tc>
          <w:tcPr>
            <w:tcW w:type="dxa" w:w="1440"/>
            <w:shd w:fill="F8F9FA"/>
            <w:tcMar>
              <w:top w:w="100" w:type="dxa"/>
              <w:bottom w:w="100" w:type="dxa"/>
              <w:left w:w="150" w:type="dxa"/>
              <w:right w:w="150" w:type="dxa"/>
            </w:tcMar>
          </w:tcPr>
          <w:p>
            <w:pPr>
              <w:jc w:val="left"/>
            </w:pPr>
            <w:r>
              <w:rPr>
                <w:rFonts w:ascii="Arial" w:hAnsi="Arial"/>
                <w:color w:val="212529"/>
                <w:sz w:val="18"/>
              </w:rPr>
              <w:t>2.3</w:t>
            </w:r>
          </w:p>
        </w:tc>
        <w:tc>
          <w:tcPr>
            <w:tcW w:type="dxa" w:w="1440"/>
            <w:shd w:fill="F8F9FA"/>
            <w:tcMar>
              <w:top w:w="100" w:type="dxa"/>
              <w:bottom w:w="100" w:type="dxa"/>
              <w:left w:w="150" w:type="dxa"/>
              <w:right w:w="150" w:type="dxa"/>
            </w:tcMar>
          </w:tcPr>
          <w:p>
            <w:pPr>
              <w:jc w:val="left"/>
            </w:pPr>
            <w:r>
              <w:rPr>
                <w:rFonts w:ascii="Arial" w:hAnsi="Arial"/>
                <w:color w:val="212529"/>
                <w:sz w:val="18"/>
              </w:rPr>
              <w:t>6.5</w:t>
            </w:r>
          </w:p>
        </w:tc>
        <w:tc>
          <w:tcPr>
            <w:tcW w:type="dxa" w:w="1440"/>
            <w:shd w:fill="F8F9FA"/>
            <w:tcMar>
              <w:top w:w="100" w:type="dxa"/>
              <w:bottom w:w="100" w:type="dxa"/>
              <w:left w:w="150" w:type="dxa"/>
              <w:right w:w="150" w:type="dxa"/>
            </w:tcMar>
          </w:tcPr>
          <w:p>
            <w:pPr>
              <w:jc w:val="left"/>
            </w:pPr>
            <w:r>
              <w:rPr>
                <w:rFonts w:ascii="Arial" w:hAnsi="Arial"/>
                <w:color w:val="212529"/>
                <w:sz w:val="18"/>
              </w:rPr>
              <w:t>6.4</w:t>
            </w:r>
          </w:p>
        </w:tc>
        <w:tc>
          <w:tcPr>
            <w:tcW w:type="dxa" w:w="1440"/>
            <w:shd w:fill="F8F9FA"/>
            <w:tcMar>
              <w:top w:w="100" w:type="dxa"/>
              <w:bottom w:w="100" w:type="dxa"/>
              <w:left w:w="150" w:type="dxa"/>
              <w:right w:w="150" w:type="dxa"/>
            </w:tcMar>
          </w:tcPr>
          <w:p>
            <w:pPr>
              <w:jc w:val="left"/>
            </w:pPr>
            <w:r>
              <w:rPr>
                <w:rFonts w:ascii="Arial" w:hAnsi="Arial"/>
                <w:color w:val="212529"/>
                <w:sz w:val="18"/>
              </w:rPr>
              <w:t>9.9</w:t>
            </w:r>
          </w:p>
        </w:tc>
        <w:tc>
          <w:tcPr>
            <w:tcW w:type="dxa" w:w="1728"/>
            <w:shd w:fill="F8F9FA"/>
            <w:tcMar>
              <w:top w:w="100" w:type="dxa"/>
              <w:bottom w:w="100" w:type="dxa"/>
              <w:left w:w="150" w:type="dxa"/>
              <w:right w:w="150" w:type="dxa"/>
            </w:tcMar>
          </w:tcPr>
          <w:p>
            <w:pPr>
              <w:jc w:val="left"/>
            </w:pPr>
            <w:r>
              <w:rPr>
                <w:rFonts w:ascii="Arial" w:hAnsi="Arial"/>
                <w:color w:val="212529"/>
                <w:sz w:val="18"/>
              </w:rPr>
              <w:t>0 (Normal curve)</w:t>
            </w:r>
          </w:p>
        </w:tc>
      </w:tr>
    </w:tbl>
    <w:p>
      <w:pPr>
        <w:keepNext/>
        <w:spacing w:before="280" w:after="80"/>
      </w:pPr>
      <w:r>
        <w:rPr>
          <w:rFonts w:ascii="Arial" w:hAnsi="Arial"/>
          <w:b/>
          <w:color w:val="1B365D"/>
          <w:sz w:val="26"/>
        </w:rPr>
        <w:t>5. Public Data Source Investigation &amp; Provenance Register</w:t>
      </w:r>
    </w:p>
    <w:p>
      <w:pPr>
        <w:spacing w:before="40" w:after="80" w:line="276" w:lineRule="auto"/>
      </w:pPr>
      <w:r>
        <w:rPr>
          <w:rFonts w:ascii="Arial" w:hAnsi="Arial"/>
          <w:color w:val="212529"/>
          <w:sz w:val="20"/>
        </w:rPr>
        <w:t>Each of the seven public data sources identified in the project synopsis was investigated through network probes and licensing audits: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872"/>
            <w:shd w:fill="1B365D"/>
            <w:tcMar>
              <w:top w:w="140" w:type="dxa"/>
              <w:bottom w:w="140" w:type="dxa"/>
              <w:left w:w="150" w:type="dxa"/>
              <w:right w:w="150" w:type="dxa"/>
            </w:tcMar>
          </w:tcPr>
          <w:p>
            <w:pPr>
              <w:jc w:val="left"/>
            </w:pPr>
            <w:r>
              <w:rPr>
                <w:rFonts w:ascii="Arial" w:hAnsi="Arial"/>
                <w:b/>
                <w:color w:val="FFFFFF"/>
                <w:sz w:val="19"/>
              </w:rPr>
              <w:t>Source ID &amp; Name</w:t>
            </w:r>
          </w:p>
        </w:tc>
        <w:tc>
          <w:tcPr>
            <w:tcW w:type="dxa" w:w="2160"/>
            <w:shd w:fill="1B365D"/>
            <w:tcMar>
              <w:top w:w="140" w:type="dxa"/>
              <w:bottom w:w="140" w:type="dxa"/>
              <w:left w:w="150" w:type="dxa"/>
              <w:right w:w="150" w:type="dxa"/>
            </w:tcMar>
          </w:tcPr>
          <w:p>
            <w:pPr>
              <w:jc w:val="left"/>
            </w:pPr>
            <w:r>
              <w:rPr>
                <w:rFonts w:ascii="Arial" w:hAnsi="Arial"/>
                <w:b/>
                <w:color w:val="FFFFFF"/>
                <w:sz w:val="19"/>
              </w:rPr>
              <w:t>Authority / Portal</w:t>
            </w:r>
          </w:p>
        </w:tc>
        <w:tc>
          <w:tcPr>
            <w:tcW w:type="dxa" w:w="1728"/>
            <w:shd w:fill="1B365D"/>
            <w:tcMar>
              <w:top w:w="140" w:type="dxa"/>
              <w:bottom w:w="140" w:type="dxa"/>
              <w:left w:w="150" w:type="dxa"/>
              <w:right w:w="150" w:type="dxa"/>
            </w:tcMar>
          </w:tcPr>
          <w:p>
            <w:pPr>
              <w:jc w:val="left"/>
            </w:pPr>
            <w:r>
              <w:rPr>
                <w:rFonts w:ascii="Arial" w:hAnsi="Arial"/>
                <w:b/>
                <w:color w:val="FFFFFF"/>
                <w:sz w:val="19"/>
              </w:rPr>
              <w:t>Probe Result</w:t>
            </w:r>
          </w:p>
        </w:tc>
        <w:tc>
          <w:tcPr>
            <w:tcW w:type="dxa" w:w="1440"/>
            <w:shd w:fill="1B365D"/>
            <w:tcMar>
              <w:top w:w="140" w:type="dxa"/>
              <w:bottom w:w="140" w:type="dxa"/>
              <w:left w:w="150" w:type="dxa"/>
              <w:right w:w="150" w:type="dxa"/>
            </w:tcMar>
          </w:tcPr>
          <w:p>
            <w:pPr>
              <w:jc w:val="left"/>
            </w:pPr>
            <w:r>
              <w:rPr>
                <w:rFonts w:ascii="Arial" w:hAnsi="Arial"/>
                <w:b/>
                <w:color w:val="FFFFFF"/>
                <w:sz w:val="19"/>
              </w:rPr>
              <w:t>Format</w:t>
            </w:r>
          </w:p>
        </w:tc>
        <w:tc>
          <w:tcPr>
            <w:tcW w:type="dxa" w:w="2880"/>
            <w:shd w:fill="1B365D"/>
            <w:tcMar>
              <w:top w:w="140" w:type="dxa"/>
              <w:bottom w:w="140" w:type="dxa"/>
              <w:left w:w="150" w:type="dxa"/>
              <w:right w:w="150" w:type="dxa"/>
            </w:tcMar>
          </w:tcPr>
          <w:p>
            <w:pPr>
              <w:jc w:val="left"/>
            </w:pPr>
            <w:r>
              <w:rPr>
                <w:rFonts w:ascii="Arial" w:hAnsi="Arial"/>
                <w:b/>
                <w:color w:val="FFFFFF"/>
                <w:sz w:val="19"/>
              </w:rPr>
              <w:t>Access &amp; Governance Assessment</w:t>
            </w:r>
          </w:p>
        </w:tc>
      </w:tr>
      <w:tr>
        <w:tc>
          <w:tcPr>
            <w:tcW w:type="dxa" w:w="1872"/>
            <w:shd w:fill="FFFFFF"/>
            <w:tcMar>
              <w:top w:w="100" w:type="dxa"/>
              <w:bottom w:w="100" w:type="dxa"/>
              <w:left w:w="150" w:type="dxa"/>
              <w:right w:w="150" w:type="dxa"/>
            </w:tcMar>
          </w:tcPr>
          <w:p>
            <w:pPr>
              <w:jc w:val="left"/>
            </w:pPr>
            <w:r>
              <w:rPr>
                <w:rFonts w:ascii="Arial" w:hAnsi="Arial"/>
                <w:color w:val="212529"/>
                <w:sz w:val="18"/>
              </w:rPr>
              <w:t>SRC-01: 99acres Listings</w:t>
            </w:r>
          </w:p>
        </w:tc>
        <w:tc>
          <w:tcPr>
            <w:tcW w:type="dxa" w:w="2160"/>
            <w:shd w:fill="FFFFFF"/>
            <w:tcMar>
              <w:top w:w="100" w:type="dxa"/>
              <w:bottom w:w="100" w:type="dxa"/>
              <w:left w:w="150" w:type="dxa"/>
              <w:right w:w="150" w:type="dxa"/>
            </w:tcMar>
          </w:tcPr>
          <w:p>
            <w:pPr>
              <w:jc w:val="left"/>
            </w:pPr>
            <w:r>
              <w:rPr>
                <w:rFonts w:ascii="Arial" w:hAnsi="Arial"/>
                <w:color w:val="212529"/>
                <w:sz w:val="18"/>
              </w:rPr>
              <w:t>Info Edge India</w:t>
            </w:r>
          </w:p>
        </w:tc>
        <w:tc>
          <w:tcPr>
            <w:tcW w:type="dxa" w:w="1728"/>
            <w:shd w:fill="FFFFFF"/>
            <w:tcMar>
              <w:top w:w="100" w:type="dxa"/>
              <w:bottom w:w="100" w:type="dxa"/>
              <w:left w:w="150" w:type="dxa"/>
              <w:right w:w="150" w:type="dxa"/>
            </w:tcMar>
          </w:tcPr>
          <w:p>
            <w:pPr>
              <w:jc w:val="left"/>
            </w:pPr>
            <w:r>
              <w:rPr>
                <w:rFonts w:ascii="Arial" w:hAnsi="Arial"/>
                <w:color w:val="212529"/>
                <w:sz w:val="18"/>
              </w:rPr>
              <w:t>HTTP 403 (Forbidden)</w:t>
            </w:r>
          </w:p>
        </w:tc>
        <w:tc>
          <w:tcPr>
            <w:tcW w:type="dxa" w:w="1440"/>
            <w:shd w:fill="FFFFFF"/>
            <w:tcMar>
              <w:top w:w="100" w:type="dxa"/>
              <w:bottom w:w="100" w:type="dxa"/>
              <w:left w:w="150" w:type="dxa"/>
              <w:right w:w="150" w:type="dxa"/>
            </w:tcMar>
          </w:tcPr>
          <w:p>
            <w:pPr>
              <w:jc w:val="left"/>
            </w:pPr>
            <w:r>
              <w:rPr>
                <w:rFonts w:ascii="Arial" w:hAnsi="Arial"/>
                <w:color w:val="212529"/>
                <w:sz w:val="18"/>
              </w:rPr>
              <w:t>HTML / Dynamic</w:t>
            </w:r>
          </w:p>
        </w:tc>
        <w:tc>
          <w:tcPr>
            <w:tcW w:type="dxa" w:w="2880"/>
            <w:shd w:fill="FFFFFF"/>
            <w:tcMar>
              <w:top w:w="100" w:type="dxa"/>
              <w:bottom w:w="100" w:type="dxa"/>
              <w:left w:w="150" w:type="dxa"/>
              <w:right w:w="150" w:type="dxa"/>
            </w:tcMar>
          </w:tcPr>
          <w:p>
            <w:pPr>
              <w:jc w:val="left"/>
            </w:pPr>
            <w:r>
              <w:rPr>
                <w:rFonts w:ascii="Arial" w:hAnsi="Arial"/>
                <w:color w:val="212529"/>
                <w:sz w:val="18"/>
              </w:rPr>
              <w:t>Cloudflare anti-scraping blocks direct bulk harvesting. Must use curated 1,200 listings as public snapshot.</w:t>
            </w:r>
          </w:p>
        </w:tc>
      </w:tr>
      <w:tr>
        <w:tc>
          <w:tcPr>
            <w:tcW w:type="dxa" w:w="1872"/>
            <w:shd w:fill="F8F9FA"/>
            <w:tcMar>
              <w:top w:w="100" w:type="dxa"/>
              <w:bottom w:w="100" w:type="dxa"/>
              <w:left w:w="150" w:type="dxa"/>
              <w:right w:w="150" w:type="dxa"/>
            </w:tcMar>
          </w:tcPr>
          <w:p>
            <w:pPr>
              <w:jc w:val="left"/>
            </w:pPr>
            <w:r>
              <w:rPr>
                <w:rFonts w:ascii="Arial" w:hAnsi="Arial"/>
                <w:color w:val="212529"/>
                <w:sz w:val="18"/>
              </w:rPr>
              <w:t>SRC-02: JDA Approvals</w:t>
            </w:r>
          </w:p>
        </w:tc>
        <w:tc>
          <w:tcPr>
            <w:tcW w:type="dxa" w:w="2160"/>
            <w:shd w:fill="F8F9FA"/>
            <w:tcMar>
              <w:top w:w="100" w:type="dxa"/>
              <w:bottom w:w="100" w:type="dxa"/>
              <w:left w:w="150" w:type="dxa"/>
              <w:right w:w="150" w:type="dxa"/>
            </w:tcMar>
          </w:tcPr>
          <w:p>
            <w:pPr>
              <w:jc w:val="left"/>
            </w:pPr>
            <w:r>
              <w:rPr>
                <w:rFonts w:ascii="Arial" w:hAnsi="Arial"/>
                <w:color w:val="212529"/>
                <w:sz w:val="18"/>
              </w:rPr>
              <w:t>Jammu Dev Authority</w:t>
            </w:r>
          </w:p>
        </w:tc>
        <w:tc>
          <w:tcPr>
            <w:tcW w:type="dxa" w:w="1728"/>
            <w:shd w:fill="F8F9FA"/>
            <w:tcMar>
              <w:top w:w="100" w:type="dxa"/>
              <w:bottom w:w="100" w:type="dxa"/>
              <w:left w:w="150" w:type="dxa"/>
              <w:right w:w="150" w:type="dxa"/>
            </w:tcMar>
          </w:tcPr>
          <w:p>
            <w:pPr>
              <w:jc w:val="left"/>
            </w:pPr>
            <w:r>
              <w:rPr>
                <w:rFonts w:ascii="Arial" w:hAnsi="Arial"/>
                <w:color w:val="212529"/>
                <w:sz w:val="18"/>
              </w:rPr>
              <w:t>HTTP 200 (Accessible)</w:t>
            </w:r>
          </w:p>
        </w:tc>
        <w:tc>
          <w:tcPr>
            <w:tcW w:type="dxa" w:w="1440"/>
            <w:shd w:fill="F8F9FA"/>
            <w:tcMar>
              <w:top w:w="100" w:type="dxa"/>
              <w:bottom w:w="100" w:type="dxa"/>
              <w:left w:w="150" w:type="dxa"/>
              <w:right w:w="150" w:type="dxa"/>
            </w:tcMar>
          </w:tcPr>
          <w:p>
            <w:pPr>
              <w:jc w:val="left"/>
            </w:pPr>
            <w:r>
              <w:rPr>
                <w:rFonts w:ascii="Arial" w:hAnsi="Arial"/>
                <w:color w:val="212529"/>
                <w:sz w:val="18"/>
              </w:rPr>
              <w:t>HTML / Gazette</w:t>
            </w:r>
          </w:p>
        </w:tc>
        <w:tc>
          <w:tcPr>
            <w:tcW w:type="dxa" w:w="2880"/>
            <w:shd w:fill="F8F9FA"/>
            <w:tcMar>
              <w:top w:w="100" w:type="dxa"/>
              <w:bottom w:w="100" w:type="dxa"/>
              <w:left w:w="150" w:type="dxa"/>
              <w:right w:w="150" w:type="dxa"/>
            </w:tcMar>
          </w:tcPr>
          <w:p>
            <w:pPr>
              <w:jc w:val="left"/>
            </w:pPr>
            <w:r>
              <w:rPr>
                <w:rFonts w:ascii="Arial" w:hAnsi="Arial"/>
                <w:color w:val="212529"/>
                <w:sz w:val="18"/>
              </w:rPr>
              <w:t>Official colony layout schemes and Master Plan 2032 zones verified on jda.jk.gov.in.</w:t>
            </w:r>
          </w:p>
        </w:tc>
      </w:tr>
      <w:tr>
        <w:tc>
          <w:tcPr>
            <w:tcW w:type="dxa" w:w="1872"/>
            <w:shd w:fill="FFFFFF"/>
            <w:tcMar>
              <w:top w:w="100" w:type="dxa"/>
              <w:bottom w:w="100" w:type="dxa"/>
              <w:left w:w="150" w:type="dxa"/>
              <w:right w:w="150" w:type="dxa"/>
            </w:tcMar>
          </w:tcPr>
          <w:p>
            <w:pPr>
              <w:jc w:val="left"/>
            </w:pPr>
            <w:r>
              <w:rPr>
                <w:rFonts w:ascii="Arial" w:hAnsi="Arial"/>
                <w:color w:val="212529"/>
                <w:sz w:val="18"/>
              </w:rPr>
              <w:t>SRC-03: J&amp;K RERA</w:t>
            </w:r>
          </w:p>
        </w:tc>
        <w:tc>
          <w:tcPr>
            <w:tcW w:type="dxa" w:w="2160"/>
            <w:shd w:fill="FFFFFF"/>
            <w:tcMar>
              <w:top w:w="100" w:type="dxa"/>
              <w:bottom w:w="100" w:type="dxa"/>
              <w:left w:w="150" w:type="dxa"/>
              <w:right w:w="150" w:type="dxa"/>
            </w:tcMar>
          </w:tcPr>
          <w:p>
            <w:pPr>
              <w:jc w:val="left"/>
            </w:pPr>
            <w:r>
              <w:rPr>
                <w:rFonts w:ascii="Arial" w:hAnsi="Arial"/>
                <w:color w:val="212529"/>
                <w:sz w:val="18"/>
              </w:rPr>
              <w:t>J&amp;K RERA HUDD</w:t>
            </w:r>
          </w:p>
        </w:tc>
        <w:tc>
          <w:tcPr>
            <w:tcW w:type="dxa" w:w="1728"/>
            <w:shd w:fill="FFFFFF"/>
            <w:tcMar>
              <w:top w:w="100" w:type="dxa"/>
              <w:bottom w:w="100" w:type="dxa"/>
              <w:left w:w="150" w:type="dxa"/>
              <w:right w:w="150" w:type="dxa"/>
            </w:tcMar>
          </w:tcPr>
          <w:p>
            <w:pPr>
              <w:jc w:val="left"/>
            </w:pPr>
            <w:r>
              <w:rPr>
                <w:rFonts w:ascii="Arial" w:hAnsi="Arial"/>
                <w:color w:val="212529"/>
                <w:sz w:val="18"/>
              </w:rPr>
              <w:t>HTTP 200 (Accessible)</w:t>
            </w:r>
          </w:p>
        </w:tc>
        <w:tc>
          <w:tcPr>
            <w:tcW w:type="dxa" w:w="1440"/>
            <w:shd w:fill="FFFFFF"/>
            <w:tcMar>
              <w:top w:w="100" w:type="dxa"/>
              <w:bottom w:w="100" w:type="dxa"/>
              <w:left w:w="150" w:type="dxa"/>
              <w:right w:w="150" w:type="dxa"/>
            </w:tcMar>
          </w:tcPr>
          <w:p>
            <w:pPr>
              <w:jc w:val="left"/>
            </w:pPr>
            <w:r>
              <w:rPr>
                <w:rFonts w:ascii="Arial" w:hAnsi="Arial"/>
                <w:color w:val="212529"/>
                <w:sz w:val="18"/>
              </w:rPr>
              <w:t>Web / PDF</w:t>
            </w:r>
          </w:p>
        </w:tc>
        <w:tc>
          <w:tcPr>
            <w:tcW w:type="dxa" w:w="2880"/>
            <w:shd w:fill="FFFFFF"/>
            <w:tcMar>
              <w:top w:w="100" w:type="dxa"/>
              <w:bottom w:w="100" w:type="dxa"/>
              <w:left w:w="150" w:type="dxa"/>
              <w:right w:w="150" w:type="dxa"/>
            </w:tcMar>
          </w:tcPr>
          <w:p>
            <w:pPr>
              <w:jc w:val="left"/>
            </w:pPr>
            <w:r>
              <w:rPr>
                <w:rFonts w:ascii="Arial" w:hAnsi="Arial"/>
                <w:color w:val="212529"/>
                <w:sz w:val="18"/>
              </w:rPr>
              <w:t>Public statutory registers of real estate projects and promoter compliance accessible on rera.jk.gov.in.</w:t>
            </w:r>
          </w:p>
        </w:tc>
      </w:tr>
      <w:tr>
        <w:tc>
          <w:tcPr>
            <w:tcW w:type="dxa" w:w="1872"/>
            <w:shd w:fill="F8F9FA"/>
            <w:tcMar>
              <w:top w:w="100" w:type="dxa"/>
              <w:bottom w:w="100" w:type="dxa"/>
              <w:left w:w="150" w:type="dxa"/>
              <w:right w:w="150" w:type="dxa"/>
            </w:tcMar>
          </w:tcPr>
          <w:p>
            <w:pPr>
              <w:jc w:val="left"/>
            </w:pPr>
            <w:r>
              <w:rPr>
                <w:rFonts w:ascii="Arial" w:hAnsi="Arial"/>
                <w:color w:val="212529"/>
                <w:sz w:val="18"/>
              </w:rPr>
              <w:t>SRC-04: JMC Civic Records</w:t>
            </w:r>
          </w:p>
        </w:tc>
        <w:tc>
          <w:tcPr>
            <w:tcW w:type="dxa" w:w="2160"/>
            <w:shd w:fill="F8F9FA"/>
            <w:tcMar>
              <w:top w:w="100" w:type="dxa"/>
              <w:bottom w:w="100" w:type="dxa"/>
              <w:left w:w="150" w:type="dxa"/>
              <w:right w:w="150" w:type="dxa"/>
            </w:tcMar>
          </w:tcPr>
          <w:p>
            <w:pPr>
              <w:jc w:val="left"/>
            </w:pPr>
            <w:r>
              <w:rPr>
                <w:rFonts w:ascii="Arial" w:hAnsi="Arial"/>
                <w:color w:val="212529"/>
                <w:sz w:val="18"/>
              </w:rPr>
              <w:t>Jammu Municipal Corp</w:t>
            </w:r>
          </w:p>
        </w:tc>
        <w:tc>
          <w:tcPr>
            <w:tcW w:type="dxa" w:w="1728"/>
            <w:shd w:fill="F8F9FA"/>
            <w:tcMar>
              <w:top w:w="100" w:type="dxa"/>
              <w:bottom w:w="100" w:type="dxa"/>
              <w:left w:w="150" w:type="dxa"/>
              <w:right w:w="150" w:type="dxa"/>
            </w:tcMar>
          </w:tcPr>
          <w:p>
            <w:pPr>
              <w:jc w:val="left"/>
            </w:pPr>
            <w:r>
              <w:rPr>
                <w:rFonts w:ascii="Arial" w:hAnsi="Arial"/>
                <w:color w:val="212529"/>
                <w:sz w:val="18"/>
              </w:rPr>
              <w:t>HTTP 404 (Root)</w:t>
            </w:r>
          </w:p>
        </w:tc>
        <w:tc>
          <w:tcPr>
            <w:tcW w:type="dxa" w:w="1440"/>
            <w:shd w:fill="F8F9FA"/>
            <w:tcMar>
              <w:top w:w="100" w:type="dxa"/>
              <w:bottom w:w="100" w:type="dxa"/>
              <w:left w:w="150" w:type="dxa"/>
              <w:right w:w="150" w:type="dxa"/>
            </w:tcMar>
          </w:tcPr>
          <w:p>
            <w:pPr>
              <w:jc w:val="left"/>
            </w:pPr>
            <w:r>
              <w:rPr>
                <w:rFonts w:ascii="Arial" w:hAnsi="Arial"/>
                <w:color w:val="212529"/>
                <w:sz w:val="18"/>
              </w:rPr>
              <w:t>Municipal Tables</w:t>
            </w:r>
          </w:p>
        </w:tc>
        <w:tc>
          <w:tcPr>
            <w:tcW w:type="dxa" w:w="2880"/>
            <w:shd w:fill="F8F9FA"/>
            <w:tcMar>
              <w:top w:w="100" w:type="dxa"/>
              <w:bottom w:w="100" w:type="dxa"/>
              <w:left w:w="150" w:type="dxa"/>
              <w:right w:w="150" w:type="dxa"/>
            </w:tcMar>
          </w:tcPr>
          <w:p>
            <w:pPr>
              <w:jc w:val="left"/>
            </w:pPr>
            <w:r>
              <w:rPr>
                <w:rFonts w:ascii="Arial" w:hAnsi="Arial"/>
                <w:color w:val="212529"/>
                <w:sz w:val="18"/>
              </w:rPr>
              <w:t>Root endpoint redirected; ward sanitation and drainage benchmarks extracted via urban disclosures.</w:t>
            </w:r>
          </w:p>
        </w:tc>
      </w:tr>
      <w:tr>
        <w:tc>
          <w:tcPr>
            <w:tcW w:type="dxa" w:w="1872"/>
            <w:shd w:fill="FFFFFF"/>
            <w:tcMar>
              <w:top w:w="100" w:type="dxa"/>
              <w:bottom w:w="100" w:type="dxa"/>
              <w:left w:w="150" w:type="dxa"/>
              <w:right w:w="150" w:type="dxa"/>
            </w:tcMar>
          </w:tcPr>
          <w:p>
            <w:pPr>
              <w:jc w:val="left"/>
            </w:pPr>
            <w:r>
              <w:rPr>
                <w:rFonts w:ascii="Arial" w:hAnsi="Arial"/>
                <w:color w:val="212529"/>
                <w:sz w:val="18"/>
              </w:rPr>
              <w:t>SRC-05: Revenue Circle Rates</w:t>
            </w:r>
          </w:p>
        </w:tc>
        <w:tc>
          <w:tcPr>
            <w:tcW w:type="dxa" w:w="2160"/>
            <w:shd w:fill="FFFFFF"/>
            <w:tcMar>
              <w:top w:w="100" w:type="dxa"/>
              <w:bottom w:w="100" w:type="dxa"/>
              <w:left w:w="150" w:type="dxa"/>
              <w:right w:w="150" w:type="dxa"/>
            </w:tcMar>
          </w:tcPr>
          <w:p>
            <w:pPr>
              <w:jc w:val="left"/>
            </w:pPr>
            <w:r>
              <w:rPr>
                <w:rFonts w:ascii="Arial" w:hAnsi="Arial"/>
                <w:color w:val="212529"/>
                <w:sz w:val="18"/>
              </w:rPr>
              <w:t>J&amp;K Revenue / DC Jammu</w:t>
            </w:r>
          </w:p>
        </w:tc>
        <w:tc>
          <w:tcPr>
            <w:tcW w:type="dxa" w:w="1728"/>
            <w:shd w:fill="FFFFFF"/>
            <w:tcMar>
              <w:top w:w="100" w:type="dxa"/>
              <w:bottom w:w="100" w:type="dxa"/>
              <w:left w:w="150" w:type="dxa"/>
              <w:right w:w="150" w:type="dxa"/>
            </w:tcMar>
          </w:tcPr>
          <w:p>
            <w:pPr>
              <w:jc w:val="left"/>
            </w:pPr>
            <w:r>
              <w:rPr>
                <w:rFonts w:ascii="Arial" w:hAnsi="Arial"/>
                <w:color w:val="212529"/>
                <w:sz w:val="18"/>
              </w:rPr>
              <w:t>Connection Timeout</w:t>
            </w:r>
          </w:p>
        </w:tc>
        <w:tc>
          <w:tcPr>
            <w:tcW w:type="dxa" w:w="1440"/>
            <w:shd w:fill="FFFFFF"/>
            <w:tcMar>
              <w:top w:w="100" w:type="dxa"/>
              <w:bottom w:w="100" w:type="dxa"/>
              <w:left w:w="150" w:type="dxa"/>
              <w:right w:w="150" w:type="dxa"/>
            </w:tcMar>
          </w:tcPr>
          <w:p>
            <w:pPr>
              <w:jc w:val="left"/>
            </w:pPr>
            <w:r>
              <w:rPr>
                <w:rFonts w:ascii="Arial" w:hAnsi="Arial"/>
                <w:color w:val="212529"/>
                <w:sz w:val="18"/>
              </w:rPr>
              <w:t>Gazette PDF</w:t>
            </w:r>
          </w:p>
        </w:tc>
        <w:tc>
          <w:tcPr>
            <w:tcW w:type="dxa" w:w="2880"/>
            <w:shd w:fill="FFFFFF"/>
            <w:tcMar>
              <w:top w:w="100" w:type="dxa"/>
              <w:bottom w:w="100" w:type="dxa"/>
              <w:left w:w="150" w:type="dxa"/>
              <w:right w:w="150" w:type="dxa"/>
            </w:tcMar>
          </w:tcPr>
          <w:p>
            <w:pPr>
              <w:jc w:val="left"/>
            </w:pPr>
            <w:r>
              <w:rPr>
                <w:rFonts w:ascii="Arial" w:hAnsi="Arial"/>
                <w:color w:val="212529"/>
                <w:sz w:val="18"/>
              </w:rPr>
              <w:t>Direct NIC portal timed out; statutory circle rate tables retrieved from official District Collector notifications.</w:t>
            </w:r>
          </w:p>
        </w:tc>
      </w:tr>
      <w:tr>
        <w:tc>
          <w:tcPr>
            <w:tcW w:type="dxa" w:w="1872"/>
            <w:shd w:fill="F8F9FA"/>
            <w:tcMar>
              <w:top w:w="100" w:type="dxa"/>
              <w:bottom w:w="100" w:type="dxa"/>
              <w:left w:w="150" w:type="dxa"/>
              <w:right w:w="150" w:type="dxa"/>
            </w:tcMar>
          </w:tcPr>
          <w:p>
            <w:pPr>
              <w:jc w:val="left"/>
            </w:pPr>
            <w:r>
              <w:rPr>
                <w:rFonts w:ascii="Arial" w:hAnsi="Arial"/>
                <w:color w:val="212529"/>
                <w:sz w:val="18"/>
              </w:rPr>
              <w:t>SRC-06: J&amp;K SDMA Hazard Maps</w:t>
            </w:r>
          </w:p>
        </w:tc>
        <w:tc>
          <w:tcPr>
            <w:tcW w:type="dxa" w:w="2160"/>
            <w:shd w:fill="F8F9FA"/>
            <w:tcMar>
              <w:top w:w="100" w:type="dxa"/>
              <w:bottom w:w="100" w:type="dxa"/>
              <w:left w:w="150" w:type="dxa"/>
              <w:right w:w="150" w:type="dxa"/>
            </w:tcMar>
          </w:tcPr>
          <w:p>
            <w:pPr>
              <w:jc w:val="left"/>
            </w:pPr>
            <w:r>
              <w:rPr>
                <w:rFonts w:ascii="Arial" w:hAnsi="Arial"/>
                <w:color w:val="212529"/>
                <w:sz w:val="18"/>
              </w:rPr>
              <w:t>J&amp;K SDMA</w:t>
            </w:r>
          </w:p>
        </w:tc>
        <w:tc>
          <w:tcPr>
            <w:tcW w:type="dxa" w:w="1728"/>
            <w:shd w:fill="F8F9FA"/>
            <w:tcMar>
              <w:top w:w="100" w:type="dxa"/>
              <w:bottom w:w="100" w:type="dxa"/>
              <w:left w:w="150" w:type="dxa"/>
              <w:right w:w="150" w:type="dxa"/>
            </w:tcMar>
          </w:tcPr>
          <w:p>
            <w:pPr>
              <w:jc w:val="left"/>
            </w:pPr>
            <w:r>
              <w:rPr>
                <w:rFonts w:ascii="Arial" w:hAnsi="Arial"/>
                <w:color w:val="212529"/>
                <w:sz w:val="18"/>
              </w:rPr>
              <w:t>HTTP 200 (Accessible)</w:t>
            </w:r>
          </w:p>
        </w:tc>
        <w:tc>
          <w:tcPr>
            <w:tcW w:type="dxa" w:w="1440"/>
            <w:shd w:fill="F8F9FA"/>
            <w:tcMar>
              <w:top w:w="100" w:type="dxa"/>
              <w:bottom w:w="100" w:type="dxa"/>
              <w:left w:w="150" w:type="dxa"/>
              <w:right w:w="150" w:type="dxa"/>
            </w:tcMar>
          </w:tcPr>
          <w:p>
            <w:pPr>
              <w:jc w:val="left"/>
            </w:pPr>
            <w:r>
              <w:rPr>
                <w:rFonts w:ascii="Arial" w:hAnsi="Arial"/>
                <w:color w:val="212529"/>
                <w:sz w:val="18"/>
              </w:rPr>
              <w:t>Atlas / PDF</w:t>
            </w:r>
          </w:p>
        </w:tc>
        <w:tc>
          <w:tcPr>
            <w:tcW w:type="dxa" w:w="2880"/>
            <w:shd w:fill="F8F9FA"/>
            <w:tcMar>
              <w:top w:w="100" w:type="dxa"/>
              <w:bottom w:w="100" w:type="dxa"/>
              <w:left w:w="150" w:type="dxa"/>
              <w:right w:w="150" w:type="dxa"/>
            </w:tcMar>
          </w:tcPr>
          <w:p>
            <w:pPr>
              <w:jc w:val="left"/>
            </w:pPr>
            <w:r>
              <w:rPr>
                <w:rFonts w:ascii="Arial" w:hAnsi="Arial"/>
                <w:color w:val="212529"/>
                <w:sz w:val="18"/>
              </w:rPr>
              <w:t>Tawi flood vulnerability and hazard zones verified on jksdma.jk.gov.in.</w:t>
            </w:r>
          </w:p>
        </w:tc>
      </w:tr>
      <w:tr>
        <w:tc>
          <w:tcPr>
            <w:tcW w:type="dxa" w:w="1872"/>
            <w:shd w:fill="FFFFFF"/>
            <w:tcMar>
              <w:top w:w="100" w:type="dxa"/>
              <w:bottom w:w="100" w:type="dxa"/>
              <w:left w:w="150" w:type="dxa"/>
              <w:right w:w="150" w:type="dxa"/>
            </w:tcMar>
          </w:tcPr>
          <w:p>
            <w:pPr>
              <w:jc w:val="left"/>
            </w:pPr>
            <w:r>
              <w:rPr>
                <w:rFonts w:ascii="Arial" w:hAnsi="Arial"/>
                <w:color w:val="212529"/>
                <w:sz w:val="18"/>
              </w:rPr>
              <w:t>SRC-07: OpenStreetMap</w:t>
            </w:r>
          </w:p>
        </w:tc>
        <w:tc>
          <w:tcPr>
            <w:tcW w:type="dxa" w:w="2160"/>
            <w:shd w:fill="FFFFFF"/>
            <w:tcMar>
              <w:top w:w="100" w:type="dxa"/>
              <w:bottom w:w="100" w:type="dxa"/>
              <w:left w:w="150" w:type="dxa"/>
              <w:right w:w="150" w:type="dxa"/>
            </w:tcMar>
          </w:tcPr>
          <w:p>
            <w:pPr>
              <w:jc w:val="left"/>
            </w:pPr>
            <w:r>
              <w:rPr>
                <w:rFonts w:ascii="Arial" w:hAnsi="Arial"/>
                <w:color w:val="212529"/>
                <w:sz w:val="18"/>
              </w:rPr>
              <w:t>OSM Foundation</w:t>
            </w:r>
          </w:p>
        </w:tc>
        <w:tc>
          <w:tcPr>
            <w:tcW w:type="dxa" w:w="1728"/>
            <w:shd w:fill="FFFFFF"/>
            <w:tcMar>
              <w:top w:w="100" w:type="dxa"/>
              <w:bottom w:w="100" w:type="dxa"/>
              <w:left w:w="150" w:type="dxa"/>
              <w:right w:w="150" w:type="dxa"/>
            </w:tcMar>
          </w:tcPr>
          <w:p>
            <w:pPr>
              <w:jc w:val="left"/>
            </w:pPr>
            <w:r>
              <w:rPr>
                <w:rFonts w:ascii="Arial" w:hAnsi="Arial"/>
                <w:color w:val="212529"/>
                <w:sz w:val="18"/>
              </w:rPr>
              <w:t>HTTP 200 (Accessible)</w:t>
            </w:r>
          </w:p>
        </w:tc>
        <w:tc>
          <w:tcPr>
            <w:tcW w:type="dxa" w:w="1440"/>
            <w:shd w:fill="FFFFFF"/>
            <w:tcMar>
              <w:top w:w="100" w:type="dxa"/>
              <w:bottom w:w="100" w:type="dxa"/>
              <w:left w:w="150" w:type="dxa"/>
              <w:right w:w="150" w:type="dxa"/>
            </w:tcMar>
          </w:tcPr>
          <w:p>
            <w:pPr>
              <w:jc w:val="left"/>
            </w:pPr>
            <w:r>
              <w:rPr>
                <w:rFonts w:ascii="Arial" w:hAnsi="Arial"/>
                <w:color w:val="212529"/>
                <w:sz w:val="18"/>
              </w:rPr>
              <w:t>GeoJSON / Vector</w:t>
            </w:r>
          </w:p>
        </w:tc>
        <w:tc>
          <w:tcPr>
            <w:tcW w:type="dxa" w:w="2880"/>
            <w:shd w:fill="FFFFFF"/>
            <w:tcMar>
              <w:top w:w="100" w:type="dxa"/>
              <w:bottom w:w="100" w:type="dxa"/>
              <w:left w:w="150" w:type="dxa"/>
              <w:right w:w="150" w:type="dxa"/>
            </w:tcMar>
          </w:tcPr>
          <w:p>
            <w:pPr>
              <w:jc w:val="left"/>
            </w:pPr>
            <w:r>
              <w:rPr>
                <w:rFonts w:ascii="Arial" w:hAnsi="Arial"/>
                <w:color w:val="212529"/>
                <w:sz w:val="18"/>
              </w:rPr>
              <w:t>Overpass API endpoint operational; complies with ODbL attribution requirements.</w:t>
            </w:r>
          </w:p>
        </w:tc>
      </w:tr>
    </w:tbl>
    <w:p>
      <w:pPr>
        <w:keepNext/>
        <w:spacing w:before="280" w:after="80"/>
      </w:pPr>
      <w:r>
        <w:rPr>
          <w:rFonts w:ascii="Arial" w:hAnsi="Arial"/>
          <w:b/>
          <w:color w:val="1B365D"/>
          <w:sz w:val="26"/>
        </w:rPr>
        <w:t>6. Target Leakage Analysis &amp; Modeling Safety Guardrails</w:t>
      </w:r>
    </w:p>
    <w:p>
      <w:pPr>
        <w:spacing w:before="40" w:after="80" w:line="276" w:lineRule="auto"/>
      </w:pPr>
      <w:r>
        <w:rPr>
          <w:rFonts w:ascii="Arial" w:hAnsi="Arial"/>
          <w:color w:val="212529"/>
          <w:sz w:val="20"/>
        </w:rPr>
        <w:t>A critical engineering audit was conducted on mathematical interdependencies between columns. The audit revealed that total_price_lakh is exactly derived as (area_sqft * price_per_sqft) / 100,000. In future property value forecasting models, including price_per_sqft as an input feature while predicting total_price_lakh would introduce fatal target leakage. The team has established a strict protocol: regression models must predict total_price_lakh using only hedonic, structural, and spatial features without access to unit price derivatives.</w:t>
      </w:r>
    </w:p>
    <w:p>
      <w:pPr>
        <w:keepNext/>
        <w:spacing w:before="280" w:after="80"/>
      </w:pPr>
      <w:r>
        <w:rPr>
          <w:rFonts w:ascii="Arial" w:hAnsi="Arial"/>
          <w:b/>
          <w:color w:val="1B365D"/>
          <w:sz w:val="26"/>
        </w:rPr>
        <w:t>7. Problems Encountered, Root Causes &amp; Resolutions</w:t>
      </w:r>
    </w:p>
    <w:p>
      <w:pPr>
        <w:spacing w:before="40" w:after="80" w:line="276" w:lineRule="auto"/>
      </w:pPr>
      <w:r>
        <w:rPr>
          <w:rFonts w:ascii="Arial" w:hAnsi="Arial"/>
          <w:b/>
          <w:color w:val="212529"/>
          <w:sz w:val="20"/>
        </w:rPr>
        <w:t>• Problem: Direct automated scraping of 99acres blocked by anti-bot mitigation.</w:t>
        <w:br/>
      </w:r>
      <w:r>
        <w:rPr>
          <w:rFonts w:ascii="Arial" w:hAnsi="Arial"/>
          <w:color w:val="212529"/>
          <w:sz w:val="20"/>
        </w:rPr>
        <w:t>Root Cause: Commercial portals employ Akamai/Cloudflare perimeter defenses that trigger 403 Forbidden on programmatic requests.</w:t>
        <w:br/>
        <w:t>Resolution: Documented the limitation transparently in the data source register; established that the supplied 1,200 curated listings represent the verified baseline listings snapshot.</w:t>
      </w:r>
    </w:p>
    <w:p>
      <w:pPr>
        <w:spacing w:before="40" w:after="80" w:line="276" w:lineRule="auto"/>
      </w:pPr>
      <w:r>
        <w:rPr>
          <w:rFonts w:ascii="Arial" w:hAnsi="Arial"/>
          <w:b/>
          <w:color w:val="212529"/>
          <w:sz w:val="20"/>
        </w:rPr>
        <w:t>• Problem: Lack of geographic coordinates in raw dataset.</w:t>
        <w:br/>
      </w:r>
      <w:r>
        <w:rPr>
          <w:rFonts w:ascii="Arial" w:hAnsi="Arial"/>
          <w:color w:val="212529"/>
          <w:sz w:val="20"/>
        </w:rPr>
        <w:t>Root Cause: Listings data contains neighborhood text and approximate distances, but no latitude or longitude coordinates.</w:t>
        <w:br/>
        <w:t>Resolution: Scheduled locality-level centroid geocoding via OpenStreetMap for Week 4 spatial feature derivation.</w:t>
      </w:r>
    </w:p>
    <w:p>
      <w:pPr>
        <w:keepNext/>
        <w:spacing w:before="280" w:after="80"/>
      </w:pPr>
      <w:r>
        <w:rPr>
          <w:rFonts w:ascii="Arial" w:hAnsi="Arial"/>
          <w:b/>
          <w:color w:val="1B365D"/>
          <w:sz w:val="26"/>
        </w:rPr>
        <w:t>8. Handover to Subsequent Weeks</w:t>
      </w:r>
    </w:p>
    <w:p>
      <w:pPr>
        <w:spacing w:before="40" w:after="80" w:line="276" w:lineRule="auto"/>
      </w:pPr>
      <w:r>
        <w:rPr>
          <w:rFonts w:ascii="Arial" w:hAnsi="Arial"/>
          <w:color w:val="212529"/>
          <w:sz w:val="20"/>
        </w:rPr>
        <w:t>Week 1 delivers the initialized repository, reproducible audit pipeline (dataset_audit.py), verified source register (data_source_register.md), and canonical schema (data_dictionary.md). Week 2 directly uses property_dataset_raw.csv to execute listing format standardization, data type coercion, and integration with JDA layout approvals.</w:t>
      </w:r>
    </w:p>
    <w:p>
      <w:pPr>
        <w:keepNext/>
        <w:spacing w:before="280" w:after="80"/>
      </w:pPr>
      <w:r>
        <w:rPr>
          <w:rFonts w:ascii="Arial" w:hAnsi="Arial"/>
          <w:b/>
          <w:color w:val="1B365D"/>
          <w:sz w:val="26"/>
        </w:rPr>
        <w:t>9. Role-Based Group Contribution Table</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728"/>
            <w:shd w:fill="1B365D"/>
            <w:tcMar>
              <w:top w:w="140" w:type="dxa"/>
              <w:bottom w:w="140" w:type="dxa"/>
              <w:left w:w="150" w:type="dxa"/>
              <w:right w:w="150" w:type="dxa"/>
            </w:tcMar>
          </w:tcPr>
          <w:p>
            <w:pPr>
              <w:jc w:val="left"/>
            </w:pPr>
            <w:r>
              <w:rPr>
                <w:rFonts w:ascii="Arial" w:hAnsi="Arial"/>
                <w:b/>
                <w:color w:val="FFFFFF"/>
                <w:sz w:val="19"/>
              </w:rPr>
              <w:t>Member Name</w:t>
            </w:r>
          </w:p>
        </w:tc>
        <w:tc>
          <w:tcPr>
            <w:tcW w:type="dxa" w:w="1872"/>
            <w:shd w:fill="1B365D"/>
            <w:tcMar>
              <w:top w:w="140" w:type="dxa"/>
              <w:bottom w:w="140" w:type="dxa"/>
              <w:left w:w="150" w:type="dxa"/>
              <w:right w:w="150" w:type="dxa"/>
            </w:tcMar>
          </w:tcPr>
          <w:p>
            <w:pPr>
              <w:jc w:val="left"/>
            </w:pPr>
            <w:r>
              <w:rPr>
                <w:rFonts w:ascii="Arial" w:hAnsi="Arial"/>
                <w:b/>
                <w:color w:val="FFFFFF"/>
                <w:sz w:val="19"/>
              </w:rPr>
              <w:t>Assigned Role</w:t>
            </w:r>
          </w:p>
        </w:tc>
        <w:tc>
          <w:tcPr>
            <w:tcW w:type="dxa" w:w="3168"/>
            <w:shd w:fill="1B365D"/>
            <w:tcMar>
              <w:top w:w="140" w:type="dxa"/>
              <w:bottom w:w="140" w:type="dxa"/>
              <w:left w:w="150" w:type="dxa"/>
              <w:right w:w="150" w:type="dxa"/>
            </w:tcMar>
          </w:tcPr>
          <w:p>
            <w:pPr>
              <w:jc w:val="left"/>
            </w:pPr>
            <w:r>
              <w:rPr>
                <w:rFonts w:ascii="Arial" w:hAnsi="Arial"/>
                <w:b/>
                <w:color w:val="FFFFFF"/>
                <w:sz w:val="19"/>
              </w:rPr>
              <w:t>Specific Tasks Executed</w:t>
            </w:r>
          </w:p>
        </w:tc>
        <w:tc>
          <w:tcPr>
            <w:tcW w:type="dxa" w:w="2160"/>
            <w:shd w:fill="1B365D"/>
            <w:tcMar>
              <w:top w:w="140" w:type="dxa"/>
              <w:bottom w:w="140" w:type="dxa"/>
              <w:left w:w="150" w:type="dxa"/>
              <w:right w:w="150" w:type="dxa"/>
            </w:tcMar>
          </w:tcPr>
          <w:p>
            <w:pPr>
              <w:jc w:val="left"/>
            </w:pPr>
            <w:r>
              <w:rPr>
                <w:rFonts w:ascii="Arial" w:hAnsi="Arial"/>
                <w:b/>
                <w:color w:val="FFFFFF"/>
                <w:sz w:val="19"/>
              </w:rPr>
              <w:t>Artifacts Delivered</w:t>
            </w:r>
          </w:p>
        </w:tc>
        <w:tc>
          <w:tcPr>
            <w:tcW w:type="dxa" w:w="1152"/>
            <w:shd w:fill="1B365D"/>
            <w:tcMar>
              <w:top w:w="140" w:type="dxa"/>
              <w:bottom w:w="140" w:type="dxa"/>
              <w:left w:w="150" w:type="dxa"/>
              <w:right w:w="150" w:type="dxa"/>
            </w:tcMar>
          </w:tcPr>
          <w:p>
            <w:pPr>
              <w:jc w:val="left"/>
            </w:pPr>
            <w:r>
              <w:rPr>
                <w:rFonts w:ascii="Arial" w:hAnsi="Arial"/>
                <w:b/>
                <w:color w:val="FFFFFF"/>
                <w:sz w:val="19"/>
              </w:rPr>
              <w:t>Hours Committed</w:t>
            </w:r>
          </w:p>
        </w:tc>
      </w:tr>
      <w:tr>
        <w:tc>
          <w:tcPr>
            <w:tcW w:type="dxa" w:w="1728"/>
            <w:shd w:fill="FFFFFF"/>
            <w:tcMar>
              <w:top w:w="100" w:type="dxa"/>
              <w:bottom w:w="100" w:type="dxa"/>
              <w:left w:w="150" w:type="dxa"/>
              <w:right w:w="150" w:type="dxa"/>
            </w:tcMar>
          </w:tcPr>
          <w:p>
            <w:pPr>
              <w:jc w:val="left"/>
            </w:pPr>
            <w:r>
              <w:rPr>
                <w:rFonts w:ascii="Arial" w:hAnsi="Arial"/>
                <w:color w:val="212529"/>
                <w:sz w:val="18"/>
              </w:rPr>
              <w:t>Student 1 (Vatsal - Lead)</w:t>
            </w:r>
          </w:p>
        </w:tc>
        <w:tc>
          <w:tcPr>
            <w:tcW w:type="dxa" w:w="1872"/>
            <w:shd w:fill="FFFFFF"/>
            <w:tcMar>
              <w:top w:w="100" w:type="dxa"/>
              <w:bottom w:w="100" w:type="dxa"/>
              <w:left w:w="150" w:type="dxa"/>
              <w:right w:w="150" w:type="dxa"/>
            </w:tcMar>
          </w:tcPr>
          <w:p>
            <w:pPr>
              <w:jc w:val="left"/>
            </w:pPr>
            <w:r>
              <w:rPr>
                <w:rFonts w:ascii="Arial" w:hAnsi="Arial"/>
                <w:color w:val="212529"/>
                <w:sz w:val="18"/>
              </w:rPr>
              <w:t>Project Lead &amp; Architect</w:t>
            </w:r>
          </w:p>
        </w:tc>
        <w:tc>
          <w:tcPr>
            <w:tcW w:type="dxa" w:w="3168"/>
            <w:shd w:fill="FFFFFF"/>
            <w:tcMar>
              <w:top w:w="100" w:type="dxa"/>
              <w:bottom w:w="100" w:type="dxa"/>
              <w:left w:w="150" w:type="dxa"/>
              <w:right w:w="150" w:type="dxa"/>
            </w:tcMar>
          </w:tcPr>
          <w:p>
            <w:pPr>
              <w:jc w:val="left"/>
            </w:pPr>
            <w:r>
              <w:rPr>
                <w:rFonts w:ascii="Arial" w:hAnsi="Arial"/>
                <w:color w:val="212529"/>
                <w:sz w:val="18"/>
              </w:rPr>
              <w:t>Repository environment setup, Git branching, data dictionary definition, and Week 1 report drafting.</w:t>
            </w:r>
          </w:p>
        </w:tc>
        <w:tc>
          <w:tcPr>
            <w:tcW w:type="dxa" w:w="2160"/>
            <w:shd w:fill="FFFFFF"/>
            <w:tcMar>
              <w:top w:w="100" w:type="dxa"/>
              <w:bottom w:w="100" w:type="dxa"/>
              <w:left w:w="150" w:type="dxa"/>
              <w:right w:w="150" w:type="dxa"/>
            </w:tcMar>
          </w:tcPr>
          <w:p>
            <w:pPr>
              <w:jc w:val="left"/>
            </w:pPr>
            <w:r>
              <w:rPr>
                <w:rFonts w:ascii="Arial" w:hAnsi="Arial"/>
                <w:color w:val="212529"/>
                <w:sz w:val="18"/>
              </w:rPr>
              <w:t>config/settings.py</w:t>
              <w:br/>
              <w:t>.gitignore</w:t>
              <w:br/>
              <w:t>WEEK_1.docx</w:t>
            </w:r>
          </w:p>
        </w:tc>
        <w:tc>
          <w:tcPr>
            <w:tcW w:type="dxa" w:w="1152"/>
            <w:shd w:fill="FFFFFF"/>
            <w:tcMar>
              <w:top w:w="100" w:type="dxa"/>
              <w:bottom w:w="100" w:type="dxa"/>
              <w:left w:w="150" w:type="dxa"/>
              <w:right w:w="150" w:type="dxa"/>
            </w:tcMar>
          </w:tcPr>
          <w:p>
            <w:pPr>
              <w:jc w:val="left"/>
            </w:pPr>
            <w:r>
              <w:rPr>
                <w:rFonts w:ascii="Arial" w:hAnsi="Arial"/>
                <w:color w:val="212529"/>
                <w:sz w:val="18"/>
              </w:rPr>
              <w:t>16 hrs</w:t>
            </w:r>
          </w:p>
        </w:tc>
      </w:tr>
      <w:tr>
        <w:tc>
          <w:tcPr>
            <w:tcW w:type="dxa" w:w="1728"/>
            <w:shd w:fill="F8F9FA"/>
            <w:tcMar>
              <w:top w:w="100" w:type="dxa"/>
              <w:bottom w:w="100" w:type="dxa"/>
              <w:left w:w="150" w:type="dxa"/>
              <w:right w:w="150" w:type="dxa"/>
            </w:tcMar>
          </w:tcPr>
          <w:p>
            <w:pPr>
              <w:jc w:val="left"/>
            </w:pPr>
            <w:r>
              <w:rPr>
                <w:rFonts w:ascii="Arial" w:hAnsi="Arial"/>
                <w:color w:val="212529"/>
                <w:sz w:val="18"/>
              </w:rPr>
              <w:t>Student 2 (Karan)</w:t>
            </w:r>
          </w:p>
        </w:tc>
        <w:tc>
          <w:tcPr>
            <w:tcW w:type="dxa" w:w="1872"/>
            <w:shd w:fill="F8F9FA"/>
            <w:tcMar>
              <w:top w:w="100" w:type="dxa"/>
              <w:bottom w:w="100" w:type="dxa"/>
              <w:left w:w="150" w:type="dxa"/>
              <w:right w:w="150" w:type="dxa"/>
            </w:tcMar>
          </w:tcPr>
          <w:p>
            <w:pPr>
              <w:jc w:val="left"/>
            </w:pPr>
            <w:r>
              <w:rPr>
                <w:rFonts w:ascii="Arial" w:hAnsi="Arial"/>
                <w:color w:val="212529"/>
                <w:sz w:val="18"/>
              </w:rPr>
              <w:t>Data Engineer</w:t>
            </w:r>
          </w:p>
        </w:tc>
        <w:tc>
          <w:tcPr>
            <w:tcW w:type="dxa" w:w="3168"/>
            <w:shd w:fill="F8F9FA"/>
            <w:tcMar>
              <w:top w:w="100" w:type="dxa"/>
              <w:bottom w:w="100" w:type="dxa"/>
              <w:left w:w="150" w:type="dxa"/>
              <w:right w:w="150" w:type="dxa"/>
            </w:tcMar>
          </w:tcPr>
          <w:p>
            <w:pPr>
              <w:jc w:val="left"/>
            </w:pPr>
            <w:r>
              <w:rPr>
                <w:rFonts w:ascii="Arial" w:hAnsi="Arial"/>
                <w:color w:val="212529"/>
                <w:sz w:val="18"/>
              </w:rPr>
              <w:t>Automated raw dataset audit, mathematical relationship checks, outlier detection, and unit conversion testing.</w:t>
            </w:r>
          </w:p>
        </w:tc>
        <w:tc>
          <w:tcPr>
            <w:tcW w:type="dxa" w:w="2160"/>
            <w:shd w:fill="F8F9FA"/>
            <w:tcMar>
              <w:top w:w="100" w:type="dxa"/>
              <w:bottom w:w="100" w:type="dxa"/>
              <w:left w:w="150" w:type="dxa"/>
              <w:right w:w="150" w:type="dxa"/>
            </w:tcMar>
          </w:tcPr>
          <w:p>
            <w:pPr>
              <w:jc w:val="left"/>
            </w:pPr>
            <w:r>
              <w:rPr>
                <w:rFonts w:ascii="Arial" w:hAnsi="Arial"/>
                <w:color w:val="212529"/>
                <w:sz w:val="18"/>
              </w:rPr>
              <w:t>src/audit/dataset_audit.py</w:t>
              <w:br/>
              <w:t>tests/test_raw_audit.py</w:t>
            </w:r>
          </w:p>
        </w:tc>
        <w:tc>
          <w:tcPr>
            <w:tcW w:type="dxa" w:w="1152"/>
            <w:shd w:fill="F8F9FA"/>
            <w:tcMar>
              <w:top w:w="100" w:type="dxa"/>
              <w:bottom w:w="100" w:type="dxa"/>
              <w:left w:w="150" w:type="dxa"/>
              <w:right w:w="150" w:type="dxa"/>
            </w:tcMar>
          </w:tcPr>
          <w:p>
            <w:pPr>
              <w:jc w:val="left"/>
            </w:pPr>
            <w:r>
              <w:rPr>
                <w:rFonts w:ascii="Arial" w:hAnsi="Arial"/>
                <w:color w:val="212529"/>
                <w:sz w:val="18"/>
              </w:rPr>
              <w:t>18 hrs</w:t>
            </w:r>
          </w:p>
        </w:tc>
      </w:tr>
      <w:tr>
        <w:tc>
          <w:tcPr>
            <w:tcW w:type="dxa" w:w="1728"/>
            <w:shd w:fill="FFFFFF"/>
            <w:tcMar>
              <w:top w:w="100" w:type="dxa"/>
              <w:bottom w:w="100" w:type="dxa"/>
              <w:left w:w="150" w:type="dxa"/>
              <w:right w:w="150" w:type="dxa"/>
            </w:tcMar>
          </w:tcPr>
          <w:p>
            <w:pPr>
              <w:jc w:val="left"/>
            </w:pPr>
            <w:r>
              <w:rPr>
                <w:rFonts w:ascii="Arial" w:hAnsi="Arial"/>
                <w:color w:val="212529"/>
                <w:sz w:val="18"/>
              </w:rPr>
              <w:t>Student 3 (Team Member)</w:t>
            </w:r>
          </w:p>
        </w:tc>
        <w:tc>
          <w:tcPr>
            <w:tcW w:type="dxa" w:w="1872"/>
            <w:shd w:fill="FFFFFF"/>
            <w:tcMar>
              <w:top w:w="100" w:type="dxa"/>
              <w:bottom w:w="100" w:type="dxa"/>
              <w:left w:w="150" w:type="dxa"/>
              <w:right w:w="150" w:type="dxa"/>
            </w:tcMar>
          </w:tcPr>
          <w:p>
            <w:pPr>
              <w:jc w:val="left"/>
            </w:pPr>
            <w:r>
              <w:rPr>
                <w:rFonts w:ascii="Arial" w:hAnsi="Arial"/>
                <w:color w:val="212529"/>
                <w:sz w:val="18"/>
              </w:rPr>
              <w:t>Data Researcher &amp; QA</w:t>
            </w:r>
          </w:p>
        </w:tc>
        <w:tc>
          <w:tcPr>
            <w:tcW w:type="dxa" w:w="3168"/>
            <w:shd w:fill="FFFFFF"/>
            <w:tcMar>
              <w:top w:w="100" w:type="dxa"/>
              <w:bottom w:w="100" w:type="dxa"/>
              <w:left w:w="150" w:type="dxa"/>
              <w:right w:w="150" w:type="dxa"/>
            </w:tcMar>
          </w:tcPr>
          <w:p>
            <w:pPr>
              <w:jc w:val="left"/>
            </w:pPr>
            <w:r>
              <w:rPr>
                <w:rFonts w:ascii="Arial" w:hAnsi="Arial"/>
                <w:color w:val="212529"/>
                <w:sz w:val="18"/>
              </w:rPr>
              <w:t>Network probing of 7 public data sources, robots.txt auditing, and source access inventory documentation.</w:t>
            </w:r>
          </w:p>
        </w:tc>
        <w:tc>
          <w:tcPr>
            <w:tcW w:type="dxa" w:w="2160"/>
            <w:shd w:fill="FFFFFF"/>
            <w:tcMar>
              <w:top w:w="100" w:type="dxa"/>
              <w:bottom w:w="100" w:type="dxa"/>
              <w:left w:w="150" w:type="dxa"/>
              <w:right w:w="150" w:type="dxa"/>
            </w:tcMar>
          </w:tcPr>
          <w:p>
            <w:pPr>
              <w:jc w:val="left"/>
            </w:pPr>
            <w:r>
              <w:rPr>
                <w:rFonts w:ascii="Arial" w:hAnsi="Arial"/>
                <w:color w:val="212529"/>
                <w:sz w:val="18"/>
              </w:rPr>
              <w:t>src/audit/source_investigator.py</w:t>
              <w:br/>
              <w:t>docs/data_source_register.md</w:t>
            </w:r>
          </w:p>
        </w:tc>
        <w:tc>
          <w:tcPr>
            <w:tcW w:type="dxa" w:w="1152"/>
            <w:shd w:fill="FFFFFF"/>
            <w:tcMar>
              <w:top w:w="100" w:type="dxa"/>
              <w:bottom w:w="100" w:type="dxa"/>
              <w:left w:w="150" w:type="dxa"/>
              <w:right w:w="150" w:type="dxa"/>
            </w:tcMar>
          </w:tcPr>
          <w:p>
            <w:pPr>
              <w:jc w:val="left"/>
            </w:pPr>
            <w:r>
              <w:rPr>
                <w:rFonts w:ascii="Arial" w:hAnsi="Arial"/>
                <w:color w:val="212529"/>
                <w:sz w:val="18"/>
              </w:rPr>
              <w:t>15 hrs</w:t>
            </w:r>
          </w:p>
        </w:tc>
      </w:tr>
    </w:tbl>
    <w:p>
      <w:pPr>
        <w:keepNext/>
        <w:spacing w:before="280" w:after="80"/>
      </w:pPr>
      <w:r>
        <w:rPr>
          <w:rFonts w:ascii="Arial" w:hAnsi="Arial"/>
          <w:b/>
          <w:color w:val="1B365D"/>
          <w:sz w:val="26"/>
        </w:rPr>
        <w:t>10. Conclusion &amp; Verification Checklist</w:t>
      </w:r>
    </w:p>
    <w:p>
      <w:pPr>
        <w:spacing w:before="40" w:after="80" w:line="276" w:lineRule="auto"/>
      </w:pPr>
      <w:r>
        <w:rPr>
          <w:rFonts w:ascii="Arial" w:hAnsi="Arial"/>
          <w:color w:val="212529"/>
          <w:sz w:val="20"/>
        </w:rPr>
        <w:t>Week 1 setup and data source identification tasks (COM71115-3) have been executed with 100% test passage. All artifacts exist at stated paths in the repository.</w:t>
      </w:r>
    </w:p>
    <w:p>
      <w:pPr>
        <w:spacing w:before="40" w:after="80" w:line="276" w:lineRule="auto"/>
      </w:pPr>
      <w:r>
        <w:rPr>
          <w:rFonts w:ascii="Arial" w:hAnsi="Arial"/>
          <w:color w:val="212529"/>
          <w:sz w:val="20"/>
        </w:rPr>
        <w:t>[X] Git repository and modular project structure initialized.</w:t>
        <w:br/>
        <w:t>[X] All seven public data sources probed and documented in data source register.</w:t>
        <w:br/>
        <w:t>[X] Raw dataset mathematically audited across 1,200 rows and 36 localities.</w:t>
        <w:br/>
        <w:t>[X] Canonical data dictionary formalized with missing policies and join keys.</w:t>
        <w:br/>
        <w:t>[X] All 6 automated verification unit tests passed successfully.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