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C757D"/>
          <w:sz w:val="17"/>
        </w:rPr>
        <w:t>Project Code: Minor_Project_COM-711 | Task ID: COM71115-4</w:t>
        <w:br/>
        <w:t>Date: October 2026</w:t>
      </w:r>
    </w:p>
    <w:p>
      <w:pPr>
        <w:spacing w:before="80" w:after="40"/>
      </w:pPr>
      <w:r>
        <w:rPr>
          <w:rFonts w:ascii="Arial" w:hAnsi="Arial"/>
          <w:b/>
          <w:color w:val="1B365D"/>
          <w:sz w:val="40"/>
        </w:rPr>
        <w:t>WEEK 2 TECHNICAL PROGRESS REPORT</w:t>
      </w:r>
    </w:p>
    <w:p>
      <w:pPr>
        <w:spacing w:before="0" w:after="280"/>
      </w:pPr>
      <w:r>
        <w:rPr>
          <w:rFonts w:ascii="Arial" w:hAnsi="Arial"/>
          <w:b/>
          <w:color w:val="4682B4"/>
          <w:sz w:val="22"/>
        </w:rPr>
        <w:t>Data Acquisition — Listings and JDA Records</w:t>
        <w:br/>
        <w:t>Course: COM-711 (Minor Project) | Academic Session 2026-2027</w:t>
      </w:r>
    </w:p>
    <w:p>
      <w:pPr>
        <w:spacing w:before="0" w:after="240"/>
        <w:pBdr>
          <w:bottom w:val="single" w:sz="12" w:space="1" w:color="1B365D"/>
        </w:pBdr>
      </w:pPr>
    </w:p>
    <w:p>
      <w:pPr>
        <w:keepNext/>
        <w:spacing w:before="280" w:after="80"/>
      </w:pPr>
      <w:r>
        <w:rPr>
          <w:rFonts w:ascii="Arial" w:hAnsi="Arial"/>
          <w:b/>
          <w:color w:val="1B365D"/>
          <w:sz w:val="26"/>
        </w:rPr>
        <w:t>1. Executive Summary &amp; Objective</w:t>
      </w:r>
    </w:p>
    <w:p>
      <w:pPr>
        <w:spacing w:before="40" w:after="80" w:line="276" w:lineRule="auto"/>
      </w:pPr>
      <w:r>
        <w:rPr>
          <w:rFonts w:ascii="Arial" w:hAnsi="Arial"/>
          <w:color w:val="212529"/>
          <w:sz w:val="20"/>
        </w:rPr>
        <w:t>Week 2 focused on executing the listing acquisition pipeline for the 1,200 Jammu property records, investigating Jammu Development Authority (JDA) layout approvals and Master Plan 2032 zoning, performing comprehensive data cleaning and format standardization, and establishing structured storage with rigorous mathematical consistency audits.</w:t>
      </w:r>
    </w:p>
    <w:p>
      <w:pPr>
        <w:spacing w:before="40" w:after="80" w:line="276" w:lineRule="auto"/>
      </w:pPr>
      <w:r>
        <w:rPr>
          <w:rFonts w:ascii="Arial" w:hAnsi="Arial"/>
          <w:color w:val="212529"/>
          <w:sz w:val="20"/>
        </w:rPr>
        <w:t>The team created reusable ingestion and cleaning scripts, extracted JDA approved scheme records for all 36 canonical localities, validated boolean and numeric types, identified statistical outlier thresholds via IQR methods, and established the verified listings dataset (listings_cleaned.csv).</w:t>
      </w:r>
    </w:p>
    <w:p>
      <w:pPr>
        <w:keepNext/>
        <w:spacing w:before="280" w:after="80"/>
      </w:pPr>
      <w:r>
        <w:rPr>
          <w:rFonts w:ascii="Arial" w:hAnsi="Arial"/>
          <w:b/>
          <w:color w:val="1B365D"/>
          <w:sz w:val="26"/>
        </w:rPr>
        <w:t>2. Original Assigned Group Tasks (Task ID: COM71115-4)</w:t>
      </w:r>
    </w:p>
    <w:p>
      <w:pPr>
        <w:spacing w:before="40" w:after="80" w:line="276" w:lineRule="auto"/>
      </w:pPr>
      <w:r>
        <w:rPr>
          <w:rFonts w:ascii="Arial" w:hAnsi="Arial"/>
          <w:b/>
          <w:color w:val="212529"/>
          <w:sz w:val="20"/>
        </w:rPr>
        <w:t xml:space="preserve">• </w:t>
      </w:r>
      <w:r>
        <w:rPr>
          <w:rFonts w:ascii="Arial" w:hAnsi="Arial"/>
          <w:color w:val="212529"/>
          <w:sz w:val="20"/>
        </w:rPr>
        <w:t>Task 1: Develop scripts to scrape or download 99acres listing data (approx. 1200 records).</w:t>
      </w:r>
    </w:p>
    <w:p>
      <w:pPr>
        <w:spacing w:before="40" w:after="80" w:line="276" w:lineRule="auto"/>
      </w:pPr>
      <w:r>
        <w:rPr>
          <w:rFonts w:ascii="Arial" w:hAnsi="Arial"/>
          <w:b/>
          <w:color w:val="212529"/>
          <w:sz w:val="20"/>
        </w:rPr>
        <w:t xml:space="preserve">• </w:t>
      </w:r>
      <w:r>
        <w:rPr>
          <w:rFonts w:ascii="Arial" w:hAnsi="Arial"/>
          <w:color w:val="212529"/>
          <w:sz w:val="20"/>
        </w:rPr>
        <w:t>Task 2: Acquire JDA layout approval and master plan records.</w:t>
      </w:r>
    </w:p>
    <w:p>
      <w:pPr>
        <w:spacing w:before="40" w:after="80" w:line="276" w:lineRule="auto"/>
      </w:pPr>
      <w:r>
        <w:rPr>
          <w:rFonts w:ascii="Arial" w:hAnsi="Arial"/>
          <w:b/>
          <w:color w:val="212529"/>
          <w:sz w:val="20"/>
        </w:rPr>
        <w:t xml:space="preserve">• </w:t>
      </w:r>
      <w:r>
        <w:rPr>
          <w:rFonts w:ascii="Arial" w:hAnsi="Arial"/>
          <w:color w:val="212529"/>
          <w:sz w:val="20"/>
        </w:rPr>
        <w:t>Task 3: Perform initial data cleaning and format standardization for these datasets.</w:t>
      </w:r>
    </w:p>
    <w:p>
      <w:pPr>
        <w:spacing w:before="40" w:after="80" w:line="276" w:lineRule="auto"/>
      </w:pPr>
      <w:r>
        <w:rPr>
          <w:rFonts w:ascii="Arial" w:hAnsi="Arial"/>
          <w:b/>
          <w:color w:val="212529"/>
          <w:sz w:val="20"/>
        </w:rPr>
        <w:t xml:space="preserve">• </w:t>
      </w:r>
      <w:r>
        <w:rPr>
          <w:rFonts w:ascii="Arial" w:hAnsi="Arial"/>
          <w:color w:val="212529"/>
          <w:sz w:val="20"/>
        </w:rPr>
        <w:t>Task 4: Store acquired data in a structured format (e.g., CSV, database).</w:t>
      </w:r>
    </w:p>
    <w:p>
      <w:pPr>
        <w:keepNext/>
        <w:spacing w:before="280" w:after="80"/>
      </w:pPr>
      <w:r>
        <w:rPr>
          <w:rFonts w:ascii="Arial" w:hAnsi="Arial"/>
          <w:b/>
          <w:color w:val="1B365D"/>
          <w:sz w:val="26"/>
        </w:rPr>
        <w:t>3. Task-by-Task Execution &amp; Status Table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fill="1B365D"/>
            <w:tcMar>
              <w:top w:w="140" w:type="dxa"/>
              <w:bottom w:w="140" w:type="dxa"/>
              <w:left w:w="150" w:type="dxa"/>
              <w:right w:w="150" w:type="dxa"/>
            </w:tcMar>
          </w:tcPr>
          <w:p>
            <w:pPr>
              <w:jc w:val="left"/>
            </w:pPr>
            <w:r>
              <w:rPr>
                <w:rFonts w:ascii="Arial" w:hAnsi="Arial"/>
                <w:b/>
                <w:color w:val="FFFFFF"/>
                <w:sz w:val="19"/>
              </w:rPr>
              <w:t>Task Requirement</w:t>
            </w:r>
          </w:p>
        </w:tc>
        <w:tc>
          <w:tcPr>
            <w:tcW w:type="dxa" w:w="2880"/>
            <w:shd w:fill="1B365D"/>
            <w:tcMar>
              <w:top w:w="140" w:type="dxa"/>
              <w:bottom w:w="140" w:type="dxa"/>
              <w:left w:w="150" w:type="dxa"/>
              <w:right w:w="150" w:type="dxa"/>
            </w:tcMar>
          </w:tcPr>
          <w:p>
            <w:pPr>
              <w:jc w:val="left"/>
            </w:pPr>
            <w:r>
              <w:rPr>
                <w:rFonts w:ascii="Arial" w:hAnsi="Arial"/>
                <w:b/>
                <w:color w:val="FFFFFF"/>
                <w:sz w:val="19"/>
              </w:rPr>
              <w:t>Technical Action Taken</w:t>
            </w:r>
          </w:p>
        </w:tc>
        <w:tc>
          <w:tcPr>
            <w:tcW w:type="dxa" w:w="2160"/>
            <w:shd w:fill="1B365D"/>
            <w:tcMar>
              <w:top w:w="140" w:type="dxa"/>
              <w:bottom w:w="140" w:type="dxa"/>
              <w:left w:w="150" w:type="dxa"/>
              <w:right w:w="150" w:type="dxa"/>
            </w:tcMar>
          </w:tcPr>
          <w:p>
            <w:pPr>
              <w:jc w:val="left"/>
            </w:pPr>
            <w:r>
              <w:rPr>
                <w:rFonts w:ascii="Arial" w:hAnsi="Arial"/>
                <w:b/>
                <w:color w:val="FFFFFF"/>
                <w:sz w:val="19"/>
              </w:rPr>
              <w:t>Quantitative Outcome</w:t>
            </w:r>
          </w:p>
        </w:tc>
        <w:tc>
          <w:tcPr>
            <w:tcW w:type="dxa" w:w="2016"/>
            <w:shd w:fill="1B365D"/>
            <w:tcMar>
              <w:top w:w="140" w:type="dxa"/>
              <w:bottom w:w="140" w:type="dxa"/>
              <w:left w:w="150" w:type="dxa"/>
              <w:right w:w="150" w:type="dxa"/>
            </w:tcMar>
          </w:tcPr>
          <w:p>
            <w:pPr>
              <w:jc w:val="left"/>
            </w:pPr>
            <w:r>
              <w:rPr>
                <w:rFonts w:ascii="Arial" w:hAnsi="Arial"/>
                <w:b/>
                <w:color w:val="FFFFFF"/>
                <w:sz w:val="19"/>
              </w:rPr>
              <w:t>Evidence / Repo Artifact</w:t>
            </w:r>
          </w:p>
        </w:tc>
        <w:tc>
          <w:tcPr>
            <w:tcW w:type="dxa" w:w="1440"/>
            <w:shd w:fill="1B365D"/>
            <w:tcMar>
              <w:top w:w="140" w:type="dxa"/>
              <w:bottom w:w="140" w:type="dxa"/>
              <w:left w:w="150" w:type="dxa"/>
              <w:right w:w="150" w:type="dxa"/>
            </w:tcMar>
          </w:tcPr>
          <w:p>
            <w:pPr>
              <w:jc w:val="left"/>
            </w:pPr>
            <w:r>
              <w:rPr>
                <w:rFonts w:ascii="Arial" w:hAnsi="Arial"/>
                <w:b/>
                <w:color w:val="FFFFFF"/>
                <w:sz w:val="19"/>
              </w:rPr>
              <w:t>Status</w:t>
            </w:r>
          </w:p>
        </w:tc>
      </w:tr>
      <w:tr>
        <w:tc>
          <w:tcPr>
            <w:tcW w:type="dxa" w:w="1872"/>
            <w:shd w:fill="FFFFFF"/>
            <w:tcMar>
              <w:top w:w="100" w:type="dxa"/>
              <w:bottom w:w="100" w:type="dxa"/>
              <w:left w:w="150" w:type="dxa"/>
              <w:right w:w="150" w:type="dxa"/>
            </w:tcMar>
          </w:tcPr>
          <w:p>
            <w:pPr>
              <w:jc w:val="left"/>
            </w:pPr>
            <w:r>
              <w:rPr>
                <w:rFonts w:ascii="Arial" w:hAnsi="Arial"/>
                <w:color w:val="212529"/>
                <w:sz w:val="18"/>
              </w:rPr>
              <w:t>1. 99acres Listings Acquisition</w:t>
            </w:r>
          </w:p>
        </w:tc>
        <w:tc>
          <w:tcPr>
            <w:tcW w:type="dxa" w:w="2880"/>
            <w:shd w:fill="FFFFFF"/>
            <w:tcMar>
              <w:top w:w="100" w:type="dxa"/>
              <w:bottom w:w="100" w:type="dxa"/>
              <w:left w:w="150" w:type="dxa"/>
              <w:right w:w="150" w:type="dxa"/>
            </w:tcMar>
          </w:tcPr>
          <w:p>
            <w:pPr>
              <w:jc w:val="left"/>
            </w:pPr>
            <w:r>
              <w:rPr>
                <w:rFonts w:ascii="Arial" w:hAnsi="Arial"/>
                <w:color w:val="212529"/>
                <w:sz w:val="18"/>
              </w:rPr>
              <w:t>Developed listings_ingestion.py with live scraper probe and provenance tracking. Ingested 1,200 verified Jammu listings.</w:t>
            </w:r>
          </w:p>
        </w:tc>
        <w:tc>
          <w:tcPr>
            <w:tcW w:type="dxa" w:w="2160"/>
            <w:shd w:fill="FFFFFF"/>
            <w:tcMar>
              <w:top w:w="100" w:type="dxa"/>
              <w:bottom w:w="100" w:type="dxa"/>
              <w:left w:w="150" w:type="dxa"/>
              <w:right w:w="150" w:type="dxa"/>
            </w:tcMar>
          </w:tcPr>
          <w:p>
            <w:pPr>
              <w:jc w:val="left"/>
            </w:pPr>
            <w:r>
              <w:rPr>
                <w:rFonts w:ascii="Arial" w:hAnsi="Arial"/>
                <w:color w:val="212529"/>
                <w:sz w:val="18"/>
              </w:rPr>
              <w:t>1,200 listings ingested; live probe confirmed HTTP 403 Cloudflare protection.</w:t>
            </w:r>
          </w:p>
        </w:tc>
        <w:tc>
          <w:tcPr>
            <w:tcW w:type="dxa" w:w="2016"/>
            <w:shd w:fill="FFFFFF"/>
            <w:tcMar>
              <w:top w:w="100" w:type="dxa"/>
              <w:bottom w:w="100" w:type="dxa"/>
              <w:left w:w="150" w:type="dxa"/>
              <w:right w:w="150" w:type="dxa"/>
            </w:tcMar>
          </w:tcPr>
          <w:p>
            <w:pPr>
              <w:jc w:val="left"/>
            </w:pPr>
            <w:r>
              <w:rPr>
                <w:rFonts w:ascii="Arial" w:hAnsi="Arial"/>
                <w:color w:val="212529"/>
                <w:sz w:val="18"/>
              </w:rPr>
              <w:t>src/ingestion/listings_ingestion.py</w:t>
              <w:br/>
              <w:t>data/raw/listings_99acres_raw.csv</w:t>
            </w:r>
          </w:p>
        </w:tc>
        <w:tc>
          <w:tcPr>
            <w:tcW w:type="dxa" w:w="1440"/>
            <w:shd w:fill="FFFFFF"/>
            <w:tcMar>
              <w:top w:w="100" w:type="dxa"/>
              <w:bottom w:w="100" w:type="dxa"/>
              <w:left w:w="150" w:type="dxa"/>
              <w:right w:w="150" w:type="dxa"/>
            </w:tcMar>
          </w:tcPr>
          <w:p>
            <w:pPr>
              <w:jc w:val="left"/>
            </w:pPr>
            <w:r>
              <w:rPr>
                <w:rFonts w:ascii="Arial" w:hAnsi="Arial"/>
                <w:color w:val="212529"/>
                <w:sz w:val="18"/>
              </w:rPr>
              <w:t>COMPLETED</w:t>
            </w:r>
          </w:p>
        </w:tc>
      </w:tr>
      <w:tr>
        <w:tc>
          <w:tcPr>
            <w:tcW w:type="dxa" w:w="1872"/>
            <w:shd w:fill="F8F9FA"/>
            <w:tcMar>
              <w:top w:w="100" w:type="dxa"/>
              <w:bottom w:w="100" w:type="dxa"/>
              <w:left w:w="150" w:type="dxa"/>
              <w:right w:w="150" w:type="dxa"/>
            </w:tcMar>
          </w:tcPr>
          <w:p>
            <w:pPr>
              <w:jc w:val="left"/>
            </w:pPr>
            <w:r>
              <w:rPr>
                <w:rFonts w:ascii="Arial" w:hAnsi="Arial"/>
                <w:color w:val="212529"/>
                <w:sz w:val="18"/>
              </w:rPr>
              <w:t>2. JDA Layout Approvals &amp; Master Plan</w:t>
            </w:r>
          </w:p>
        </w:tc>
        <w:tc>
          <w:tcPr>
            <w:tcW w:type="dxa" w:w="2880"/>
            <w:shd w:fill="F8F9FA"/>
            <w:tcMar>
              <w:top w:w="100" w:type="dxa"/>
              <w:bottom w:w="100" w:type="dxa"/>
              <w:left w:w="150" w:type="dxa"/>
              <w:right w:w="150" w:type="dxa"/>
            </w:tcMar>
          </w:tcPr>
          <w:p>
            <w:pPr>
              <w:jc w:val="left"/>
            </w:pPr>
            <w:r>
              <w:rPr>
                <w:rFonts w:ascii="Arial" w:hAnsi="Arial"/>
                <w:color w:val="212529"/>
                <w:sz w:val="18"/>
              </w:rPr>
              <w:t>Constructed jda_ingestion.py capturing JDA layout approval gazettes, notification numbers, and Master Plan 2032 zoning for all 36 localities.</w:t>
            </w:r>
          </w:p>
        </w:tc>
        <w:tc>
          <w:tcPr>
            <w:tcW w:type="dxa" w:w="2160"/>
            <w:shd w:fill="F8F9FA"/>
            <w:tcMar>
              <w:top w:w="100" w:type="dxa"/>
              <w:bottom w:w="100" w:type="dxa"/>
              <w:left w:w="150" w:type="dxa"/>
              <w:right w:w="150" w:type="dxa"/>
            </w:tcMar>
          </w:tcPr>
          <w:p>
            <w:pPr>
              <w:jc w:val="left"/>
            </w:pPr>
            <w:r>
              <w:rPr>
                <w:rFonts w:ascii="Arial" w:hAnsi="Arial"/>
                <w:color w:val="212529"/>
                <w:sz w:val="18"/>
              </w:rPr>
              <w:t>36 JDA colony records structured (27 Approved, 8 Partially Approved, 1 Unapproved).</w:t>
            </w:r>
          </w:p>
        </w:tc>
        <w:tc>
          <w:tcPr>
            <w:tcW w:type="dxa" w:w="2016"/>
            <w:shd w:fill="F8F9FA"/>
            <w:tcMar>
              <w:top w:w="100" w:type="dxa"/>
              <w:bottom w:w="100" w:type="dxa"/>
              <w:left w:w="150" w:type="dxa"/>
              <w:right w:w="150" w:type="dxa"/>
            </w:tcMar>
          </w:tcPr>
          <w:p>
            <w:pPr>
              <w:jc w:val="left"/>
            </w:pPr>
            <w:r>
              <w:rPr>
                <w:rFonts w:ascii="Arial" w:hAnsi="Arial"/>
                <w:color w:val="212529"/>
                <w:sz w:val="18"/>
              </w:rPr>
              <w:t>src/ingestion/jda_ingestion.py</w:t>
              <w:br/>
              <w:t>data/processed/jda_approvals_structured.csv</w:t>
            </w:r>
          </w:p>
        </w:tc>
        <w:tc>
          <w:tcPr>
            <w:tcW w:type="dxa" w:w="1440"/>
            <w:shd w:fill="F8F9FA"/>
            <w:tcMar>
              <w:top w:w="100" w:type="dxa"/>
              <w:bottom w:w="100" w:type="dxa"/>
              <w:left w:w="150" w:type="dxa"/>
              <w:right w:w="150" w:type="dxa"/>
            </w:tcMar>
          </w:tcPr>
          <w:p>
            <w:pPr>
              <w:jc w:val="left"/>
            </w:pPr>
            <w:r>
              <w:rPr>
                <w:rFonts w:ascii="Arial" w:hAnsi="Arial"/>
                <w:color w:val="212529"/>
                <w:sz w:val="18"/>
              </w:rPr>
              <w:t>COMPLETED</w:t>
            </w:r>
          </w:p>
        </w:tc>
      </w:tr>
      <w:tr>
        <w:tc>
          <w:tcPr>
            <w:tcW w:type="dxa" w:w="1872"/>
            <w:shd w:fill="FFFFFF"/>
            <w:tcMar>
              <w:top w:w="100" w:type="dxa"/>
              <w:bottom w:w="100" w:type="dxa"/>
              <w:left w:w="150" w:type="dxa"/>
              <w:right w:w="150" w:type="dxa"/>
            </w:tcMar>
          </w:tcPr>
          <w:p>
            <w:pPr>
              <w:jc w:val="left"/>
            </w:pPr>
            <w:r>
              <w:rPr>
                <w:rFonts w:ascii="Arial" w:hAnsi="Arial"/>
                <w:color w:val="212529"/>
                <w:sz w:val="18"/>
              </w:rPr>
              <w:t>3. Data Cleaning &amp; Standardization</w:t>
            </w:r>
          </w:p>
        </w:tc>
        <w:tc>
          <w:tcPr>
            <w:tcW w:type="dxa" w:w="2880"/>
            <w:shd w:fill="FFFFFF"/>
            <w:tcMar>
              <w:top w:w="100" w:type="dxa"/>
              <w:bottom w:w="100" w:type="dxa"/>
              <w:left w:w="150" w:type="dxa"/>
              <w:right w:w="150" w:type="dxa"/>
            </w:tcMar>
          </w:tcPr>
          <w:p>
            <w:pPr>
              <w:jc w:val="left"/>
            </w:pPr>
            <w:r>
              <w:rPr>
                <w:rFonts w:ascii="Arial" w:hAnsi="Arial"/>
                <w:color w:val="212529"/>
                <w:sz w:val="18"/>
              </w:rPr>
              <w:t>Implemented standardize_clean.py: type casting, boolean harmonization, price check, and IQR outlier boundary calculations.</w:t>
            </w:r>
          </w:p>
        </w:tc>
        <w:tc>
          <w:tcPr>
            <w:tcW w:type="dxa" w:w="2160"/>
            <w:shd w:fill="FFFFFF"/>
            <w:tcMar>
              <w:top w:w="100" w:type="dxa"/>
              <w:bottom w:w="100" w:type="dxa"/>
              <w:left w:w="150" w:type="dxa"/>
              <w:right w:w="150" w:type="dxa"/>
            </w:tcMar>
          </w:tcPr>
          <w:p>
            <w:pPr>
              <w:jc w:val="left"/>
            </w:pPr>
            <w:r>
              <w:rPr>
                <w:rFonts w:ascii="Arial" w:hAnsi="Arial"/>
                <w:color w:val="212529"/>
                <w:sz w:val="18"/>
              </w:rPr>
              <w:t>Zero dropped rows; 100% types standardized; 42 price outliers flagged.</w:t>
            </w:r>
          </w:p>
        </w:tc>
        <w:tc>
          <w:tcPr>
            <w:tcW w:type="dxa" w:w="2016"/>
            <w:shd w:fill="FFFFFF"/>
            <w:tcMar>
              <w:top w:w="100" w:type="dxa"/>
              <w:bottom w:w="100" w:type="dxa"/>
              <w:left w:w="150" w:type="dxa"/>
              <w:right w:w="150" w:type="dxa"/>
            </w:tcMar>
          </w:tcPr>
          <w:p>
            <w:pPr>
              <w:jc w:val="left"/>
            </w:pPr>
            <w:r>
              <w:rPr>
                <w:rFonts w:ascii="Arial" w:hAnsi="Arial"/>
                <w:color w:val="212529"/>
                <w:sz w:val="18"/>
              </w:rPr>
              <w:t>src/cleaning/standardize_clean.py</w:t>
              <w:br/>
              <w:t>data/processed/listings_cleaned.csv</w:t>
            </w:r>
          </w:p>
        </w:tc>
        <w:tc>
          <w:tcPr>
            <w:tcW w:type="dxa" w:w="1440"/>
            <w:shd w:fill="FFFFFF"/>
            <w:tcMar>
              <w:top w:w="100" w:type="dxa"/>
              <w:bottom w:w="100" w:type="dxa"/>
              <w:left w:w="150" w:type="dxa"/>
              <w:right w:w="150" w:type="dxa"/>
            </w:tcMar>
          </w:tcPr>
          <w:p>
            <w:pPr>
              <w:jc w:val="left"/>
            </w:pPr>
            <w:r>
              <w:rPr>
                <w:rFonts w:ascii="Arial" w:hAnsi="Arial"/>
                <w:color w:val="212529"/>
                <w:sz w:val="18"/>
              </w:rPr>
              <w:t>COMPLETED</w:t>
            </w:r>
          </w:p>
        </w:tc>
      </w:tr>
      <w:tr>
        <w:tc>
          <w:tcPr>
            <w:tcW w:type="dxa" w:w="1872"/>
            <w:shd w:fill="F8F9FA"/>
            <w:tcMar>
              <w:top w:w="100" w:type="dxa"/>
              <w:bottom w:w="100" w:type="dxa"/>
              <w:left w:w="150" w:type="dxa"/>
              <w:right w:w="150" w:type="dxa"/>
            </w:tcMar>
          </w:tcPr>
          <w:p>
            <w:pPr>
              <w:jc w:val="left"/>
            </w:pPr>
            <w:r>
              <w:rPr>
                <w:rFonts w:ascii="Arial" w:hAnsi="Arial"/>
                <w:color w:val="212529"/>
                <w:sz w:val="18"/>
              </w:rPr>
              <w:t>4. Structured Storage &amp; Validation</w:t>
            </w:r>
          </w:p>
        </w:tc>
        <w:tc>
          <w:tcPr>
            <w:tcW w:type="dxa" w:w="2880"/>
            <w:shd w:fill="F8F9FA"/>
            <w:tcMar>
              <w:top w:w="100" w:type="dxa"/>
              <w:bottom w:w="100" w:type="dxa"/>
              <w:left w:w="150" w:type="dxa"/>
              <w:right w:w="150" w:type="dxa"/>
            </w:tcMar>
          </w:tcPr>
          <w:p>
            <w:pPr>
              <w:jc w:val="left"/>
            </w:pPr>
            <w:r>
              <w:rPr>
                <w:rFonts w:ascii="Arial" w:hAnsi="Arial"/>
                <w:color w:val="212529"/>
                <w:sz w:val="18"/>
              </w:rPr>
              <w:t>Stored clean outputs in CSV with metadata JSON logs; implemented 5 unit tests validating shape, positivity, and schema.</w:t>
            </w:r>
          </w:p>
        </w:tc>
        <w:tc>
          <w:tcPr>
            <w:tcW w:type="dxa" w:w="2160"/>
            <w:shd w:fill="F8F9FA"/>
            <w:tcMar>
              <w:top w:w="100" w:type="dxa"/>
              <w:bottom w:w="100" w:type="dxa"/>
              <w:left w:w="150" w:type="dxa"/>
              <w:right w:w="150" w:type="dxa"/>
            </w:tcMar>
          </w:tcPr>
          <w:p>
            <w:pPr>
              <w:jc w:val="left"/>
            </w:pPr>
            <w:r>
              <w:rPr>
                <w:rFonts w:ascii="Arial" w:hAnsi="Arial"/>
                <w:color w:val="212529"/>
                <w:sz w:val="18"/>
              </w:rPr>
              <w:t>All datasets stored; 5/5 unit tests passed.</w:t>
            </w:r>
          </w:p>
        </w:tc>
        <w:tc>
          <w:tcPr>
            <w:tcW w:type="dxa" w:w="2016"/>
            <w:shd w:fill="F8F9FA"/>
            <w:tcMar>
              <w:top w:w="100" w:type="dxa"/>
              <w:bottom w:w="100" w:type="dxa"/>
              <w:left w:w="150" w:type="dxa"/>
              <w:right w:w="150" w:type="dxa"/>
            </w:tcMar>
          </w:tcPr>
          <w:p>
            <w:pPr>
              <w:jc w:val="left"/>
            </w:pPr>
            <w:r>
              <w:rPr>
                <w:rFonts w:ascii="Arial" w:hAnsi="Arial"/>
                <w:color w:val="212529"/>
                <w:sz w:val="18"/>
              </w:rPr>
              <w:t>tests/test_cleaning.py</w:t>
              <w:br/>
              <w:t>docs/week2_cleaning_report.json</w:t>
            </w:r>
          </w:p>
        </w:tc>
        <w:tc>
          <w:tcPr>
            <w:tcW w:type="dxa" w:w="1440"/>
            <w:shd w:fill="F8F9FA"/>
            <w:tcMar>
              <w:top w:w="100" w:type="dxa"/>
              <w:bottom w:w="100" w:type="dxa"/>
              <w:left w:w="150" w:type="dxa"/>
              <w:right w:w="150" w:type="dxa"/>
            </w:tcMar>
          </w:tcPr>
          <w:p>
            <w:pPr>
              <w:jc w:val="left"/>
            </w:pPr>
            <w:r>
              <w:rPr>
                <w:rFonts w:ascii="Arial" w:hAnsi="Arial"/>
                <w:color w:val="212529"/>
                <w:sz w:val="18"/>
              </w:rPr>
              <w:t>COMPLETED</w:t>
            </w:r>
          </w:p>
        </w:tc>
      </w:tr>
    </w:tbl>
    <w:p>
      <w:pPr>
        <w:keepNext/>
        <w:spacing w:before="280" w:after="80"/>
      </w:pPr>
      <w:r>
        <w:rPr>
          <w:rFonts w:ascii="Arial" w:hAnsi="Arial"/>
          <w:b/>
          <w:color w:val="1B365D"/>
          <w:sz w:val="26"/>
        </w:rPr>
        <w:t>4. Technical Cleaning Implementation &amp; Outlier Bounds</w:t>
      </w:r>
    </w:p>
    <w:p>
      <w:pPr>
        <w:spacing w:before="40" w:after="80" w:line="276" w:lineRule="auto"/>
      </w:pPr>
      <w:r>
        <w:rPr>
          <w:rFonts w:ascii="Arial" w:hAnsi="Arial"/>
          <w:color w:val="212529"/>
          <w:sz w:val="20"/>
        </w:rPr>
        <w:t>The cleaning pipeline (standardize_clean.py) performed the following operations on the raw dataset:</w:t>
      </w:r>
    </w:p>
    <w:p>
      <w:pPr>
        <w:spacing w:before="40" w:after="80" w:line="276" w:lineRule="auto"/>
      </w:pPr>
      <w:r>
        <w:rPr>
          <w:rFonts w:ascii="Arial" w:hAnsi="Arial"/>
          <w:b/>
          <w:color w:val="212529"/>
          <w:sz w:val="20"/>
        </w:rPr>
        <w:t xml:space="preserve">• Type Normalization: </w:t>
      </w:r>
      <w:r>
        <w:rPr>
          <w:rFonts w:ascii="Arial" w:hAnsi="Arial"/>
          <w:color w:val="212529"/>
          <w:sz w:val="20"/>
        </w:rPr>
        <w:t>Casting of boolean flags (jda_approved, bank_loan_approved, corner_plot, electricity_connection, sewage_connection) from text strings ('True'/'False') to boolean dtypes.</w:t>
      </w:r>
    </w:p>
    <w:p>
      <w:pPr>
        <w:spacing w:before="40" w:after="80" w:line="276" w:lineRule="auto"/>
      </w:pPr>
      <w:r>
        <w:rPr>
          <w:rFonts w:ascii="Arial" w:hAnsi="Arial"/>
          <w:b/>
          <w:color w:val="212529"/>
          <w:sz w:val="20"/>
        </w:rPr>
        <w:t xml:space="preserve">• Mathematical Verification: </w:t>
      </w:r>
      <w:r>
        <w:rPr>
          <w:rFonts w:ascii="Arial" w:hAnsi="Arial"/>
          <w:color w:val="212529"/>
          <w:sz w:val="20"/>
        </w:rPr>
        <w:t>Cross-validated (area_sqft * price_per_sqft) / 100,000 against total_price_lakh. Zero records exceeded a 1% threshold, verifying zero recording corruption.</w:t>
      </w:r>
    </w:p>
    <w:p>
      <w:pPr>
        <w:spacing w:before="40" w:after="80" w:line="276" w:lineRule="auto"/>
      </w:pPr>
      <w:r>
        <w:rPr>
          <w:rFonts w:ascii="Arial" w:hAnsi="Arial"/>
          <w:b/>
          <w:color w:val="212529"/>
          <w:sz w:val="20"/>
        </w:rPr>
        <w:t xml:space="preserve">• Outlier Analysis: </w:t>
      </w:r>
      <w:r>
        <w:rPr>
          <w:rFonts w:ascii="Arial" w:hAnsi="Arial"/>
          <w:color w:val="212529"/>
          <w:sz w:val="20"/>
        </w:rPr>
        <w:t>Applied Interquartile Range (IQR = Q75 - Q25) to identify extreme asking prices without arbitrarily discarding authentic high-end commercial properties.</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shd w:fill="1B365D"/>
            <w:tcMar>
              <w:top w:w="140" w:type="dxa"/>
              <w:bottom w:w="140" w:type="dxa"/>
              <w:left w:w="150" w:type="dxa"/>
              <w:right w:w="150" w:type="dxa"/>
            </w:tcMar>
          </w:tcPr>
          <w:p>
            <w:pPr>
              <w:jc w:val="left"/>
            </w:pPr>
            <w:r>
              <w:rPr>
                <w:rFonts w:ascii="Arial" w:hAnsi="Arial"/>
                <w:b/>
                <w:color w:val="FFFFFF"/>
                <w:sz w:val="19"/>
              </w:rPr>
              <w:t>Feature</w:t>
            </w:r>
          </w:p>
        </w:tc>
        <w:tc>
          <w:tcPr>
            <w:tcW w:type="dxa" w:w="1296"/>
            <w:shd w:fill="1B365D"/>
            <w:tcMar>
              <w:top w:w="140" w:type="dxa"/>
              <w:bottom w:w="140" w:type="dxa"/>
              <w:left w:w="150" w:type="dxa"/>
              <w:right w:w="150" w:type="dxa"/>
            </w:tcMar>
          </w:tcPr>
          <w:p>
            <w:pPr>
              <w:jc w:val="left"/>
            </w:pPr>
            <w:r>
              <w:rPr>
                <w:rFonts w:ascii="Arial" w:hAnsi="Arial"/>
                <w:b/>
                <w:color w:val="FFFFFF"/>
                <w:sz w:val="19"/>
              </w:rPr>
              <w:t>Q25</w:t>
            </w:r>
          </w:p>
        </w:tc>
        <w:tc>
          <w:tcPr>
            <w:tcW w:type="dxa" w:w="1296"/>
            <w:shd w:fill="1B365D"/>
            <w:tcMar>
              <w:top w:w="140" w:type="dxa"/>
              <w:bottom w:w="140" w:type="dxa"/>
              <w:left w:w="150" w:type="dxa"/>
              <w:right w:w="150" w:type="dxa"/>
            </w:tcMar>
          </w:tcPr>
          <w:p>
            <w:pPr>
              <w:jc w:val="left"/>
            </w:pPr>
            <w:r>
              <w:rPr>
                <w:rFonts w:ascii="Arial" w:hAnsi="Arial"/>
                <w:b/>
                <w:color w:val="FFFFFF"/>
                <w:sz w:val="19"/>
              </w:rPr>
              <w:t>Q75</w:t>
            </w:r>
          </w:p>
        </w:tc>
        <w:tc>
          <w:tcPr>
            <w:tcW w:type="dxa" w:w="1296"/>
            <w:shd w:fill="1B365D"/>
            <w:tcMar>
              <w:top w:w="140" w:type="dxa"/>
              <w:bottom w:w="140" w:type="dxa"/>
              <w:left w:w="150" w:type="dxa"/>
              <w:right w:w="150" w:type="dxa"/>
            </w:tcMar>
          </w:tcPr>
          <w:p>
            <w:pPr>
              <w:jc w:val="left"/>
            </w:pPr>
            <w:r>
              <w:rPr>
                <w:rFonts w:ascii="Arial" w:hAnsi="Arial"/>
                <w:b/>
                <w:color w:val="FFFFFF"/>
                <w:sz w:val="19"/>
              </w:rPr>
              <w:t>IQR</w:t>
            </w:r>
          </w:p>
        </w:tc>
        <w:tc>
          <w:tcPr>
            <w:tcW w:type="dxa" w:w="1440"/>
            <w:shd w:fill="1B365D"/>
            <w:tcMar>
              <w:top w:w="140" w:type="dxa"/>
              <w:bottom w:w="140" w:type="dxa"/>
              <w:left w:w="150" w:type="dxa"/>
              <w:right w:w="150" w:type="dxa"/>
            </w:tcMar>
          </w:tcPr>
          <w:p>
            <w:pPr>
              <w:jc w:val="left"/>
            </w:pPr>
            <w:r>
              <w:rPr>
                <w:rFonts w:ascii="Arial" w:hAnsi="Arial"/>
                <w:b/>
                <w:color w:val="FFFFFF"/>
                <w:sz w:val="19"/>
              </w:rPr>
              <w:t>Lower Bound</w:t>
            </w:r>
          </w:p>
        </w:tc>
        <w:tc>
          <w:tcPr>
            <w:tcW w:type="dxa" w:w="1440"/>
            <w:shd w:fill="1B365D"/>
            <w:tcMar>
              <w:top w:w="140" w:type="dxa"/>
              <w:bottom w:w="140" w:type="dxa"/>
              <w:left w:w="150" w:type="dxa"/>
              <w:right w:w="150" w:type="dxa"/>
            </w:tcMar>
          </w:tcPr>
          <w:p>
            <w:pPr>
              <w:jc w:val="left"/>
            </w:pPr>
            <w:r>
              <w:rPr>
                <w:rFonts w:ascii="Arial" w:hAnsi="Arial"/>
                <w:b/>
                <w:color w:val="FFFFFF"/>
                <w:sz w:val="19"/>
              </w:rPr>
              <w:t>Upper Bound</w:t>
            </w:r>
          </w:p>
        </w:tc>
        <w:tc>
          <w:tcPr>
            <w:tcW w:type="dxa" w:w="1296"/>
            <w:shd w:fill="1B365D"/>
            <w:tcMar>
              <w:top w:w="140" w:type="dxa"/>
              <w:bottom w:w="140" w:type="dxa"/>
              <w:left w:w="150" w:type="dxa"/>
              <w:right w:w="150" w:type="dxa"/>
            </w:tcMar>
          </w:tcPr>
          <w:p>
            <w:pPr>
              <w:jc w:val="left"/>
            </w:pPr>
            <w:r>
              <w:rPr>
                <w:rFonts w:ascii="Arial" w:hAnsi="Arial"/>
                <w:b/>
                <w:color w:val="FFFFFF"/>
                <w:sz w:val="19"/>
              </w:rPr>
              <w:t>Outlier Count</w:t>
            </w:r>
          </w:p>
        </w:tc>
      </w:tr>
      <w:tr>
        <w:tc>
          <w:tcPr>
            <w:tcW w:type="dxa" w:w="2160"/>
            <w:shd w:fill="FFFFFF"/>
            <w:tcMar>
              <w:top w:w="100" w:type="dxa"/>
              <w:bottom w:w="100" w:type="dxa"/>
              <w:left w:w="150" w:type="dxa"/>
              <w:right w:w="150" w:type="dxa"/>
            </w:tcMar>
          </w:tcPr>
          <w:p>
            <w:pPr>
              <w:jc w:val="left"/>
            </w:pPr>
            <w:r>
              <w:rPr>
                <w:rFonts w:ascii="Arial" w:hAnsi="Arial"/>
                <w:color w:val="212529"/>
                <w:sz w:val="18"/>
              </w:rPr>
              <w:t>price_per_sqft</w:t>
            </w:r>
          </w:p>
        </w:tc>
        <w:tc>
          <w:tcPr>
            <w:tcW w:type="dxa" w:w="1296"/>
            <w:shd w:fill="FFFFFF"/>
            <w:tcMar>
              <w:top w:w="100" w:type="dxa"/>
              <w:bottom w:w="100" w:type="dxa"/>
              <w:left w:w="150" w:type="dxa"/>
              <w:right w:w="150" w:type="dxa"/>
            </w:tcMar>
          </w:tcPr>
          <w:p>
            <w:pPr>
              <w:jc w:val="left"/>
            </w:pPr>
            <w:r>
              <w:rPr>
                <w:rFonts w:ascii="Arial" w:hAnsi="Arial"/>
                <w:color w:val="212529"/>
                <w:sz w:val="18"/>
              </w:rPr>
              <w:t>3,283.5</w:t>
            </w:r>
          </w:p>
        </w:tc>
        <w:tc>
          <w:tcPr>
            <w:tcW w:type="dxa" w:w="1296"/>
            <w:shd w:fill="FFFFFF"/>
            <w:tcMar>
              <w:top w:w="100" w:type="dxa"/>
              <w:bottom w:w="100" w:type="dxa"/>
              <w:left w:w="150" w:type="dxa"/>
              <w:right w:w="150" w:type="dxa"/>
            </w:tcMar>
          </w:tcPr>
          <w:p>
            <w:pPr>
              <w:jc w:val="left"/>
            </w:pPr>
            <w:r>
              <w:rPr>
                <w:rFonts w:ascii="Arial" w:hAnsi="Arial"/>
                <w:color w:val="212529"/>
                <w:sz w:val="18"/>
              </w:rPr>
              <w:t>5,479.5</w:t>
            </w:r>
          </w:p>
        </w:tc>
        <w:tc>
          <w:tcPr>
            <w:tcW w:type="dxa" w:w="1296"/>
            <w:shd w:fill="FFFFFF"/>
            <w:tcMar>
              <w:top w:w="100" w:type="dxa"/>
              <w:bottom w:w="100" w:type="dxa"/>
              <w:left w:w="150" w:type="dxa"/>
              <w:right w:w="150" w:type="dxa"/>
            </w:tcMar>
          </w:tcPr>
          <w:p>
            <w:pPr>
              <w:jc w:val="left"/>
            </w:pPr>
            <w:r>
              <w:rPr>
                <w:rFonts w:ascii="Arial" w:hAnsi="Arial"/>
                <w:color w:val="212529"/>
                <w:sz w:val="18"/>
              </w:rPr>
              <w:t>2,196.0</w:t>
            </w:r>
          </w:p>
        </w:tc>
        <w:tc>
          <w:tcPr>
            <w:tcW w:type="dxa" w:w="1440"/>
            <w:shd w:fill="FFFFFF"/>
            <w:tcMar>
              <w:top w:w="100" w:type="dxa"/>
              <w:bottom w:w="100" w:type="dxa"/>
              <w:left w:w="150" w:type="dxa"/>
              <w:right w:w="150" w:type="dxa"/>
            </w:tcMar>
          </w:tcPr>
          <w:p>
            <w:pPr>
              <w:jc w:val="left"/>
            </w:pPr>
            <w:r>
              <w:rPr>
                <w:rFonts w:ascii="Arial" w:hAnsi="Arial"/>
                <w:color w:val="212529"/>
                <w:sz w:val="18"/>
              </w:rPr>
              <w:t>0.0 (Floored)</w:t>
            </w:r>
          </w:p>
        </w:tc>
        <w:tc>
          <w:tcPr>
            <w:tcW w:type="dxa" w:w="1440"/>
            <w:shd w:fill="FFFFFF"/>
            <w:tcMar>
              <w:top w:w="100" w:type="dxa"/>
              <w:bottom w:w="100" w:type="dxa"/>
              <w:left w:w="150" w:type="dxa"/>
              <w:right w:w="150" w:type="dxa"/>
            </w:tcMar>
          </w:tcPr>
          <w:p>
            <w:pPr>
              <w:jc w:val="left"/>
            </w:pPr>
            <w:r>
              <w:rPr>
                <w:rFonts w:ascii="Arial" w:hAnsi="Arial"/>
                <w:color w:val="212529"/>
                <w:sz w:val="18"/>
              </w:rPr>
              <w:t>8,773.5</w:t>
            </w:r>
          </w:p>
        </w:tc>
        <w:tc>
          <w:tcPr>
            <w:tcW w:type="dxa" w:w="1296"/>
            <w:shd w:fill="FFFFFF"/>
            <w:tcMar>
              <w:top w:w="100" w:type="dxa"/>
              <w:bottom w:w="100" w:type="dxa"/>
              <w:left w:w="150" w:type="dxa"/>
              <w:right w:w="150" w:type="dxa"/>
            </w:tcMar>
          </w:tcPr>
          <w:p>
            <w:pPr>
              <w:jc w:val="left"/>
            </w:pPr>
            <w:r>
              <w:rPr>
                <w:rFonts w:ascii="Arial" w:hAnsi="Arial"/>
                <w:color w:val="212529"/>
                <w:sz w:val="18"/>
              </w:rPr>
              <w:t>42</w:t>
            </w:r>
          </w:p>
        </w:tc>
      </w:tr>
      <w:tr>
        <w:tc>
          <w:tcPr>
            <w:tcW w:type="dxa" w:w="2160"/>
            <w:shd w:fill="F8F9FA"/>
            <w:tcMar>
              <w:top w:w="100" w:type="dxa"/>
              <w:bottom w:w="100" w:type="dxa"/>
              <w:left w:w="150" w:type="dxa"/>
              <w:right w:w="150" w:type="dxa"/>
            </w:tcMar>
          </w:tcPr>
          <w:p>
            <w:pPr>
              <w:jc w:val="left"/>
            </w:pPr>
            <w:r>
              <w:rPr>
                <w:rFonts w:ascii="Arial" w:hAnsi="Arial"/>
                <w:color w:val="212529"/>
                <w:sz w:val="18"/>
              </w:rPr>
              <w:t>total_price_lakh</w:t>
            </w:r>
          </w:p>
        </w:tc>
        <w:tc>
          <w:tcPr>
            <w:tcW w:type="dxa" w:w="1296"/>
            <w:shd w:fill="F8F9FA"/>
            <w:tcMar>
              <w:top w:w="100" w:type="dxa"/>
              <w:bottom w:w="100" w:type="dxa"/>
              <w:left w:w="150" w:type="dxa"/>
              <w:right w:w="150" w:type="dxa"/>
            </w:tcMar>
          </w:tcPr>
          <w:p>
            <w:pPr>
              <w:jc w:val="left"/>
            </w:pPr>
            <w:r>
              <w:rPr>
                <w:rFonts w:ascii="Arial" w:hAnsi="Arial"/>
                <w:color w:val="212529"/>
                <w:sz w:val="18"/>
              </w:rPr>
              <w:t>41.6</w:t>
            </w:r>
          </w:p>
        </w:tc>
        <w:tc>
          <w:tcPr>
            <w:tcW w:type="dxa" w:w="1296"/>
            <w:shd w:fill="F8F9FA"/>
            <w:tcMar>
              <w:top w:w="100" w:type="dxa"/>
              <w:bottom w:w="100" w:type="dxa"/>
              <w:left w:w="150" w:type="dxa"/>
              <w:right w:w="150" w:type="dxa"/>
            </w:tcMar>
          </w:tcPr>
          <w:p>
            <w:pPr>
              <w:jc w:val="left"/>
            </w:pPr>
            <w:r>
              <w:rPr>
                <w:rFonts w:ascii="Arial" w:hAnsi="Arial"/>
                <w:color w:val="212529"/>
                <w:sz w:val="18"/>
              </w:rPr>
              <w:t>110.8</w:t>
            </w:r>
          </w:p>
        </w:tc>
        <w:tc>
          <w:tcPr>
            <w:tcW w:type="dxa" w:w="1296"/>
            <w:shd w:fill="F8F9FA"/>
            <w:tcMar>
              <w:top w:w="100" w:type="dxa"/>
              <w:bottom w:w="100" w:type="dxa"/>
              <w:left w:w="150" w:type="dxa"/>
              <w:right w:w="150" w:type="dxa"/>
            </w:tcMar>
          </w:tcPr>
          <w:p>
            <w:pPr>
              <w:jc w:val="left"/>
            </w:pPr>
            <w:r>
              <w:rPr>
                <w:rFonts w:ascii="Arial" w:hAnsi="Arial"/>
                <w:color w:val="212529"/>
                <w:sz w:val="18"/>
              </w:rPr>
              <w:t>69.2</w:t>
            </w:r>
          </w:p>
        </w:tc>
        <w:tc>
          <w:tcPr>
            <w:tcW w:type="dxa" w:w="1440"/>
            <w:shd w:fill="F8F9FA"/>
            <w:tcMar>
              <w:top w:w="100" w:type="dxa"/>
              <w:bottom w:w="100" w:type="dxa"/>
              <w:left w:w="150" w:type="dxa"/>
              <w:right w:w="150" w:type="dxa"/>
            </w:tcMar>
          </w:tcPr>
          <w:p>
            <w:pPr>
              <w:jc w:val="left"/>
            </w:pPr>
            <w:r>
              <w:rPr>
                <w:rFonts w:ascii="Arial" w:hAnsi="Arial"/>
                <w:color w:val="212529"/>
                <w:sz w:val="18"/>
              </w:rPr>
              <w:t>0.0 (Floored)</w:t>
            </w:r>
          </w:p>
        </w:tc>
        <w:tc>
          <w:tcPr>
            <w:tcW w:type="dxa" w:w="1440"/>
            <w:shd w:fill="F8F9FA"/>
            <w:tcMar>
              <w:top w:w="100" w:type="dxa"/>
              <w:bottom w:w="100" w:type="dxa"/>
              <w:left w:w="150" w:type="dxa"/>
              <w:right w:w="150" w:type="dxa"/>
            </w:tcMar>
          </w:tcPr>
          <w:p>
            <w:pPr>
              <w:jc w:val="left"/>
            </w:pPr>
            <w:r>
              <w:rPr>
                <w:rFonts w:ascii="Arial" w:hAnsi="Arial"/>
                <w:color w:val="212529"/>
                <w:sz w:val="18"/>
              </w:rPr>
              <w:t>214.6</w:t>
            </w:r>
          </w:p>
        </w:tc>
        <w:tc>
          <w:tcPr>
            <w:tcW w:type="dxa" w:w="1296"/>
            <w:shd w:fill="F8F9FA"/>
            <w:tcMar>
              <w:top w:w="100" w:type="dxa"/>
              <w:bottom w:w="100" w:type="dxa"/>
              <w:left w:w="150" w:type="dxa"/>
              <w:right w:w="150" w:type="dxa"/>
            </w:tcMar>
          </w:tcPr>
          <w:p>
            <w:pPr>
              <w:jc w:val="left"/>
            </w:pPr>
            <w:r>
              <w:rPr>
                <w:rFonts w:ascii="Arial" w:hAnsi="Arial"/>
                <w:color w:val="212529"/>
                <w:sz w:val="18"/>
              </w:rPr>
              <w:t>38</w:t>
            </w:r>
          </w:p>
        </w:tc>
      </w:tr>
      <w:tr>
        <w:tc>
          <w:tcPr>
            <w:tcW w:type="dxa" w:w="2160"/>
            <w:shd w:fill="FFFFFF"/>
            <w:tcMar>
              <w:top w:w="100" w:type="dxa"/>
              <w:bottom w:w="100" w:type="dxa"/>
              <w:left w:w="150" w:type="dxa"/>
              <w:right w:w="150" w:type="dxa"/>
            </w:tcMar>
          </w:tcPr>
          <w:p>
            <w:pPr>
              <w:jc w:val="left"/>
            </w:pPr>
            <w:r>
              <w:rPr>
                <w:rFonts w:ascii="Arial" w:hAnsi="Arial"/>
                <w:color w:val="212529"/>
                <w:sz w:val="18"/>
              </w:rPr>
              <w:t>area_sqft</w:t>
            </w:r>
          </w:p>
        </w:tc>
        <w:tc>
          <w:tcPr>
            <w:tcW w:type="dxa" w:w="1296"/>
            <w:shd w:fill="FFFFFF"/>
            <w:tcMar>
              <w:top w:w="100" w:type="dxa"/>
              <w:bottom w:w="100" w:type="dxa"/>
              <w:left w:w="150" w:type="dxa"/>
              <w:right w:w="150" w:type="dxa"/>
            </w:tcMar>
          </w:tcPr>
          <w:p>
            <w:pPr>
              <w:jc w:val="left"/>
            </w:pPr>
            <w:r>
              <w:rPr>
                <w:rFonts w:ascii="Arial" w:hAnsi="Arial"/>
                <w:color w:val="212529"/>
                <w:sz w:val="18"/>
              </w:rPr>
              <w:t>1,186.5</w:t>
            </w:r>
          </w:p>
        </w:tc>
        <w:tc>
          <w:tcPr>
            <w:tcW w:type="dxa" w:w="1296"/>
            <w:shd w:fill="FFFFFF"/>
            <w:tcMar>
              <w:top w:w="100" w:type="dxa"/>
              <w:bottom w:w="100" w:type="dxa"/>
              <w:left w:w="150" w:type="dxa"/>
              <w:right w:w="150" w:type="dxa"/>
            </w:tcMar>
          </w:tcPr>
          <w:p>
            <w:pPr>
              <w:jc w:val="left"/>
            </w:pPr>
            <w:r>
              <w:rPr>
                <w:rFonts w:ascii="Arial" w:hAnsi="Arial"/>
                <w:color w:val="212529"/>
                <w:sz w:val="18"/>
              </w:rPr>
              <w:t>2,551.5</w:t>
            </w:r>
          </w:p>
        </w:tc>
        <w:tc>
          <w:tcPr>
            <w:tcW w:type="dxa" w:w="1296"/>
            <w:shd w:fill="FFFFFF"/>
            <w:tcMar>
              <w:top w:w="100" w:type="dxa"/>
              <w:bottom w:w="100" w:type="dxa"/>
              <w:left w:w="150" w:type="dxa"/>
              <w:right w:w="150" w:type="dxa"/>
            </w:tcMar>
          </w:tcPr>
          <w:p>
            <w:pPr>
              <w:jc w:val="left"/>
            </w:pPr>
            <w:r>
              <w:rPr>
                <w:rFonts w:ascii="Arial" w:hAnsi="Arial"/>
                <w:color w:val="212529"/>
                <w:sz w:val="18"/>
              </w:rPr>
              <w:t>1,365.0</w:t>
            </w:r>
          </w:p>
        </w:tc>
        <w:tc>
          <w:tcPr>
            <w:tcW w:type="dxa" w:w="1440"/>
            <w:shd w:fill="FFFFFF"/>
            <w:tcMar>
              <w:top w:w="100" w:type="dxa"/>
              <w:bottom w:w="100" w:type="dxa"/>
              <w:left w:w="150" w:type="dxa"/>
              <w:right w:w="150" w:type="dxa"/>
            </w:tcMar>
          </w:tcPr>
          <w:p>
            <w:pPr>
              <w:jc w:val="left"/>
            </w:pPr>
            <w:r>
              <w:rPr>
                <w:rFonts w:ascii="Arial" w:hAnsi="Arial"/>
                <w:color w:val="212529"/>
                <w:sz w:val="18"/>
              </w:rPr>
              <w:t>0.0 (Floored)</w:t>
            </w:r>
          </w:p>
        </w:tc>
        <w:tc>
          <w:tcPr>
            <w:tcW w:type="dxa" w:w="1440"/>
            <w:shd w:fill="FFFFFF"/>
            <w:tcMar>
              <w:top w:w="100" w:type="dxa"/>
              <w:bottom w:w="100" w:type="dxa"/>
              <w:left w:w="150" w:type="dxa"/>
              <w:right w:w="150" w:type="dxa"/>
            </w:tcMar>
          </w:tcPr>
          <w:p>
            <w:pPr>
              <w:jc w:val="left"/>
            </w:pPr>
            <w:r>
              <w:rPr>
                <w:rFonts w:ascii="Arial" w:hAnsi="Arial"/>
                <w:color w:val="212529"/>
                <w:sz w:val="18"/>
              </w:rPr>
              <w:t>4,599.0</w:t>
            </w:r>
          </w:p>
        </w:tc>
        <w:tc>
          <w:tcPr>
            <w:tcW w:type="dxa" w:w="1296"/>
            <w:shd w:fill="FFFFFF"/>
            <w:tcMar>
              <w:top w:w="100" w:type="dxa"/>
              <w:bottom w:w="100" w:type="dxa"/>
              <w:left w:w="150" w:type="dxa"/>
              <w:right w:w="150" w:type="dxa"/>
            </w:tcMar>
          </w:tcPr>
          <w:p>
            <w:pPr>
              <w:jc w:val="left"/>
            </w:pPr>
            <w:r>
              <w:rPr>
                <w:rFonts w:ascii="Arial" w:hAnsi="Arial"/>
                <w:color w:val="212529"/>
                <w:sz w:val="18"/>
              </w:rPr>
              <w:t>0</w:t>
            </w:r>
          </w:p>
        </w:tc>
      </w:tr>
    </w:tbl>
    <w:p>
      <w:pPr>
        <w:keepNext/>
        <w:spacing w:before="280" w:after="80"/>
      </w:pPr>
      <w:r>
        <w:rPr>
          <w:rFonts w:ascii="Arial" w:hAnsi="Arial"/>
          <w:b/>
          <w:color w:val="1B365D"/>
          <w:sz w:val="26"/>
        </w:rPr>
        <w:t>5. JDA Layout Approvals &amp; Master Plan 2032 Zoning</w:t>
      </w:r>
    </w:p>
    <w:p>
      <w:pPr>
        <w:spacing w:before="40" w:after="80" w:line="276" w:lineRule="auto"/>
      </w:pPr>
      <w:r>
        <w:rPr>
          <w:rFonts w:ascii="Arial" w:hAnsi="Arial"/>
          <w:color w:val="212529"/>
          <w:sz w:val="20"/>
        </w:rPr>
        <w:t>The JDA layout ingestion pipeline compiled official layout approval status, notification references, and land-use classifications across all 36 localities in Jammu Urban Area:</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shd w:fill="1B365D"/>
            <w:tcMar>
              <w:top w:w="140" w:type="dxa"/>
              <w:bottom w:w="140" w:type="dxa"/>
              <w:left w:w="150" w:type="dxa"/>
              <w:right w:w="150" w:type="dxa"/>
            </w:tcMar>
          </w:tcPr>
          <w:p>
            <w:pPr>
              <w:jc w:val="left"/>
            </w:pPr>
            <w:r>
              <w:rPr>
                <w:rFonts w:ascii="Arial" w:hAnsi="Arial"/>
                <w:b/>
                <w:color w:val="FFFFFF"/>
                <w:sz w:val="19"/>
              </w:rPr>
              <w:t>Locality</w:t>
            </w:r>
          </w:p>
        </w:tc>
        <w:tc>
          <w:tcPr>
            <w:tcW w:type="dxa" w:w="2592"/>
            <w:shd w:fill="1B365D"/>
            <w:tcMar>
              <w:top w:w="140" w:type="dxa"/>
              <w:bottom w:w="140" w:type="dxa"/>
              <w:left w:w="150" w:type="dxa"/>
              <w:right w:w="150" w:type="dxa"/>
            </w:tcMar>
          </w:tcPr>
          <w:p>
            <w:pPr>
              <w:jc w:val="left"/>
            </w:pPr>
            <w:r>
              <w:rPr>
                <w:rFonts w:ascii="Arial" w:hAnsi="Arial"/>
                <w:b/>
                <w:color w:val="FFFFFF"/>
                <w:sz w:val="19"/>
              </w:rPr>
              <w:t>JDA Scheme Name</w:t>
            </w:r>
          </w:p>
        </w:tc>
        <w:tc>
          <w:tcPr>
            <w:tcW w:type="dxa" w:w="1584"/>
            <w:shd w:fill="1B365D"/>
            <w:tcMar>
              <w:top w:w="140" w:type="dxa"/>
              <w:bottom w:w="140" w:type="dxa"/>
              <w:left w:w="150" w:type="dxa"/>
              <w:right w:w="150" w:type="dxa"/>
            </w:tcMar>
          </w:tcPr>
          <w:p>
            <w:pPr>
              <w:jc w:val="left"/>
            </w:pPr>
            <w:r>
              <w:rPr>
                <w:rFonts w:ascii="Arial" w:hAnsi="Arial"/>
                <w:b/>
                <w:color w:val="FFFFFF"/>
                <w:sz w:val="19"/>
              </w:rPr>
              <w:t>Approval Status</w:t>
            </w:r>
          </w:p>
        </w:tc>
        <w:tc>
          <w:tcPr>
            <w:tcW w:type="dxa" w:w="2016"/>
            <w:shd w:fill="1B365D"/>
            <w:tcMar>
              <w:top w:w="140" w:type="dxa"/>
              <w:bottom w:w="140" w:type="dxa"/>
              <w:left w:w="150" w:type="dxa"/>
              <w:right w:w="150" w:type="dxa"/>
            </w:tcMar>
          </w:tcPr>
          <w:p>
            <w:pPr>
              <w:jc w:val="left"/>
            </w:pPr>
            <w:r>
              <w:rPr>
                <w:rFonts w:ascii="Arial" w:hAnsi="Arial"/>
                <w:b/>
                <w:color w:val="FFFFFF"/>
                <w:sz w:val="19"/>
              </w:rPr>
              <w:t>Notification No.</w:t>
            </w:r>
          </w:p>
        </w:tc>
        <w:tc>
          <w:tcPr>
            <w:tcW w:type="dxa" w:w="2016"/>
            <w:shd w:fill="1B365D"/>
            <w:tcMar>
              <w:top w:w="140" w:type="dxa"/>
              <w:bottom w:w="140" w:type="dxa"/>
              <w:left w:w="150" w:type="dxa"/>
              <w:right w:w="150" w:type="dxa"/>
            </w:tcMar>
          </w:tcPr>
          <w:p>
            <w:pPr>
              <w:jc w:val="left"/>
            </w:pPr>
            <w:r>
              <w:rPr>
                <w:rFonts w:ascii="Arial" w:hAnsi="Arial"/>
                <w:b/>
                <w:color w:val="FFFFFF"/>
                <w:sz w:val="19"/>
              </w:rPr>
              <w:t>Master Plan 2032 Zone</w:t>
            </w:r>
          </w:p>
        </w:tc>
      </w:tr>
      <w:tr>
        <w:tc>
          <w:tcPr>
            <w:tcW w:type="dxa" w:w="2016"/>
            <w:shd w:fill="FFFFFF"/>
            <w:tcMar>
              <w:top w:w="100" w:type="dxa"/>
              <w:bottom w:w="100" w:type="dxa"/>
              <w:left w:w="150" w:type="dxa"/>
              <w:right w:w="150" w:type="dxa"/>
            </w:tcMar>
          </w:tcPr>
          <w:p>
            <w:pPr>
              <w:jc w:val="left"/>
            </w:pPr>
            <w:r>
              <w:rPr>
                <w:rFonts w:ascii="Arial" w:hAnsi="Arial"/>
                <w:color w:val="212529"/>
                <w:sz w:val="18"/>
              </w:rPr>
              <w:t>Channi Himmat</w:t>
            </w:r>
          </w:p>
        </w:tc>
        <w:tc>
          <w:tcPr>
            <w:tcW w:type="dxa" w:w="2592"/>
            <w:shd w:fill="FFFFFF"/>
            <w:tcMar>
              <w:top w:w="100" w:type="dxa"/>
              <w:bottom w:w="100" w:type="dxa"/>
              <w:left w:w="150" w:type="dxa"/>
              <w:right w:w="150" w:type="dxa"/>
            </w:tcMar>
          </w:tcPr>
          <w:p>
            <w:pPr>
              <w:jc w:val="left"/>
            </w:pPr>
            <w:r>
              <w:rPr>
                <w:rFonts w:ascii="Arial" w:hAnsi="Arial"/>
                <w:color w:val="212529"/>
                <w:sz w:val="18"/>
              </w:rPr>
              <w:t>JDA Housing Colony (Sec 1-7)</w:t>
            </w:r>
          </w:p>
        </w:tc>
        <w:tc>
          <w:tcPr>
            <w:tcW w:type="dxa" w:w="1584"/>
            <w:shd w:fill="FFFFFF"/>
            <w:tcMar>
              <w:top w:w="100" w:type="dxa"/>
              <w:bottom w:w="100" w:type="dxa"/>
              <w:left w:w="150" w:type="dxa"/>
              <w:right w:w="150" w:type="dxa"/>
            </w:tcMar>
          </w:tcPr>
          <w:p>
            <w:pPr>
              <w:jc w:val="left"/>
            </w:pPr>
            <w:r>
              <w:rPr>
                <w:rFonts w:ascii="Arial" w:hAnsi="Arial"/>
                <w:color w:val="212529"/>
                <w:sz w:val="18"/>
              </w:rPr>
              <w:t>Approved</w:t>
            </w:r>
          </w:p>
        </w:tc>
        <w:tc>
          <w:tcPr>
            <w:tcW w:type="dxa" w:w="2016"/>
            <w:shd w:fill="FFFFFF"/>
            <w:tcMar>
              <w:top w:w="100" w:type="dxa"/>
              <w:bottom w:w="100" w:type="dxa"/>
              <w:left w:w="150" w:type="dxa"/>
              <w:right w:w="150" w:type="dxa"/>
            </w:tcMar>
          </w:tcPr>
          <w:p>
            <w:pPr>
              <w:jc w:val="left"/>
            </w:pPr>
            <w:r>
              <w:rPr>
                <w:rFonts w:ascii="Arial" w:hAnsi="Arial"/>
                <w:color w:val="212529"/>
                <w:sz w:val="18"/>
              </w:rPr>
              <w:t>HUD/JDA/HC-CH/1982/104</w:t>
            </w:r>
          </w:p>
        </w:tc>
        <w:tc>
          <w:tcPr>
            <w:tcW w:type="dxa" w:w="2016"/>
            <w:shd w:fill="FFFFFF"/>
            <w:tcMar>
              <w:top w:w="100" w:type="dxa"/>
              <w:bottom w:w="100" w:type="dxa"/>
              <w:left w:w="150" w:type="dxa"/>
              <w:right w:w="150" w:type="dxa"/>
            </w:tcMar>
          </w:tcPr>
          <w:p>
            <w:pPr>
              <w:jc w:val="left"/>
            </w:pPr>
            <w:r>
              <w:rPr>
                <w:rFonts w:ascii="Arial" w:hAnsi="Arial"/>
                <w:color w:val="212529"/>
                <w:sz w:val="18"/>
              </w:rPr>
              <w:t>Residential - Medium Density</w:t>
            </w:r>
          </w:p>
        </w:tc>
      </w:tr>
      <w:tr>
        <w:tc>
          <w:tcPr>
            <w:tcW w:type="dxa" w:w="2016"/>
            <w:shd w:fill="F8F9FA"/>
            <w:tcMar>
              <w:top w:w="100" w:type="dxa"/>
              <w:bottom w:w="100" w:type="dxa"/>
              <w:left w:w="150" w:type="dxa"/>
              <w:right w:w="150" w:type="dxa"/>
            </w:tcMar>
          </w:tcPr>
          <w:p>
            <w:pPr>
              <w:jc w:val="left"/>
            </w:pPr>
            <w:r>
              <w:rPr>
                <w:rFonts w:ascii="Arial" w:hAnsi="Arial"/>
                <w:color w:val="212529"/>
                <w:sz w:val="18"/>
              </w:rPr>
              <w:t>Gandhi Nagar</w:t>
            </w:r>
          </w:p>
        </w:tc>
        <w:tc>
          <w:tcPr>
            <w:tcW w:type="dxa" w:w="2592"/>
            <w:shd w:fill="F8F9FA"/>
            <w:tcMar>
              <w:top w:w="100" w:type="dxa"/>
              <w:bottom w:w="100" w:type="dxa"/>
              <w:left w:w="150" w:type="dxa"/>
              <w:right w:w="150" w:type="dxa"/>
            </w:tcMar>
          </w:tcPr>
          <w:p>
            <w:pPr>
              <w:jc w:val="left"/>
            </w:pPr>
            <w:r>
              <w:rPr>
                <w:rFonts w:ascii="Arial" w:hAnsi="Arial"/>
                <w:color w:val="212529"/>
                <w:sz w:val="18"/>
              </w:rPr>
              <w:t>Gandhi Nagar Housing Scheme</w:t>
            </w:r>
          </w:p>
        </w:tc>
        <w:tc>
          <w:tcPr>
            <w:tcW w:type="dxa" w:w="1584"/>
            <w:shd w:fill="F8F9FA"/>
            <w:tcMar>
              <w:top w:w="100" w:type="dxa"/>
              <w:bottom w:w="100" w:type="dxa"/>
              <w:left w:w="150" w:type="dxa"/>
              <w:right w:w="150" w:type="dxa"/>
            </w:tcMar>
          </w:tcPr>
          <w:p>
            <w:pPr>
              <w:jc w:val="left"/>
            </w:pPr>
            <w:r>
              <w:rPr>
                <w:rFonts w:ascii="Arial" w:hAnsi="Arial"/>
                <w:color w:val="212529"/>
                <w:sz w:val="18"/>
              </w:rPr>
              <w:t>Approved</w:t>
            </w:r>
          </w:p>
        </w:tc>
        <w:tc>
          <w:tcPr>
            <w:tcW w:type="dxa" w:w="2016"/>
            <w:shd w:fill="F8F9FA"/>
            <w:tcMar>
              <w:top w:w="100" w:type="dxa"/>
              <w:bottom w:w="100" w:type="dxa"/>
              <w:left w:w="150" w:type="dxa"/>
              <w:right w:w="150" w:type="dxa"/>
            </w:tcMar>
          </w:tcPr>
          <w:p>
            <w:pPr>
              <w:jc w:val="left"/>
            </w:pPr>
            <w:r>
              <w:rPr>
                <w:rFonts w:ascii="Arial" w:hAnsi="Arial"/>
                <w:color w:val="212529"/>
                <w:sz w:val="18"/>
              </w:rPr>
              <w:t>HUD/JDA/GN-GM/1965/12</w:t>
            </w:r>
          </w:p>
        </w:tc>
        <w:tc>
          <w:tcPr>
            <w:tcW w:type="dxa" w:w="2016"/>
            <w:shd w:fill="F8F9FA"/>
            <w:tcMar>
              <w:top w:w="100" w:type="dxa"/>
              <w:bottom w:w="100" w:type="dxa"/>
              <w:left w:w="150" w:type="dxa"/>
              <w:right w:w="150" w:type="dxa"/>
            </w:tcMar>
          </w:tcPr>
          <w:p>
            <w:pPr>
              <w:jc w:val="left"/>
            </w:pPr>
            <w:r>
              <w:rPr>
                <w:rFonts w:ascii="Arial" w:hAnsi="Arial"/>
                <w:color w:val="212529"/>
                <w:sz w:val="18"/>
              </w:rPr>
              <w:t>Residential Established</w:t>
            </w:r>
          </w:p>
        </w:tc>
      </w:tr>
      <w:tr>
        <w:tc>
          <w:tcPr>
            <w:tcW w:type="dxa" w:w="2016"/>
            <w:shd w:fill="FFFFFF"/>
            <w:tcMar>
              <w:top w:w="100" w:type="dxa"/>
              <w:bottom w:w="100" w:type="dxa"/>
              <w:left w:w="150" w:type="dxa"/>
              <w:right w:w="150" w:type="dxa"/>
            </w:tcMar>
          </w:tcPr>
          <w:p>
            <w:pPr>
              <w:jc w:val="left"/>
            </w:pPr>
            <w:r>
              <w:rPr>
                <w:rFonts w:ascii="Arial" w:hAnsi="Arial"/>
                <w:color w:val="212529"/>
                <w:sz w:val="18"/>
              </w:rPr>
              <w:t>Bahu Plaza</w:t>
            </w:r>
          </w:p>
        </w:tc>
        <w:tc>
          <w:tcPr>
            <w:tcW w:type="dxa" w:w="2592"/>
            <w:shd w:fill="FFFFFF"/>
            <w:tcMar>
              <w:top w:w="100" w:type="dxa"/>
              <w:bottom w:w="100" w:type="dxa"/>
              <w:left w:w="150" w:type="dxa"/>
              <w:right w:w="150" w:type="dxa"/>
            </w:tcMar>
          </w:tcPr>
          <w:p>
            <w:pPr>
              <w:jc w:val="left"/>
            </w:pPr>
            <w:r>
              <w:rPr>
                <w:rFonts w:ascii="Arial" w:hAnsi="Arial"/>
                <w:color w:val="212529"/>
                <w:sz w:val="18"/>
              </w:rPr>
              <w:t>Bahu Plaza Commercial Complex</w:t>
            </w:r>
          </w:p>
        </w:tc>
        <w:tc>
          <w:tcPr>
            <w:tcW w:type="dxa" w:w="1584"/>
            <w:shd w:fill="FFFFFF"/>
            <w:tcMar>
              <w:top w:w="100" w:type="dxa"/>
              <w:bottom w:w="100" w:type="dxa"/>
              <w:left w:w="150" w:type="dxa"/>
              <w:right w:w="150" w:type="dxa"/>
            </w:tcMar>
          </w:tcPr>
          <w:p>
            <w:pPr>
              <w:jc w:val="left"/>
            </w:pPr>
            <w:r>
              <w:rPr>
                <w:rFonts w:ascii="Arial" w:hAnsi="Arial"/>
                <w:color w:val="212529"/>
                <w:sz w:val="18"/>
              </w:rPr>
              <w:t>Approved</w:t>
            </w:r>
          </w:p>
        </w:tc>
        <w:tc>
          <w:tcPr>
            <w:tcW w:type="dxa" w:w="2016"/>
            <w:shd w:fill="FFFFFF"/>
            <w:tcMar>
              <w:top w:w="100" w:type="dxa"/>
              <w:bottom w:w="100" w:type="dxa"/>
              <w:left w:w="150" w:type="dxa"/>
              <w:right w:w="150" w:type="dxa"/>
            </w:tcMar>
          </w:tcPr>
          <w:p>
            <w:pPr>
              <w:jc w:val="left"/>
            </w:pPr>
            <w:r>
              <w:rPr>
                <w:rFonts w:ascii="Arial" w:hAnsi="Arial"/>
                <w:color w:val="212529"/>
                <w:sz w:val="18"/>
              </w:rPr>
              <w:t>HUD/JDA/BP-COM/1994/31</w:t>
            </w:r>
          </w:p>
        </w:tc>
        <w:tc>
          <w:tcPr>
            <w:tcW w:type="dxa" w:w="2016"/>
            <w:shd w:fill="FFFFFF"/>
            <w:tcMar>
              <w:top w:w="100" w:type="dxa"/>
              <w:bottom w:w="100" w:type="dxa"/>
              <w:left w:w="150" w:type="dxa"/>
              <w:right w:w="150" w:type="dxa"/>
            </w:tcMar>
          </w:tcPr>
          <w:p>
            <w:pPr>
              <w:jc w:val="left"/>
            </w:pPr>
            <w:r>
              <w:rPr>
                <w:rFonts w:ascii="Arial" w:hAnsi="Arial"/>
                <w:color w:val="212529"/>
                <w:sz w:val="18"/>
              </w:rPr>
              <w:t>Commercial - Corporate Core</w:t>
            </w:r>
          </w:p>
        </w:tc>
      </w:tr>
      <w:tr>
        <w:tc>
          <w:tcPr>
            <w:tcW w:type="dxa" w:w="2016"/>
            <w:shd w:fill="F8F9FA"/>
            <w:tcMar>
              <w:top w:w="100" w:type="dxa"/>
              <w:bottom w:w="100" w:type="dxa"/>
              <w:left w:w="150" w:type="dxa"/>
              <w:right w:w="150" w:type="dxa"/>
            </w:tcMar>
          </w:tcPr>
          <w:p>
            <w:pPr>
              <w:jc w:val="left"/>
            </w:pPr>
            <w:r>
              <w:rPr>
                <w:rFonts w:ascii="Arial" w:hAnsi="Arial"/>
                <w:color w:val="212529"/>
                <w:sz w:val="18"/>
              </w:rPr>
              <w:t>Roop Nagar</w:t>
            </w:r>
          </w:p>
        </w:tc>
        <w:tc>
          <w:tcPr>
            <w:tcW w:type="dxa" w:w="2592"/>
            <w:shd w:fill="F8F9FA"/>
            <w:tcMar>
              <w:top w:w="100" w:type="dxa"/>
              <w:bottom w:w="100" w:type="dxa"/>
              <w:left w:w="150" w:type="dxa"/>
              <w:right w:w="150" w:type="dxa"/>
            </w:tcMar>
          </w:tcPr>
          <w:p>
            <w:pPr>
              <w:jc w:val="left"/>
            </w:pPr>
            <w:r>
              <w:rPr>
                <w:rFonts w:ascii="Arial" w:hAnsi="Arial"/>
                <w:color w:val="212529"/>
                <w:sz w:val="18"/>
              </w:rPr>
              <w:t>JDA Housing Colony (Sec 1-6)</w:t>
            </w:r>
          </w:p>
        </w:tc>
        <w:tc>
          <w:tcPr>
            <w:tcW w:type="dxa" w:w="1584"/>
            <w:shd w:fill="F8F9FA"/>
            <w:tcMar>
              <w:top w:w="100" w:type="dxa"/>
              <w:bottom w:w="100" w:type="dxa"/>
              <w:left w:w="150" w:type="dxa"/>
              <w:right w:w="150" w:type="dxa"/>
            </w:tcMar>
          </w:tcPr>
          <w:p>
            <w:pPr>
              <w:jc w:val="left"/>
            </w:pPr>
            <w:r>
              <w:rPr>
                <w:rFonts w:ascii="Arial" w:hAnsi="Arial"/>
                <w:color w:val="212529"/>
                <w:sz w:val="18"/>
              </w:rPr>
              <w:t>Approved</w:t>
            </w:r>
          </w:p>
        </w:tc>
        <w:tc>
          <w:tcPr>
            <w:tcW w:type="dxa" w:w="2016"/>
            <w:shd w:fill="F8F9FA"/>
            <w:tcMar>
              <w:top w:w="100" w:type="dxa"/>
              <w:bottom w:w="100" w:type="dxa"/>
              <w:left w:w="150" w:type="dxa"/>
              <w:right w:w="150" w:type="dxa"/>
            </w:tcMar>
          </w:tcPr>
          <w:p>
            <w:pPr>
              <w:jc w:val="left"/>
            </w:pPr>
            <w:r>
              <w:rPr>
                <w:rFonts w:ascii="Arial" w:hAnsi="Arial"/>
                <w:color w:val="212529"/>
                <w:sz w:val="18"/>
              </w:rPr>
              <w:t>HUD/JDA/HC-RN/1991/42</w:t>
            </w:r>
          </w:p>
        </w:tc>
        <w:tc>
          <w:tcPr>
            <w:tcW w:type="dxa" w:w="2016"/>
            <w:shd w:fill="F8F9FA"/>
            <w:tcMar>
              <w:top w:w="100" w:type="dxa"/>
              <w:bottom w:w="100" w:type="dxa"/>
              <w:left w:w="150" w:type="dxa"/>
              <w:right w:w="150" w:type="dxa"/>
            </w:tcMar>
          </w:tcPr>
          <w:p>
            <w:pPr>
              <w:jc w:val="left"/>
            </w:pPr>
            <w:r>
              <w:rPr>
                <w:rFonts w:ascii="Arial" w:hAnsi="Arial"/>
                <w:color w:val="212529"/>
                <w:sz w:val="18"/>
              </w:rPr>
              <w:t>Residential - Medium Density</w:t>
            </w:r>
          </w:p>
        </w:tc>
      </w:tr>
      <w:tr>
        <w:tc>
          <w:tcPr>
            <w:tcW w:type="dxa" w:w="2016"/>
            <w:shd w:fill="FFFFFF"/>
            <w:tcMar>
              <w:top w:w="100" w:type="dxa"/>
              <w:bottom w:w="100" w:type="dxa"/>
              <w:left w:w="150" w:type="dxa"/>
              <w:right w:w="150" w:type="dxa"/>
            </w:tcMar>
          </w:tcPr>
          <w:p>
            <w:pPr>
              <w:jc w:val="left"/>
            </w:pPr>
            <w:r>
              <w:rPr>
                <w:rFonts w:ascii="Arial" w:hAnsi="Arial"/>
                <w:color w:val="212529"/>
                <w:sz w:val="18"/>
              </w:rPr>
              <w:t>Sainik Colony</w:t>
            </w:r>
          </w:p>
        </w:tc>
        <w:tc>
          <w:tcPr>
            <w:tcW w:type="dxa" w:w="2592"/>
            <w:shd w:fill="FFFFFF"/>
            <w:tcMar>
              <w:top w:w="100" w:type="dxa"/>
              <w:bottom w:w="100" w:type="dxa"/>
              <w:left w:w="150" w:type="dxa"/>
              <w:right w:w="150" w:type="dxa"/>
            </w:tcMar>
          </w:tcPr>
          <w:p>
            <w:pPr>
              <w:jc w:val="left"/>
            </w:pPr>
            <w:r>
              <w:rPr>
                <w:rFonts w:ascii="Arial" w:hAnsi="Arial"/>
                <w:color w:val="212529"/>
                <w:sz w:val="18"/>
              </w:rPr>
              <w:t>Sainik Cooperative Colony</w:t>
            </w:r>
          </w:p>
        </w:tc>
        <w:tc>
          <w:tcPr>
            <w:tcW w:type="dxa" w:w="1584"/>
            <w:shd w:fill="FFFFFF"/>
            <w:tcMar>
              <w:top w:w="100" w:type="dxa"/>
              <w:bottom w:w="100" w:type="dxa"/>
              <w:left w:w="150" w:type="dxa"/>
              <w:right w:w="150" w:type="dxa"/>
            </w:tcMar>
          </w:tcPr>
          <w:p>
            <w:pPr>
              <w:jc w:val="left"/>
            </w:pPr>
            <w:r>
              <w:rPr>
                <w:rFonts w:ascii="Arial" w:hAnsi="Arial"/>
                <w:color w:val="212529"/>
                <w:sz w:val="18"/>
              </w:rPr>
              <w:t>Approved</w:t>
            </w:r>
          </w:p>
        </w:tc>
        <w:tc>
          <w:tcPr>
            <w:tcW w:type="dxa" w:w="2016"/>
            <w:shd w:fill="FFFFFF"/>
            <w:tcMar>
              <w:top w:w="100" w:type="dxa"/>
              <w:bottom w:w="100" w:type="dxa"/>
              <w:left w:w="150" w:type="dxa"/>
              <w:right w:w="150" w:type="dxa"/>
            </w:tcMar>
          </w:tcPr>
          <w:p>
            <w:pPr>
              <w:jc w:val="left"/>
            </w:pPr>
            <w:r>
              <w:rPr>
                <w:rFonts w:ascii="Arial" w:hAnsi="Arial"/>
                <w:color w:val="212529"/>
                <w:sz w:val="18"/>
              </w:rPr>
              <w:t>HUD/JDA/SCHC/1980/15</w:t>
            </w:r>
          </w:p>
        </w:tc>
        <w:tc>
          <w:tcPr>
            <w:tcW w:type="dxa" w:w="2016"/>
            <w:shd w:fill="FFFFFF"/>
            <w:tcMar>
              <w:top w:w="100" w:type="dxa"/>
              <w:bottom w:w="100" w:type="dxa"/>
              <w:left w:w="150" w:type="dxa"/>
              <w:right w:w="150" w:type="dxa"/>
            </w:tcMar>
          </w:tcPr>
          <w:p>
            <w:pPr>
              <w:jc w:val="left"/>
            </w:pPr>
            <w:r>
              <w:rPr>
                <w:rFonts w:ascii="Arial" w:hAnsi="Arial"/>
                <w:color w:val="212529"/>
                <w:sz w:val="18"/>
              </w:rPr>
              <w:t>Residential Low-Medium Density</w:t>
            </w:r>
          </w:p>
        </w:tc>
      </w:tr>
      <w:tr>
        <w:tc>
          <w:tcPr>
            <w:tcW w:type="dxa" w:w="2016"/>
            <w:shd w:fill="F8F9FA"/>
            <w:tcMar>
              <w:top w:w="100" w:type="dxa"/>
              <w:bottom w:w="100" w:type="dxa"/>
              <w:left w:w="150" w:type="dxa"/>
              <w:right w:w="150" w:type="dxa"/>
            </w:tcMar>
          </w:tcPr>
          <w:p>
            <w:pPr>
              <w:jc w:val="left"/>
            </w:pPr>
            <w:r>
              <w:rPr>
                <w:rFonts w:ascii="Arial" w:hAnsi="Arial"/>
                <w:color w:val="212529"/>
                <w:sz w:val="18"/>
              </w:rPr>
              <w:t>Bathindi</w:t>
            </w:r>
          </w:p>
        </w:tc>
        <w:tc>
          <w:tcPr>
            <w:tcW w:type="dxa" w:w="2592"/>
            <w:shd w:fill="F8F9FA"/>
            <w:tcMar>
              <w:top w:w="100" w:type="dxa"/>
              <w:bottom w:w="100" w:type="dxa"/>
              <w:left w:w="150" w:type="dxa"/>
              <w:right w:w="150" w:type="dxa"/>
            </w:tcMar>
          </w:tcPr>
          <w:p>
            <w:pPr>
              <w:jc w:val="left"/>
            </w:pPr>
            <w:r>
              <w:rPr>
                <w:rFonts w:ascii="Arial" w:hAnsi="Arial"/>
                <w:color w:val="212529"/>
                <w:sz w:val="18"/>
              </w:rPr>
              <w:t>Bathindi Outer Growth Zone</w:t>
            </w:r>
          </w:p>
        </w:tc>
        <w:tc>
          <w:tcPr>
            <w:tcW w:type="dxa" w:w="1584"/>
            <w:shd w:fill="F8F9FA"/>
            <w:tcMar>
              <w:top w:w="100" w:type="dxa"/>
              <w:bottom w:w="100" w:type="dxa"/>
              <w:left w:w="150" w:type="dxa"/>
              <w:right w:w="150" w:type="dxa"/>
            </w:tcMar>
          </w:tcPr>
          <w:p>
            <w:pPr>
              <w:jc w:val="left"/>
            </w:pPr>
            <w:r>
              <w:rPr>
                <w:rFonts w:ascii="Arial" w:hAnsi="Arial"/>
                <w:color w:val="212529"/>
                <w:sz w:val="18"/>
              </w:rPr>
              <w:t>Partially Approved</w:t>
            </w:r>
          </w:p>
        </w:tc>
        <w:tc>
          <w:tcPr>
            <w:tcW w:type="dxa" w:w="2016"/>
            <w:shd w:fill="F8F9FA"/>
            <w:tcMar>
              <w:top w:w="100" w:type="dxa"/>
              <w:bottom w:w="100" w:type="dxa"/>
              <w:left w:w="150" w:type="dxa"/>
              <w:right w:w="150" w:type="dxa"/>
            </w:tcMar>
          </w:tcPr>
          <w:p>
            <w:pPr>
              <w:jc w:val="left"/>
            </w:pPr>
            <w:r>
              <w:rPr>
                <w:rFonts w:ascii="Arial" w:hAnsi="Arial"/>
                <w:color w:val="212529"/>
                <w:sz w:val="18"/>
              </w:rPr>
              <w:t>HUD/JDA/BTH/2011/44</w:t>
            </w:r>
          </w:p>
        </w:tc>
        <w:tc>
          <w:tcPr>
            <w:tcW w:type="dxa" w:w="2016"/>
            <w:shd w:fill="F8F9FA"/>
            <w:tcMar>
              <w:top w:w="100" w:type="dxa"/>
              <w:bottom w:w="100" w:type="dxa"/>
              <w:left w:w="150" w:type="dxa"/>
              <w:right w:w="150" w:type="dxa"/>
            </w:tcMar>
          </w:tcPr>
          <w:p>
            <w:pPr>
              <w:jc w:val="left"/>
            </w:pPr>
            <w:r>
              <w:rPr>
                <w:rFonts w:ascii="Arial" w:hAnsi="Arial"/>
                <w:color w:val="212529"/>
                <w:sz w:val="18"/>
              </w:rPr>
              <w:t>Residential - Developing Outer</w:t>
            </w:r>
          </w:p>
        </w:tc>
      </w:tr>
      <w:tr>
        <w:tc>
          <w:tcPr>
            <w:tcW w:type="dxa" w:w="2016"/>
            <w:shd w:fill="FFFFFF"/>
            <w:tcMar>
              <w:top w:w="100" w:type="dxa"/>
              <w:bottom w:w="100" w:type="dxa"/>
              <w:left w:w="150" w:type="dxa"/>
              <w:right w:w="150" w:type="dxa"/>
            </w:tcMar>
          </w:tcPr>
          <w:p>
            <w:pPr>
              <w:jc w:val="left"/>
            </w:pPr>
            <w:r>
              <w:rPr>
                <w:rFonts w:ascii="Arial" w:hAnsi="Arial"/>
                <w:color w:val="212529"/>
                <w:sz w:val="18"/>
              </w:rPr>
              <w:t>Marh</w:t>
            </w:r>
          </w:p>
        </w:tc>
        <w:tc>
          <w:tcPr>
            <w:tcW w:type="dxa" w:w="2592"/>
            <w:shd w:fill="FFFFFF"/>
            <w:tcMar>
              <w:top w:w="100" w:type="dxa"/>
              <w:bottom w:w="100" w:type="dxa"/>
              <w:left w:w="150" w:type="dxa"/>
              <w:right w:w="150" w:type="dxa"/>
            </w:tcMar>
          </w:tcPr>
          <w:p>
            <w:pPr>
              <w:jc w:val="left"/>
            </w:pPr>
            <w:r>
              <w:rPr>
                <w:rFonts w:ascii="Arial" w:hAnsi="Arial"/>
                <w:color w:val="212529"/>
                <w:sz w:val="18"/>
              </w:rPr>
              <w:t>Marh Rural Extension Zone</w:t>
            </w:r>
          </w:p>
        </w:tc>
        <w:tc>
          <w:tcPr>
            <w:tcW w:type="dxa" w:w="1584"/>
            <w:shd w:fill="FFFFFF"/>
            <w:tcMar>
              <w:top w:w="100" w:type="dxa"/>
              <w:bottom w:w="100" w:type="dxa"/>
              <w:left w:w="150" w:type="dxa"/>
              <w:right w:w="150" w:type="dxa"/>
            </w:tcMar>
          </w:tcPr>
          <w:p>
            <w:pPr>
              <w:jc w:val="left"/>
            </w:pPr>
            <w:r>
              <w:rPr>
                <w:rFonts w:ascii="Arial" w:hAnsi="Arial"/>
                <w:color w:val="212529"/>
                <w:sz w:val="18"/>
              </w:rPr>
              <w:t>Unapproved / Agrarian</w:t>
            </w:r>
          </w:p>
        </w:tc>
        <w:tc>
          <w:tcPr>
            <w:tcW w:type="dxa" w:w="2016"/>
            <w:shd w:fill="FFFFFF"/>
            <w:tcMar>
              <w:top w:w="100" w:type="dxa"/>
              <w:bottom w:w="100" w:type="dxa"/>
              <w:left w:w="150" w:type="dxa"/>
              <w:right w:w="150" w:type="dxa"/>
            </w:tcMar>
          </w:tcPr>
          <w:p>
            <w:pPr>
              <w:jc w:val="left"/>
            </w:pPr>
            <w:r>
              <w:rPr>
                <w:rFonts w:ascii="Arial" w:hAnsi="Arial"/>
                <w:color w:val="212529"/>
                <w:sz w:val="18"/>
              </w:rPr>
              <w:t>HUD/JDA/MRH/UNAPPR-01</w:t>
            </w:r>
          </w:p>
        </w:tc>
        <w:tc>
          <w:tcPr>
            <w:tcW w:type="dxa" w:w="2016"/>
            <w:shd w:fill="FFFFFF"/>
            <w:tcMar>
              <w:top w:w="100" w:type="dxa"/>
              <w:bottom w:w="100" w:type="dxa"/>
              <w:left w:w="150" w:type="dxa"/>
              <w:right w:w="150" w:type="dxa"/>
            </w:tcMar>
          </w:tcPr>
          <w:p>
            <w:pPr>
              <w:jc w:val="left"/>
            </w:pPr>
            <w:r>
              <w:rPr>
                <w:rFonts w:ascii="Arial" w:hAnsi="Arial"/>
                <w:color w:val="212529"/>
                <w:sz w:val="18"/>
              </w:rPr>
              <w:t>Agricultural / Green Buffer</w:t>
            </w:r>
          </w:p>
        </w:tc>
      </w:tr>
      <w:tr>
        <w:tc>
          <w:tcPr>
            <w:tcW w:type="dxa" w:w="2016"/>
            <w:shd w:fill="F8F9FA"/>
            <w:tcMar>
              <w:top w:w="100" w:type="dxa"/>
              <w:bottom w:w="100" w:type="dxa"/>
              <w:left w:w="150" w:type="dxa"/>
              <w:right w:w="150" w:type="dxa"/>
            </w:tcMar>
          </w:tcPr>
          <w:p>
            <w:pPr>
              <w:jc w:val="left"/>
            </w:pPr>
            <w:r>
              <w:rPr>
                <w:rFonts w:ascii="Arial" w:hAnsi="Arial"/>
                <w:color w:val="212529"/>
                <w:sz w:val="18"/>
              </w:rPr>
              <w:t>Jewel Chowk</w:t>
            </w:r>
          </w:p>
        </w:tc>
        <w:tc>
          <w:tcPr>
            <w:tcW w:type="dxa" w:w="2592"/>
            <w:shd w:fill="F8F9FA"/>
            <w:tcMar>
              <w:top w:w="100" w:type="dxa"/>
              <w:bottom w:w="100" w:type="dxa"/>
              <w:left w:w="150" w:type="dxa"/>
              <w:right w:w="150" w:type="dxa"/>
            </w:tcMar>
          </w:tcPr>
          <w:p>
            <w:pPr>
              <w:jc w:val="left"/>
            </w:pPr>
            <w:r>
              <w:rPr>
                <w:rFonts w:ascii="Arial" w:hAnsi="Arial"/>
                <w:color w:val="212529"/>
                <w:sz w:val="18"/>
              </w:rPr>
              <w:t>Old City Core Redevelopment</w:t>
            </w:r>
          </w:p>
        </w:tc>
        <w:tc>
          <w:tcPr>
            <w:tcW w:type="dxa" w:w="1584"/>
            <w:shd w:fill="F8F9FA"/>
            <w:tcMar>
              <w:top w:w="100" w:type="dxa"/>
              <w:bottom w:w="100" w:type="dxa"/>
              <w:left w:w="150" w:type="dxa"/>
              <w:right w:w="150" w:type="dxa"/>
            </w:tcMar>
          </w:tcPr>
          <w:p>
            <w:pPr>
              <w:jc w:val="left"/>
            </w:pPr>
            <w:r>
              <w:rPr>
                <w:rFonts w:ascii="Arial" w:hAnsi="Arial"/>
                <w:color w:val="212529"/>
                <w:sz w:val="18"/>
              </w:rPr>
              <w:t>Approved</w:t>
            </w:r>
          </w:p>
        </w:tc>
        <w:tc>
          <w:tcPr>
            <w:tcW w:type="dxa" w:w="2016"/>
            <w:shd w:fill="F8F9FA"/>
            <w:tcMar>
              <w:top w:w="100" w:type="dxa"/>
              <w:bottom w:w="100" w:type="dxa"/>
              <w:left w:w="150" w:type="dxa"/>
              <w:right w:w="150" w:type="dxa"/>
            </w:tcMar>
          </w:tcPr>
          <w:p>
            <w:pPr>
              <w:jc w:val="left"/>
            </w:pPr>
            <w:r>
              <w:rPr>
                <w:rFonts w:ascii="Arial" w:hAnsi="Arial"/>
                <w:color w:val="212529"/>
                <w:sz w:val="18"/>
              </w:rPr>
              <w:t>HUD/JDA/JC/1970/14</w:t>
            </w:r>
          </w:p>
        </w:tc>
        <w:tc>
          <w:tcPr>
            <w:tcW w:type="dxa" w:w="2016"/>
            <w:shd w:fill="F8F9FA"/>
            <w:tcMar>
              <w:top w:w="100" w:type="dxa"/>
              <w:bottom w:w="100" w:type="dxa"/>
              <w:left w:w="150" w:type="dxa"/>
              <w:right w:w="150" w:type="dxa"/>
            </w:tcMar>
          </w:tcPr>
          <w:p>
            <w:pPr>
              <w:jc w:val="left"/>
            </w:pPr>
            <w:r>
              <w:rPr>
                <w:rFonts w:ascii="Arial" w:hAnsi="Arial"/>
                <w:color w:val="212529"/>
                <w:sz w:val="18"/>
              </w:rPr>
              <w:t>Commercial Central Transit</w:t>
            </w:r>
          </w:p>
        </w:tc>
      </w:tr>
    </w:tbl>
    <w:p>
      <w:pPr>
        <w:keepNext/>
        <w:spacing w:before="280" w:after="80"/>
      </w:pPr>
      <w:r>
        <w:rPr>
          <w:rFonts w:ascii="Arial" w:hAnsi="Arial"/>
          <w:b/>
          <w:color w:val="1B365D"/>
          <w:sz w:val="26"/>
        </w:rPr>
        <w:t>6. Data Quality, Verification &amp; Statistical Metrics</w:t>
      </w:r>
    </w:p>
    <w:p>
      <w:pPr>
        <w:spacing w:before="40" w:after="80" w:line="276" w:lineRule="auto"/>
      </w:pPr>
      <w:r>
        <w:rPr>
          <w:rFonts w:ascii="Arial" w:hAnsi="Arial"/>
          <w:color w:val="212529"/>
          <w:sz w:val="20"/>
        </w:rPr>
        <w:t>All 1,200 records in listings_cleaned.csv were validated through automated test scripts (tests/test_cleaning.py). The tests confirmed zero negative values, zero missing property IDs, and 100% adherence to schema specifications.</w:t>
      </w:r>
    </w:p>
    <w:p>
      <w:pPr>
        <w:keepNext/>
        <w:spacing w:before="280" w:after="80"/>
      </w:pPr>
      <w:r>
        <w:rPr>
          <w:rFonts w:ascii="Arial" w:hAnsi="Arial"/>
          <w:b/>
          <w:color w:val="1B365D"/>
          <w:sz w:val="26"/>
        </w:rPr>
        <w:t>7. Problems Encountered &amp; Handover to Week 3</w:t>
      </w:r>
    </w:p>
    <w:p>
      <w:pPr>
        <w:spacing w:before="40" w:after="80" w:line="276" w:lineRule="auto"/>
      </w:pPr>
      <w:r>
        <w:rPr>
          <w:rFonts w:ascii="Arial" w:hAnsi="Arial"/>
          <w:b/>
          <w:color w:val="212529"/>
          <w:sz w:val="20"/>
        </w:rPr>
        <w:t xml:space="preserve">• JDA Boundary Ambiguity: </w:t>
      </w:r>
      <w:r>
        <w:rPr>
          <w:rFonts w:ascii="Arial" w:hAnsi="Arial"/>
          <w:color w:val="212529"/>
          <w:sz w:val="20"/>
        </w:rPr>
        <w:t>Problem: Certain peripheral localities (Marh, Sunjwan, Bathindi) have unapproved private subdivisions despite individual properties claiming legal status.</w:t>
        <w:br/>
        <w:t>Resolution: Recorded exact JDA scheme status independently from listing claim to enable objective legal clarity evaluation in Week 3.</w:t>
      </w:r>
    </w:p>
    <w:p>
      <w:pPr>
        <w:spacing w:before="40" w:after="80" w:line="276" w:lineRule="auto"/>
      </w:pPr>
      <w:r>
        <w:rPr>
          <w:rFonts w:ascii="Arial" w:hAnsi="Arial"/>
          <w:b/>
          <w:color w:val="212529"/>
          <w:sz w:val="20"/>
        </w:rPr>
        <w:t xml:space="preserve">• Handover: </w:t>
      </w:r>
      <w:r>
        <w:rPr>
          <w:rFonts w:ascii="Arial" w:hAnsi="Arial"/>
          <w:color w:val="212529"/>
          <w:sz w:val="20"/>
        </w:rPr>
        <w:t>Handover: Week 2 delivers listings_cleaned.csv and jda_approvals_structured.csv. Week 3 will integrate these records with J&amp;K RERA promoter registrations, JMC civic infrastructure, and official circle rates.</w:t>
      </w:r>
    </w:p>
    <w:p>
      <w:pPr>
        <w:keepNext/>
        <w:spacing w:before="280" w:after="80"/>
      </w:pPr>
      <w:r>
        <w:rPr>
          <w:rFonts w:ascii="Arial" w:hAnsi="Arial"/>
          <w:b/>
          <w:color w:val="1B365D"/>
          <w:sz w:val="26"/>
        </w:rPr>
        <w:t>8. Group Contribution Table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1B365D"/>
            <w:tcMar>
              <w:top w:w="140" w:type="dxa"/>
              <w:bottom w:w="140" w:type="dxa"/>
              <w:left w:w="150" w:type="dxa"/>
              <w:right w:w="150" w:type="dxa"/>
            </w:tcMar>
          </w:tcPr>
          <w:p>
            <w:pPr>
              <w:jc w:val="left"/>
            </w:pPr>
            <w:r>
              <w:rPr>
                <w:rFonts w:ascii="Arial" w:hAnsi="Arial"/>
                <w:b/>
                <w:color w:val="FFFFFF"/>
                <w:sz w:val="19"/>
              </w:rPr>
              <w:t>Member Name</w:t>
            </w:r>
          </w:p>
        </w:tc>
        <w:tc>
          <w:tcPr>
            <w:tcW w:type="dxa" w:w="1872"/>
            <w:shd w:fill="1B365D"/>
            <w:tcMar>
              <w:top w:w="140" w:type="dxa"/>
              <w:bottom w:w="140" w:type="dxa"/>
              <w:left w:w="150" w:type="dxa"/>
              <w:right w:w="150" w:type="dxa"/>
            </w:tcMar>
          </w:tcPr>
          <w:p>
            <w:pPr>
              <w:jc w:val="left"/>
            </w:pPr>
            <w:r>
              <w:rPr>
                <w:rFonts w:ascii="Arial" w:hAnsi="Arial"/>
                <w:b/>
                <w:color w:val="FFFFFF"/>
                <w:sz w:val="19"/>
              </w:rPr>
              <w:t>Assigned Role</w:t>
            </w:r>
          </w:p>
        </w:tc>
        <w:tc>
          <w:tcPr>
            <w:tcW w:type="dxa" w:w="3168"/>
            <w:shd w:fill="1B365D"/>
            <w:tcMar>
              <w:top w:w="140" w:type="dxa"/>
              <w:bottom w:w="140" w:type="dxa"/>
              <w:left w:w="150" w:type="dxa"/>
              <w:right w:w="150" w:type="dxa"/>
            </w:tcMar>
          </w:tcPr>
          <w:p>
            <w:pPr>
              <w:jc w:val="left"/>
            </w:pPr>
            <w:r>
              <w:rPr>
                <w:rFonts w:ascii="Arial" w:hAnsi="Arial"/>
                <w:b/>
                <w:color w:val="FFFFFF"/>
                <w:sz w:val="19"/>
              </w:rPr>
              <w:t>Specific Tasks Executed</w:t>
            </w:r>
          </w:p>
        </w:tc>
        <w:tc>
          <w:tcPr>
            <w:tcW w:type="dxa" w:w="2160"/>
            <w:shd w:fill="1B365D"/>
            <w:tcMar>
              <w:top w:w="140" w:type="dxa"/>
              <w:bottom w:w="140" w:type="dxa"/>
              <w:left w:w="150" w:type="dxa"/>
              <w:right w:w="150" w:type="dxa"/>
            </w:tcMar>
          </w:tcPr>
          <w:p>
            <w:pPr>
              <w:jc w:val="left"/>
            </w:pPr>
            <w:r>
              <w:rPr>
                <w:rFonts w:ascii="Arial" w:hAnsi="Arial"/>
                <w:b/>
                <w:color w:val="FFFFFF"/>
                <w:sz w:val="19"/>
              </w:rPr>
              <w:t>Artifacts Delivered</w:t>
            </w:r>
          </w:p>
        </w:tc>
        <w:tc>
          <w:tcPr>
            <w:tcW w:type="dxa" w:w="1152"/>
            <w:shd w:fill="1B365D"/>
            <w:tcMar>
              <w:top w:w="140" w:type="dxa"/>
              <w:bottom w:w="140" w:type="dxa"/>
              <w:left w:w="150" w:type="dxa"/>
              <w:right w:w="150" w:type="dxa"/>
            </w:tcMar>
          </w:tcPr>
          <w:p>
            <w:pPr>
              <w:jc w:val="left"/>
            </w:pPr>
            <w:r>
              <w:rPr>
                <w:rFonts w:ascii="Arial" w:hAnsi="Arial"/>
                <w:b/>
                <w:color w:val="FFFFFF"/>
                <w:sz w:val="19"/>
              </w:rPr>
              <w:t>Hours Committed</w:t>
            </w:r>
          </w:p>
        </w:tc>
      </w:tr>
      <w:tr>
        <w:tc>
          <w:tcPr>
            <w:tcW w:type="dxa" w:w="1728"/>
            <w:shd w:fill="FFFFFF"/>
            <w:tcMar>
              <w:top w:w="100" w:type="dxa"/>
              <w:bottom w:w="100" w:type="dxa"/>
              <w:left w:w="150" w:type="dxa"/>
              <w:right w:w="150" w:type="dxa"/>
            </w:tcMar>
          </w:tcPr>
          <w:p>
            <w:pPr>
              <w:jc w:val="left"/>
            </w:pPr>
            <w:r>
              <w:rPr>
                <w:rFonts w:ascii="Arial" w:hAnsi="Arial"/>
                <w:color w:val="212529"/>
                <w:sz w:val="18"/>
              </w:rPr>
              <w:t>Student 1 (Vatsal - Lead)</w:t>
            </w:r>
          </w:p>
        </w:tc>
        <w:tc>
          <w:tcPr>
            <w:tcW w:type="dxa" w:w="1872"/>
            <w:shd w:fill="FFFFFF"/>
            <w:tcMar>
              <w:top w:w="100" w:type="dxa"/>
              <w:bottom w:w="100" w:type="dxa"/>
              <w:left w:w="150" w:type="dxa"/>
              <w:right w:w="150" w:type="dxa"/>
            </w:tcMar>
          </w:tcPr>
          <w:p>
            <w:pPr>
              <w:jc w:val="left"/>
            </w:pPr>
            <w:r>
              <w:rPr>
                <w:rFonts w:ascii="Arial" w:hAnsi="Arial"/>
                <w:color w:val="212529"/>
                <w:sz w:val="18"/>
              </w:rPr>
              <w:t>Project Lead</w:t>
            </w:r>
          </w:p>
        </w:tc>
        <w:tc>
          <w:tcPr>
            <w:tcW w:type="dxa" w:w="3168"/>
            <w:shd w:fill="FFFFFF"/>
            <w:tcMar>
              <w:top w:w="100" w:type="dxa"/>
              <w:bottom w:w="100" w:type="dxa"/>
              <w:left w:w="150" w:type="dxa"/>
              <w:right w:w="150" w:type="dxa"/>
            </w:tcMar>
          </w:tcPr>
          <w:p>
            <w:pPr>
              <w:jc w:val="left"/>
            </w:pPr>
            <w:r>
              <w:rPr>
                <w:rFonts w:ascii="Arial" w:hAnsi="Arial"/>
                <w:color w:val="212529"/>
                <w:sz w:val="18"/>
              </w:rPr>
              <w:t>JDA Master Plan 2032 documentation, regulatory mapping, and Week 2 report compilation.</w:t>
            </w:r>
          </w:p>
        </w:tc>
        <w:tc>
          <w:tcPr>
            <w:tcW w:type="dxa" w:w="2160"/>
            <w:shd w:fill="FFFFFF"/>
            <w:tcMar>
              <w:top w:w="100" w:type="dxa"/>
              <w:bottom w:w="100" w:type="dxa"/>
              <w:left w:w="150" w:type="dxa"/>
              <w:right w:w="150" w:type="dxa"/>
            </w:tcMar>
          </w:tcPr>
          <w:p>
            <w:pPr>
              <w:jc w:val="left"/>
            </w:pPr>
            <w:r>
              <w:rPr>
                <w:rFonts w:ascii="Arial" w:hAnsi="Arial"/>
                <w:color w:val="212529"/>
                <w:sz w:val="18"/>
              </w:rPr>
              <w:t>src/ingestion/jda_ingestion.py</w:t>
              <w:br/>
              <w:t>WEEK_2.docx</w:t>
            </w:r>
          </w:p>
        </w:tc>
        <w:tc>
          <w:tcPr>
            <w:tcW w:type="dxa" w:w="1152"/>
            <w:shd w:fill="FFFFFF"/>
            <w:tcMar>
              <w:top w:w="100" w:type="dxa"/>
              <w:bottom w:w="100" w:type="dxa"/>
              <w:left w:w="150" w:type="dxa"/>
              <w:right w:w="150" w:type="dxa"/>
            </w:tcMar>
          </w:tcPr>
          <w:p>
            <w:pPr>
              <w:jc w:val="left"/>
            </w:pPr>
            <w:r>
              <w:rPr>
                <w:rFonts w:ascii="Arial" w:hAnsi="Arial"/>
                <w:color w:val="212529"/>
                <w:sz w:val="18"/>
              </w:rPr>
              <w:t>17 hrs</w:t>
            </w:r>
          </w:p>
        </w:tc>
      </w:tr>
      <w:tr>
        <w:tc>
          <w:tcPr>
            <w:tcW w:type="dxa" w:w="1728"/>
            <w:shd w:fill="F8F9FA"/>
            <w:tcMar>
              <w:top w:w="100" w:type="dxa"/>
              <w:bottom w:w="100" w:type="dxa"/>
              <w:left w:w="150" w:type="dxa"/>
              <w:right w:w="150" w:type="dxa"/>
            </w:tcMar>
          </w:tcPr>
          <w:p>
            <w:pPr>
              <w:jc w:val="left"/>
            </w:pPr>
            <w:r>
              <w:rPr>
                <w:rFonts w:ascii="Arial" w:hAnsi="Arial"/>
                <w:color w:val="212529"/>
                <w:sz w:val="18"/>
              </w:rPr>
              <w:t>Student 2 (Karan)</w:t>
            </w:r>
          </w:p>
        </w:tc>
        <w:tc>
          <w:tcPr>
            <w:tcW w:type="dxa" w:w="1872"/>
            <w:shd w:fill="F8F9FA"/>
            <w:tcMar>
              <w:top w:w="100" w:type="dxa"/>
              <w:bottom w:w="100" w:type="dxa"/>
              <w:left w:w="150" w:type="dxa"/>
              <w:right w:w="150" w:type="dxa"/>
            </w:tcMar>
          </w:tcPr>
          <w:p>
            <w:pPr>
              <w:jc w:val="left"/>
            </w:pPr>
            <w:r>
              <w:rPr>
                <w:rFonts w:ascii="Arial" w:hAnsi="Arial"/>
                <w:color w:val="212529"/>
                <w:sz w:val="18"/>
              </w:rPr>
              <w:t>Data Engineer</w:t>
            </w:r>
          </w:p>
        </w:tc>
        <w:tc>
          <w:tcPr>
            <w:tcW w:type="dxa" w:w="3168"/>
            <w:shd w:fill="F8F9FA"/>
            <w:tcMar>
              <w:top w:w="100" w:type="dxa"/>
              <w:bottom w:w="100" w:type="dxa"/>
              <w:left w:w="150" w:type="dxa"/>
              <w:right w:w="150" w:type="dxa"/>
            </w:tcMar>
          </w:tcPr>
          <w:p>
            <w:pPr>
              <w:jc w:val="left"/>
            </w:pPr>
            <w:r>
              <w:rPr>
                <w:rFonts w:ascii="Arial" w:hAnsi="Arial"/>
                <w:color w:val="212529"/>
                <w:sz w:val="18"/>
              </w:rPr>
              <w:t>Developed listings ingestion pipeline, cleaning script, and IQR outlier analysis.</w:t>
            </w:r>
          </w:p>
        </w:tc>
        <w:tc>
          <w:tcPr>
            <w:tcW w:type="dxa" w:w="2160"/>
            <w:shd w:fill="F8F9FA"/>
            <w:tcMar>
              <w:top w:w="100" w:type="dxa"/>
              <w:bottom w:w="100" w:type="dxa"/>
              <w:left w:w="150" w:type="dxa"/>
              <w:right w:w="150" w:type="dxa"/>
            </w:tcMar>
          </w:tcPr>
          <w:p>
            <w:pPr>
              <w:jc w:val="left"/>
            </w:pPr>
            <w:r>
              <w:rPr>
                <w:rFonts w:ascii="Arial" w:hAnsi="Arial"/>
                <w:color w:val="212529"/>
                <w:sz w:val="18"/>
              </w:rPr>
              <w:t>src/ingestion/listings_ingestion.py</w:t>
              <w:br/>
              <w:t>src/cleaning/standardize_clean.py</w:t>
            </w:r>
          </w:p>
        </w:tc>
        <w:tc>
          <w:tcPr>
            <w:tcW w:type="dxa" w:w="1152"/>
            <w:shd w:fill="F8F9FA"/>
            <w:tcMar>
              <w:top w:w="100" w:type="dxa"/>
              <w:bottom w:w="100" w:type="dxa"/>
              <w:left w:w="150" w:type="dxa"/>
              <w:right w:w="150" w:type="dxa"/>
            </w:tcMar>
          </w:tcPr>
          <w:p>
            <w:pPr>
              <w:jc w:val="left"/>
            </w:pPr>
            <w:r>
              <w:rPr>
                <w:rFonts w:ascii="Arial" w:hAnsi="Arial"/>
                <w:color w:val="212529"/>
                <w:sz w:val="18"/>
              </w:rPr>
              <w:t>19 hrs</w:t>
            </w:r>
          </w:p>
        </w:tc>
      </w:tr>
      <w:tr>
        <w:tc>
          <w:tcPr>
            <w:tcW w:type="dxa" w:w="1728"/>
            <w:shd w:fill="FFFFFF"/>
            <w:tcMar>
              <w:top w:w="100" w:type="dxa"/>
              <w:bottom w:w="100" w:type="dxa"/>
              <w:left w:w="150" w:type="dxa"/>
              <w:right w:w="150" w:type="dxa"/>
            </w:tcMar>
          </w:tcPr>
          <w:p>
            <w:pPr>
              <w:jc w:val="left"/>
            </w:pPr>
            <w:r>
              <w:rPr>
                <w:rFonts w:ascii="Arial" w:hAnsi="Arial"/>
                <w:color w:val="212529"/>
                <w:sz w:val="18"/>
              </w:rPr>
              <w:t>Student 3 (Team Member)</w:t>
            </w:r>
          </w:p>
        </w:tc>
        <w:tc>
          <w:tcPr>
            <w:tcW w:type="dxa" w:w="1872"/>
            <w:shd w:fill="FFFFFF"/>
            <w:tcMar>
              <w:top w:w="100" w:type="dxa"/>
              <w:bottom w:w="100" w:type="dxa"/>
              <w:left w:w="150" w:type="dxa"/>
              <w:right w:w="150" w:type="dxa"/>
            </w:tcMar>
          </w:tcPr>
          <w:p>
            <w:pPr>
              <w:jc w:val="left"/>
            </w:pPr>
            <w:r>
              <w:rPr>
                <w:rFonts w:ascii="Arial" w:hAnsi="Arial"/>
                <w:color w:val="212529"/>
                <w:sz w:val="18"/>
              </w:rPr>
              <w:t>QA Engineer</w:t>
            </w:r>
          </w:p>
        </w:tc>
        <w:tc>
          <w:tcPr>
            <w:tcW w:type="dxa" w:w="3168"/>
            <w:shd w:fill="FFFFFF"/>
            <w:tcMar>
              <w:top w:w="100" w:type="dxa"/>
              <w:bottom w:w="100" w:type="dxa"/>
              <w:left w:w="150" w:type="dxa"/>
              <w:right w:w="150" w:type="dxa"/>
            </w:tcMar>
          </w:tcPr>
          <w:p>
            <w:pPr>
              <w:jc w:val="left"/>
            </w:pPr>
            <w:r>
              <w:rPr>
                <w:rFonts w:ascii="Arial" w:hAnsi="Arial"/>
                <w:color w:val="212529"/>
                <w:sz w:val="18"/>
              </w:rPr>
              <w:t>Automated validation testing, JDA approval cross-matching, and data quality logs.</w:t>
            </w:r>
          </w:p>
        </w:tc>
        <w:tc>
          <w:tcPr>
            <w:tcW w:type="dxa" w:w="2160"/>
            <w:shd w:fill="FFFFFF"/>
            <w:tcMar>
              <w:top w:w="100" w:type="dxa"/>
              <w:bottom w:w="100" w:type="dxa"/>
              <w:left w:w="150" w:type="dxa"/>
              <w:right w:w="150" w:type="dxa"/>
            </w:tcMar>
          </w:tcPr>
          <w:p>
            <w:pPr>
              <w:jc w:val="left"/>
            </w:pPr>
            <w:r>
              <w:rPr>
                <w:rFonts w:ascii="Arial" w:hAnsi="Arial"/>
                <w:color w:val="212529"/>
                <w:sz w:val="18"/>
              </w:rPr>
              <w:t>tests/test_cleaning.py</w:t>
              <w:br/>
              <w:t>docs/week2_cleaning_report.json</w:t>
            </w:r>
          </w:p>
        </w:tc>
        <w:tc>
          <w:tcPr>
            <w:tcW w:type="dxa" w:w="1152"/>
            <w:shd w:fill="FFFFFF"/>
            <w:tcMar>
              <w:top w:w="100" w:type="dxa"/>
              <w:bottom w:w="100" w:type="dxa"/>
              <w:left w:w="150" w:type="dxa"/>
              <w:right w:w="150" w:type="dxa"/>
            </w:tcMar>
          </w:tcPr>
          <w:p>
            <w:pPr>
              <w:jc w:val="left"/>
            </w:pPr>
            <w:r>
              <w:rPr>
                <w:rFonts w:ascii="Arial" w:hAnsi="Arial"/>
                <w:color w:val="212529"/>
                <w:sz w:val="18"/>
              </w:rPr>
              <w:t>16 hrs</w:t>
            </w:r>
          </w:p>
        </w:tc>
      </w:tr>
    </w:tbl>
    <w:p>
      <w:pPr>
        <w:keepNext/>
        <w:spacing w:before="280" w:after="80"/>
      </w:pPr>
      <w:r>
        <w:rPr>
          <w:rFonts w:ascii="Arial" w:hAnsi="Arial"/>
          <w:b/>
          <w:color w:val="1B365D"/>
          <w:sz w:val="26"/>
        </w:rPr>
        <w:t>9. Conclusion &amp; Verification Checklist</w:t>
      </w:r>
    </w:p>
    <w:p>
      <w:pPr>
        <w:spacing w:before="40" w:after="80" w:line="276" w:lineRule="auto"/>
      </w:pPr>
      <w:r>
        <w:rPr>
          <w:rFonts w:ascii="Arial" w:hAnsi="Arial"/>
          <w:color w:val="212529"/>
          <w:sz w:val="20"/>
        </w:rPr>
        <w:t>Week 2 tasks (COM71115-4) completed successfully. Cleaned listings and structured JDA records stored and validated with 100% test passage.</w:t>
      </w:r>
    </w:p>
    <w:p>
      <w:pPr>
        <w:spacing w:before="40" w:after="80" w:line="276" w:lineRule="auto"/>
      </w:pPr>
      <w:r>
        <w:rPr>
          <w:rFonts w:ascii="Arial" w:hAnsi="Arial"/>
          <w:color w:val="212529"/>
          <w:sz w:val="20"/>
        </w:rPr>
        <w:t>[X] Ingested 1,200 property records with provenance tracking.</w:t>
        <w:br/>
        <w:t>[X] Acquired and structured JDA layout approvals across 36 localities.</w:t>
        <w:br/>
        <w:t>[X] Completed data cleaning, boolean typing, and outlier bound analysis.</w:t>
        <w:br/>
        <w:t>[X] All 5 automated unit tests passed in pytest suite.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