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color w:val="000000"/>
          <w:sz w:val="28"/>
          <w:szCs w:val="28"/>
        </w:rPr>
        <w:t xml:space="preserve">A14: AI-Enabled Security Solutions</w:t>
      </w:r>
    </w:p>
    <w:p>
      <w:pPr>
        <w:spacing w:after="160"/>
      </w:pPr>
      <w:r>
        <w:rPr>
          <w:rFonts w:ascii="Arial" w:cs="Arial" w:eastAsia="Arial" w:hAnsi="Arial"/>
          <w:color w:val="000000"/>
          <w:sz w:val="22"/>
          <w:szCs w:val="22"/>
        </w:rPr>
        <w:t xml:space="preserve">As cyber threats grow in sophistication across Australia, artificial intelligence has become a critical force multiplier for security teams. Five AI-enabled solutions are reshaping how Perth and Australian organisations defend against modern attacks.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AAAAAA" w:sz="1"/>
              <w:left w:val="single" w:color="AAAAAA" w:sz="1"/>
              <w:bottom w:val="single" w:color="AAAAAA" w:sz="1"/>
              <w:right w:val="single" w:color="AAAAAA" w:sz="1"/>
            </w:tcBorders>
            <w:shd w:fill="D9D9D9" w:val="clear"/>
            <w:tcMar>
              <w:top w:type="dxa" w:w="80"/>
              <w:left w:type="dxa" w:w="120"/>
              <w:bottom w:type="dxa" w:w="80"/>
              <w:right w:type="dxa" w:w="120"/>
            </w:tcMar>
          </w:tcPr>
          <w:p>
            <w:r>
              <w:rPr>
                <w:rFonts w:ascii="Arial" w:cs="Arial" w:eastAsia="Arial" w:hAnsi="Arial"/>
                <w:b/>
                <w:bCs/>
                <w:color w:val="000000"/>
                <w:sz w:val="20"/>
                <w:szCs w:val="20"/>
              </w:rPr>
              <w:t xml:space="preserve">Solution</w:t>
            </w:r>
          </w:p>
        </w:tc>
        <w:tc>
          <w:tcPr>
            <w:tcW w:type="dxa" w:w="2340"/>
            <w:tcBorders>
              <w:top w:val="single" w:color="AAAAAA" w:sz="1"/>
              <w:left w:val="single" w:color="AAAAAA" w:sz="1"/>
              <w:bottom w:val="single" w:color="AAAAAA" w:sz="1"/>
              <w:right w:val="single" w:color="AAAAAA" w:sz="1"/>
            </w:tcBorders>
            <w:shd w:fill="D9D9D9" w:val="clear"/>
            <w:tcMar>
              <w:top w:type="dxa" w:w="80"/>
              <w:left w:type="dxa" w:w="120"/>
              <w:bottom w:type="dxa" w:w="80"/>
              <w:right w:type="dxa" w:w="120"/>
            </w:tcMar>
          </w:tcPr>
          <w:p>
            <w:r>
              <w:rPr>
                <w:rFonts w:ascii="Arial" w:cs="Arial" w:eastAsia="Arial" w:hAnsi="Arial"/>
                <w:b/>
                <w:bCs/>
                <w:color w:val="000000"/>
                <w:sz w:val="20"/>
                <w:szCs w:val="20"/>
              </w:rPr>
              <w:t xml:space="preserve">Type</w:t>
            </w:r>
          </w:p>
        </w:tc>
        <w:tc>
          <w:tcPr>
            <w:tcW w:type="dxa" w:w="2340"/>
            <w:tcBorders>
              <w:top w:val="single" w:color="AAAAAA" w:sz="1"/>
              <w:left w:val="single" w:color="AAAAAA" w:sz="1"/>
              <w:bottom w:val="single" w:color="AAAAAA" w:sz="1"/>
              <w:right w:val="single" w:color="AAAAAA" w:sz="1"/>
            </w:tcBorders>
            <w:shd w:fill="D9D9D9" w:val="clear"/>
            <w:tcMar>
              <w:top w:type="dxa" w:w="80"/>
              <w:left w:type="dxa" w:w="120"/>
              <w:bottom w:type="dxa" w:w="80"/>
              <w:right w:type="dxa" w:w="120"/>
            </w:tcMar>
          </w:tcPr>
          <w:p>
            <w:r>
              <w:rPr>
                <w:rFonts w:ascii="Arial" w:cs="Arial" w:eastAsia="Arial" w:hAnsi="Arial"/>
                <w:b/>
                <w:bCs/>
                <w:color w:val="000000"/>
                <w:sz w:val="20"/>
                <w:szCs w:val="20"/>
              </w:rPr>
              <w:t xml:space="preserve">Key Capability</w:t>
            </w:r>
          </w:p>
        </w:tc>
        <w:tc>
          <w:tcPr>
            <w:tcW w:type="dxa" w:w="2340"/>
            <w:tcBorders>
              <w:top w:val="single" w:color="AAAAAA" w:sz="1"/>
              <w:left w:val="single" w:color="AAAAAA" w:sz="1"/>
              <w:bottom w:val="single" w:color="AAAAAA" w:sz="1"/>
              <w:right w:val="single" w:color="AAAAAA" w:sz="1"/>
            </w:tcBorders>
            <w:shd w:fill="D9D9D9" w:val="clear"/>
            <w:tcMar>
              <w:top w:type="dxa" w:w="80"/>
              <w:left w:type="dxa" w:w="120"/>
              <w:bottom w:type="dxa" w:w="80"/>
              <w:right w:type="dxa" w:w="120"/>
            </w:tcMar>
          </w:tcPr>
          <w:p>
            <w:r>
              <w:rPr>
                <w:rFonts w:ascii="Arial" w:cs="Arial" w:eastAsia="Arial" w:hAnsi="Arial"/>
                <w:b/>
                <w:bCs/>
                <w:color w:val="000000"/>
                <w:sz w:val="20"/>
                <w:szCs w:val="20"/>
              </w:rPr>
              <w:t xml:space="preserve">Relevance to Perth / Australia</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AI-Powered SOC Automation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Threat Detection &amp; Response</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Automates 90% of Tier-1 alerts</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Reduces breach cost by AUD $1.76M</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Microsoft Security Copilot</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 Security Assistant</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Reduces MTTR by 30-40%</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Used by large Australian firms</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AI-Driven SIEM &amp; SOAR</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Security Orchestration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Automated threat correlation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Endorsed by ACSC (May 2025)</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Behavioural Analytics (NDR)</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Network Detection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Zero-day and insider threat detection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58% of AU firms adopted AI automation</w:t>
            </w:r>
          </w:p>
        </w:tc>
      </w:tr>
      <w:tr>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AI Fraud Detection (Gov)</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Identity &amp; Financial Fraud</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Real-time anomaly detection</w:t>
            </w:r>
          </w:p>
        </w:tc>
        <w:tc>
          <w:tcPr>
            <w:tcW w:type="dxa" w:w="2340"/>
            <w:tcBorders>
              <w:top w:val="single" w:color="AAAAAA" w:sz="1"/>
              <w:left w:val="single" w:color="AAAAAA" w:sz="1"/>
              <w:bottom w:val="single" w:color="AAAAAA" w:sz="1"/>
              <w:right w:val="single" w:color="AAAAAA"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 Govt National AI Plan 2025</w:t>
            </w:r>
          </w:p>
        </w:tc>
      </w:tr>
    </w:tbl>
    <w:p>
      <w:pPr>
        <w:spacing w:after="160"/>
      </w:pPr>
      <w:r>
        <w:rPr>
          <w:rFonts w:ascii="Arial" w:cs="Arial" w:eastAsia="Arial" w:hAnsi="Arial"/>
          <w:sz w:val="22"/>
          <w:szCs w:val="22"/>
        </w:rPr>
        <w:t xml:space="preserve"/>
      </w:r>
    </w:p>
    <w:p>
      <w:pPr>
        <w:spacing w:after="160"/>
      </w:pPr>
      <w:r>
        <w:rPr>
          <w:rFonts w:ascii="Arial" w:cs="Arial" w:eastAsia="Arial" w:hAnsi="Arial"/>
          <w:color w:val="000000"/>
          <w:sz w:val="22"/>
          <w:szCs w:val="22"/>
        </w:rPr>
        <w:t xml:space="preserve">AI-powered SOC automation processes up to 90% of low-level alerts automatically, reducing breach detection and containment time by 74 days and saving an estimated AUD $1.76 million per incident according to IBM. Major Australian firms including AustralianSuper and Powerlink Queensland have already adopted AI co-pilot technologies for this purpose. Microsoft Security Copilot, widely deployed across Australian enterprises, reduces Mean Time to Resolution by 30 to 40% and integrates with Defender and Sentinel, tools actively used by Perth-based providers.</w:t>
      </w:r>
    </w:p>
    <w:p>
      <w:pPr>
        <w:spacing w:after="160"/>
      </w:pPr>
      <w:r>
        <w:rPr>
          <w:rFonts w:ascii="Arial" w:cs="Arial" w:eastAsia="Arial" w:hAnsi="Arial"/>
          <w:color w:val="000000"/>
          <w:sz w:val="22"/>
          <w:szCs w:val="22"/>
        </w:rPr>
        <w:t xml:space="preserve">AI-driven SIEM and SOAR platforms were formally endorsed in ACSC guidance published in May 2025, enabling automated threat correlation and containment at scale. Behavioural analytics and Network Detection and Response tools use machine learning to detect zero-day exploits and insider threats; a 2024 ThreatQuotient survey found 58% of Australian companies had integrated AI-driven automation. Finally, Australia's National AI Plan (December 2025) commits to government-level AI fraud detection targeting identity crime, the top reported cybercrime in FY2024-25. Total Australian security spend is forecast to exceed AUD $7.5 billion in 2026, with AI tools the fastest-growing segment.</w:t>
      </w:r>
    </w:p>
    <w:p>
      <w:pPr>
        <w:spacing w:after="160"/>
      </w:pPr>
      <w:r>
        <w:rPr>
          <w:rFonts w:ascii="Arial" w:cs="Arial" w:eastAsia="Arial" w:hAnsi="Arial"/>
          <w:i/>
          <w:iCs/>
          <w:color w:val="000000"/>
          <w:sz w:val="18"/>
          <w:szCs w:val="18"/>
        </w:rPr>
        <w:t xml:space="preserve">Sources: ITBrief Australia (2025); ASD Annual Cyber Threat Report 2024-25; Gartner / SecurityBrief (2025); Australian National AI Plan (Dec 2025); ACSC SIEM/SOAR Guidance (May 2025).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2026-04-01T16:28:52.589Z</dcterms:created>
  <dcterms:modified xsi:type="dcterms:W3CDTF">2026-04-01T16:28:52.590Z</dcterms:modified>
</cp:coreProperties>
</file>

<file path=docProps/custom.xml><?xml version="1.0" encoding="utf-8"?>
<Properties xmlns="http://schemas.openxmlformats.org/officeDocument/2006/custom-properties" xmlns:vt="http://schemas.openxmlformats.org/officeDocument/2006/docPropsVTypes"/>
</file>