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AA109" w14:textId="77777777" w:rsidR="00F92D9E" w:rsidRDefault="00F92D9E" w:rsidP="00F92D9E">
      <w:pPr>
        <w:pStyle w:val="font-claude-response-body"/>
        <w:rPr>
          <w:color w:val="000000"/>
        </w:rPr>
      </w:pPr>
      <w:r>
        <w:rPr>
          <w:rStyle w:val="Strong"/>
          <w:rFonts w:eastAsiaTheme="majorEastAsia"/>
          <w:color w:val="000000"/>
        </w:rPr>
        <w:t>B6 – Talk Notes &amp; Reflection</w:t>
      </w:r>
      <w:r>
        <w:rPr>
          <w:rStyle w:val="apple-converted-space"/>
          <w:rFonts w:eastAsiaTheme="majorEastAsia"/>
          <w:color w:val="000000"/>
        </w:rPr>
        <w:t> </w:t>
      </w:r>
      <w:r>
        <w:rPr>
          <w:rStyle w:val="Strong"/>
          <w:rFonts w:eastAsiaTheme="majorEastAsia"/>
          <w:color w:val="000000"/>
        </w:rPr>
        <w:t>"Law Council of Australia 2024 Privacy and FOI Seminar"</w:t>
      </w:r>
      <w:r>
        <w:rPr>
          <w:rStyle w:val="apple-converted-space"/>
          <w:rFonts w:eastAsiaTheme="majorEastAsia"/>
          <w:color w:val="000000"/>
        </w:rPr>
        <w:t> </w:t>
      </w:r>
      <w:r>
        <w:rPr>
          <w:rStyle w:val="Strong"/>
          <w:rFonts w:eastAsiaTheme="majorEastAsia"/>
          <w:color w:val="000000"/>
        </w:rPr>
        <w:t>Date: 18 July 2024 | Hosted by the Law Council of Australia</w:t>
      </w:r>
    </w:p>
    <w:p w14:paraId="25E0CC35" w14:textId="77777777" w:rsidR="00F92D9E" w:rsidRDefault="00F92D9E" w:rsidP="00F92D9E">
      <w:pPr>
        <w:pStyle w:val="font-claude-response-body"/>
        <w:rPr>
          <w:color w:val="000000"/>
        </w:rPr>
      </w:pPr>
      <w:r>
        <w:rPr>
          <w:color w:val="000000"/>
        </w:rPr>
        <w:t>Watched a seminar hosted by the Law Council of Australia featuring three commissioners from the Office of the Australian Information Commissioner covering privacy law, Freedom of Information and information management in Australia.</w:t>
      </w:r>
    </w:p>
    <w:p w14:paraId="3C06E359" w14:textId="77777777" w:rsidR="00F92D9E" w:rsidRDefault="00F92D9E" w:rsidP="00F92D9E">
      <w:pPr>
        <w:pStyle w:val="font-claude-response-body"/>
        <w:rPr>
          <w:color w:val="000000"/>
        </w:rPr>
      </w:pPr>
      <w:r>
        <w:rPr>
          <w:color w:val="000000"/>
        </w:rPr>
        <w:t>The seminar featured outgoing Privacy and Information Commissioner Angelene Falk, incoming Privacy Commissioner Carly Kind and new FOI Commissioner as part of the newly restored three commissioner model at the OAIC.</w:t>
      </w:r>
    </w:p>
    <w:p w14:paraId="6F4C9BDB" w14:textId="77777777" w:rsidR="00F92D9E" w:rsidRDefault="00F92D9E" w:rsidP="00F92D9E">
      <w:pPr>
        <w:pStyle w:val="font-claude-response-body"/>
        <w:rPr>
          <w:color w:val="000000"/>
        </w:rPr>
      </w:pPr>
      <w:r>
        <w:rPr>
          <w:color w:val="000000"/>
        </w:rPr>
        <w:t>Both privacy and FOI law were framed as fundamentally human rights issues, balancing individual autonomy against public interest and government accountability.</w:t>
      </w:r>
    </w:p>
    <w:p w14:paraId="6904082F" w14:textId="77777777" w:rsidR="00F92D9E" w:rsidRDefault="00F92D9E" w:rsidP="00F92D9E">
      <w:pPr>
        <w:pStyle w:val="font-claude-response-body"/>
        <w:rPr>
          <w:color w:val="000000"/>
        </w:rPr>
      </w:pPr>
      <w:r>
        <w:rPr>
          <w:color w:val="000000"/>
        </w:rPr>
        <w:t>Over the last decade Australian privacy law saw major changes including expansion of credit reporting systems, significant increases in enforcement penalties and a series of high profile data breaches that shaped how the regulator operates today.</w:t>
      </w:r>
    </w:p>
    <w:p w14:paraId="5ABAD501" w14:textId="77777777" w:rsidR="00F92D9E" w:rsidRDefault="00F92D9E" w:rsidP="00F92D9E">
      <w:pPr>
        <w:pStyle w:val="font-claude-response-body"/>
        <w:rPr>
          <w:color w:val="000000"/>
        </w:rPr>
      </w:pPr>
      <w:r>
        <w:rPr>
          <w:color w:val="000000"/>
        </w:rPr>
        <w:t>In 2022 penalties under the Privacy Act were raised to up to $50 million, bringing Australia closer to international standards like the GDPR which allows fines of up to 4% of global turnover.</w:t>
      </w:r>
    </w:p>
    <w:p w14:paraId="4C8A70B6" w14:textId="77777777" w:rsidR="00F92D9E" w:rsidRDefault="00F92D9E" w:rsidP="00F92D9E">
      <w:pPr>
        <w:pStyle w:val="font-claude-response-body"/>
        <w:rPr>
          <w:color w:val="000000"/>
        </w:rPr>
      </w:pPr>
      <w:r>
        <w:rPr>
          <w:color w:val="000000"/>
        </w:rPr>
        <w:t>The Cambridge Analytica matter was mentioned as one of three active federal court cases the OAIC is currently running, signalling a much more assertive enforcement posture.</w:t>
      </w:r>
    </w:p>
    <w:p w14:paraId="7612DECA" w14:textId="77777777" w:rsidR="00F92D9E" w:rsidRDefault="00F92D9E" w:rsidP="00F92D9E">
      <w:pPr>
        <w:pStyle w:val="font-claude-response-body"/>
        <w:rPr>
          <w:color w:val="000000"/>
        </w:rPr>
      </w:pPr>
      <w:r>
        <w:rPr>
          <w:color w:val="000000"/>
        </w:rPr>
        <w:t>A joint investigation with the UK Information Commissioner's Office on Clearview AI was highlighted as an example of international regulatory cooperation becoming increasingly necessary in the digital age.</w:t>
      </w:r>
    </w:p>
    <w:p w14:paraId="4CF9E212" w14:textId="77777777" w:rsidR="00F92D9E" w:rsidRDefault="00F92D9E" w:rsidP="00F92D9E">
      <w:pPr>
        <w:pStyle w:val="font-claude-response-body"/>
        <w:rPr>
          <w:color w:val="000000"/>
        </w:rPr>
      </w:pPr>
      <w:r>
        <w:rPr>
          <w:color w:val="000000"/>
        </w:rPr>
        <w:t>FOI was discussed not just as a transactional right to access documents but as a tool for combating misinformation by establishing government held information as a reliable and accountable source of truth.</w:t>
      </w:r>
    </w:p>
    <w:p w14:paraId="29629B97" w14:textId="77777777" w:rsidR="00F92D9E" w:rsidRDefault="00F92D9E" w:rsidP="00F92D9E">
      <w:pPr>
        <w:pStyle w:val="font-claude-response-body"/>
        <w:rPr>
          <w:color w:val="000000"/>
        </w:rPr>
      </w:pPr>
      <w:r>
        <w:rPr>
          <w:color w:val="000000"/>
        </w:rPr>
        <w:t>The ongoing Privacy Act reform process is expected to introduce a fair and reasonable test for data handling, expanded children's online privacy protections and broader coverage including some small businesses previously exempt.</w:t>
      </w:r>
    </w:p>
    <w:p w14:paraId="46F7BB88" w14:textId="77777777" w:rsidR="00F92D9E" w:rsidRDefault="00F92D9E" w:rsidP="00F92D9E">
      <w:pPr>
        <w:pStyle w:val="font-claude-response-body"/>
        <w:rPr>
          <w:color w:val="000000"/>
        </w:rPr>
      </w:pPr>
      <w:r>
        <w:rPr>
          <w:color w:val="000000"/>
        </w:rPr>
        <w:t xml:space="preserve">Regulatory convergence was a recurring theme with the OAIC working alongside ACMA, ACCC and the </w:t>
      </w:r>
      <w:proofErr w:type="spellStart"/>
      <w:r>
        <w:rPr>
          <w:color w:val="000000"/>
        </w:rPr>
        <w:t>eSafety</w:t>
      </w:r>
      <w:proofErr w:type="spellEnd"/>
      <w:r>
        <w:rPr>
          <w:color w:val="000000"/>
        </w:rPr>
        <w:t xml:space="preserve"> Commissioner to address overlapping challenges around data protection, consumer rights and the digital economy.</w:t>
      </w:r>
    </w:p>
    <w:p w14:paraId="0827EBC9" w14:textId="77777777" w:rsidR="00F92D9E" w:rsidRDefault="00F92D9E" w:rsidP="00F92D9E">
      <w:pPr>
        <w:pStyle w:val="font-claude-response-body"/>
        <w:rPr>
          <w:color w:val="000000"/>
        </w:rPr>
      </w:pPr>
    </w:p>
    <w:p w14:paraId="07A29E7B" w14:textId="77777777" w:rsidR="00F92D9E" w:rsidRDefault="00F92D9E" w:rsidP="00F92D9E">
      <w:pPr>
        <w:pStyle w:val="font-claude-response-body"/>
        <w:rPr>
          <w:color w:val="000000"/>
        </w:rPr>
      </w:pPr>
    </w:p>
    <w:p w14:paraId="01BCF5D9" w14:textId="77777777" w:rsidR="00F92D9E" w:rsidRDefault="00F92D9E" w:rsidP="00F92D9E">
      <w:pPr>
        <w:pStyle w:val="font-claude-response-body"/>
        <w:rPr>
          <w:color w:val="000000"/>
        </w:rPr>
      </w:pPr>
    </w:p>
    <w:p w14:paraId="5BF087E7" w14:textId="77777777" w:rsidR="00F92D9E" w:rsidRDefault="00F92D9E" w:rsidP="00F92D9E">
      <w:pPr>
        <w:pStyle w:val="font-claude-response-body"/>
        <w:rPr>
          <w:color w:val="000000"/>
        </w:rPr>
      </w:pPr>
    </w:p>
    <w:p w14:paraId="07EF8C1A" w14:textId="77777777" w:rsidR="00F92D9E" w:rsidRDefault="00F92D9E" w:rsidP="00F92D9E">
      <w:pPr>
        <w:pStyle w:val="font-claude-response-body"/>
        <w:rPr>
          <w:color w:val="000000"/>
        </w:rPr>
      </w:pPr>
    </w:p>
    <w:p w14:paraId="28E23BC8" w14:textId="77777777" w:rsidR="00F92D9E" w:rsidRDefault="00F92D9E" w:rsidP="00F92D9E">
      <w:pPr>
        <w:pStyle w:val="font-claude-response-body"/>
        <w:rPr>
          <w:color w:val="000000"/>
        </w:rPr>
      </w:pPr>
      <w:r>
        <w:rPr>
          <w:rStyle w:val="Strong"/>
          <w:rFonts w:eastAsiaTheme="majorEastAsia"/>
          <w:color w:val="000000"/>
        </w:rPr>
        <w:lastRenderedPageBreak/>
        <w:t>Laws and Policies Discussed</w:t>
      </w:r>
    </w:p>
    <w:p w14:paraId="0A1C264D" w14:textId="77777777" w:rsidR="00F92D9E" w:rsidRDefault="00F92D9E" w:rsidP="00F92D9E">
      <w:pPr>
        <w:pStyle w:val="font-claude-response-body"/>
        <w:rPr>
          <w:color w:val="000000"/>
        </w:rPr>
      </w:pPr>
      <w:r>
        <w:rPr>
          <w:color w:val="000000"/>
        </w:rPr>
        <w:t>The Australian Privacy Act 1988 and its ongoing reform process were central throughout the seminar.</w:t>
      </w:r>
    </w:p>
    <w:p w14:paraId="74F605C0" w14:textId="77777777" w:rsidR="00F92D9E" w:rsidRDefault="00F92D9E" w:rsidP="00F92D9E">
      <w:pPr>
        <w:pStyle w:val="font-claude-response-body"/>
        <w:rPr>
          <w:color w:val="000000"/>
        </w:rPr>
      </w:pPr>
      <w:r>
        <w:rPr>
          <w:color w:val="000000"/>
        </w:rPr>
        <w:t>The Australian Privacy Principles were discussed as the current compliance framework for entities handling personal information.</w:t>
      </w:r>
    </w:p>
    <w:p w14:paraId="1D479648" w14:textId="77777777" w:rsidR="00F92D9E" w:rsidRDefault="00F92D9E" w:rsidP="00F92D9E">
      <w:pPr>
        <w:pStyle w:val="font-claude-response-body"/>
        <w:rPr>
          <w:color w:val="000000"/>
        </w:rPr>
      </w:pPr>
      <w:r>
        <w:rPr>
          <w:color w:val="000000"/>
        </w:rPr>
        <w:t>The Freedom of Information Act was covered in the context of government transparency and public accountability.</w:t>
      </w:r>
    </w:p>
    <w:p w14:paraId="5E5D017A" w14:textId="77777777" w:rsidR="00F92D9E" w:rsidRDefault="00F92D9E" w:rsidP="00F92D9E">
      <w:pPr>
        <w:pStyle w:val="font-claude-response-body"/>
        <w:rPr>
          <w:color w:val="000000"/>
        </w:rPr>
      </w:pPr>
      <w:r>
        <w:rPr>
          <w:color w:val="000000"/>
        </w:rPr>
        <w:t>The GDPR was referenced as an international benchmark that Australian reforms are drawing from without directly copying.</w:t>
      </w:r>
    </w:p>
    <w:p w14:paraId="310E7D70" w14:textId="77777777" w:rsidR="00F92D9E" w:rsidRDefault="00F92D9E" w:rsidP="00F92D9E">
      <w:pPr>
        <w:pStyle w:val="font-claude-response-body"/>
        <w:rPr>
          <w:color w:val="000000"/>
        </w:rPr>
      </w:pPr>
      <w:r>
        <w:rPr>
          <w:color w:val="000000"/>
        </w:rPr>
        <w:t>The Privacy Legislation Amendment (Enforcement and Other Measures) Act 2022 was mentioned as the legislation that raised penalties and expanded enforcement powers.</w:t>
      </w:r>
    </w:p>
    <w:p w14:paraId="729C97DB" w14:textId="77777777" w:rsidR="00F92D9E" w:rsidRDefault="00F92D9E" w:rsidP="00F92D9E">
      <w:pPr>
        <w:pStyle w:val="font-claude-response-body"/>
        <w:rPr>
          <w:color w:val="000000"/>
        </w:rPr>
      </w:pPr>
    </w:p>
    <w:p w14:paraId="09E09F67" w14:textId="77777777" w:rsidR="00F92D9E" w:rsidRDefault="00F92D9E" w:rsidP="00F92D9E">
      <w:pPr>
        <w:pStyle w:val="font-claude-response-body"/>
        <w:rPr>
          <w:color w:val="000000"/>
        </w:rPr>
      </w:pPr>
    </w:p>
    <w:p w14:paraId="13EEFC8B" w14:textId="77777777" w:rsidR="00F92D9E" w:rsidRDefault="00F92D9E" w:rsidP="00F92D9E">
      <w:pPr>
        <w:pStyle w:val="font-claude-response-body"/>
        <w:rPr>
          <w:color w:val="000000"/>
        </w:rPr>
      </w:pPr>
      <w:r>
        <w:rPr>
          <w:rStyle w:val="Strong"/>
          <w:rFonts w:eastAsiaTheme="majorEastAsia"/>
          <w:color w:val="000000"/>
        </w:rPr>
        <w:t>Reflection</w:t>
      </w:r>
    </w:p>
    <w:p w14:paraId="525B2594" w14:textId="77777777" w:rsidR="00F92D9E" w:rsidRDefault="00F92D9E" w:rsidP="00F92D9E">
      <w:pPr>
        <w:pStyle w:val="font-claude-response-body"/>
        <w:rPr>
          <w:color w:val="000000"/>
        </w:rPr>
      </w:pPr>
      <w:r>
        <w:rPr>
          <w:color w:val="000000"/>
        </w:rPr>
        <w:t xml:space="preserve">What stood out most was the framing of privacy as something people cannot always see being violated. The commissioner made the point that privacy harms are often invisible to individuals which means relying on people to </w:t>
      </w:r>
      <w:proofErr w:type="spellStart"/>
      <w:r>
        <w:rPr>
          <w:color w:val="000000"/>
        </w:rPr>
        <w:t>self report</w:t>
      </w:r>
      <w:proofErr w:type="spellEnd"/>
      <w:r>
        <w:rPr>
          <w:color w:val="000000"/>
        </w:rPr>
        <w:t xml:space="preserve"> or complain is not enough. That connects directly to cybersecurity thinking around passive monitoring and threat detection in CITS2006.</w:t>
      </w:r>
    </w:p>
    <w:p w14:paraId="0DBD8ABE" w14:textId="77777777" w:rsidR="00F92D9E" w:rsidRDefault="00F92D9E" w:rsidP="00F92D9E">
      <w:pPr>
        <w:pStyle w:val="font-claude-response-body"/>
        <w:rPr>
          <w:color w:val="000000"/>
        </w:rPr>
      </w:pPr>
      <w:r>
        <w:rPr>
          <w:color w:val="000000"/>
        </w:rPr>
        <w:t>The Clearview AI joint investigation was also interesting because it showed that no single country can regulate global tech platforms alone. The same applies to cybersecurity threats which rarely respect national borders.</w:t>
      </w:r>
    </w:p>
    <w:p w14:paraId="3B8044AF" w14:textId="77777777" w:rsidR="00F92D9E" w:rsidRDefault="00F92D9E" w:rsidP="00F92D9E">
      <w:pPr>
        <w:pStyle w:val="font-claude-response-body"/>
        <w:rPr>
          <w:color w:val="000000"/>
        </w:rPr>
      </w:pPr>
      <w:r>
        <w:rPr>
          <w:color w:val="000000"/>
        </w:rPr>
        <w:t>Overall the seminar made Australian privacy law feel very tangible and relevant, especially with the reforms coming that will affect a much wider range of businesses and individuals.</w:t>
      </w:r>
    </w:p>
    <w:p w14:paraId="7E8B8F12" w14:textId="77777777" w:rsidR="00F92D9E" w:rsidRDefault="00F92D9E"/>
    <w:sectPr w:rsidR="00F92D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D9E"/>
    <w:rsid w:val="000D5E28"/>
    <w:rsid w:val="00F92D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4F075E3"/>
  <w15:chartTrackingRefBased/>
  <w15:docId w15:val="{F5F59EA1-768F-C948-868A-C96FDFD17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2D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2D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2D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2D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2D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2D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2D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2D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2D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D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2D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2D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2D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2D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2D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2D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2D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2D9E"/>
    <w:rPr>
      <w:rFonts w:eastAsiaTheme="majorEastAsia" w:cstheme="majorBidi"/>
      <w:color w:val="272727" w:themeColor="text1" w:themeTint="D8"/>
    </w:rPr>
  </w:style>
  <w:style w:type="paragraph" w:styleId="Title">
    <w:name w:val="Title"/>
    <w:basedOn w:val="Normal"/>
    <w:next w:val="Normal"/>
    <w:link w:val="TitleChar"/>
    <w:uiPriority w:val="10"/>
    <w:qFormat/>
    <w:rsid w:val="00F92D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2D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2D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2D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2D9E"/>
    <w:pPr>
      <w:spacing w:before="160"/>
      <w:jc w:val="center"/>
    </w:pPr>
    <w:rPr>
      <w:i/>
      <w:iCs/>
      <w:color w:val="404040" w:themeColor="text1" w:themeTint="BF"/>
    </w:rPr>
  </w:style>
  <w:style w:type="character" w:customStyle="1" w:styleId="QuoteChar">
    <w:name w:val="Quote Char"/>
    <w:basedOn w:val="DefaultParagraphFont"/>
    <w:link w:val="Quote"/>
    <w:uiPriority w:val="29"/>
    <w:rsid w:val="00F92D9E"/>
    <w:rPr>
      <w:i/>
      <w:iCs/>
      <w:color w:val="404040" w:themeColor="text1" w:themeTint="BF"/>
    </w:rPr>
  </w:style>
  <w:style w:type="paragraph" w:styleId="ListParagraph">
    <w:name w:val="List Paragraph"/>
    <w:basedOn w:val="Normal"/>
    <w:uiPriority w:val="34"/>
    <w:qFormat/>
    <w:rsid w:val="00F92D9E"/>
    <w:pPr>
      <w:ind w:left="720"/>
      <w:contextualSpacing/>
    </w:pPr>
  </w:style>
  <w:style w:type="character" w:styleId="IntenseEmphasis">
    <w:name w:val="Intense Emphasis"/>
    <w:basedOn w:val="DefaultParagraphFont"/>
    <w:uiPriority w:val="21"/>
    <w:qFormat/>
    <w:rsid w:val="00F92D9E"/>
    <w:rPr>
      <w:i/>
      <w:iCs/>
      <w:color w:val="0F4761" w:themeColor="accent1" w:themeShade="BF"/>
    </w:rPr>
  </w:style>
  <w:style w:type="paragraph" w:styleId="IntenseQuote">
    <w:name w:val="Intense Quote"/>
    <w:basedOn w:val="Normal"/>
    <w:next w:val="Normal"/>
    <w:link w:val="IntenseQuoteChar"/>
    <w:uiPriority w:val="30"/>
    <w:qFormat/>
    <w:rsid w:val="00F92D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2D9E"/>
    <w:rPr>
      <w:i/>
      <w:iCs/>
      <w:color w:val="0F4761" w:themeColor="accent1" w:themeShade="BF"/>
    </w:rPr>
  </w:style>
  <w:style w:type="character" w:styleId="IntenseReference">
    <w:name w:val="Intense Reference"/>
    <w:basedOn w:val="DefaultParagraphFont"/>
    <w:uiPriority w:val="32"/>
    <w:qFormat/>
    <w:rsid w:val="00F92D9E"/>
    <w:rPr>
      <w:b/>
      <w:bCs/>
      <w:smallCaps/>
      <w:color w:val="0F4761" w:themeColor="accent1" w:themeShade="BF"/>
      <w:spacing w:val="5"/>
    </w:rPr>
  </w:style>
  <w:style w:type="paragraph" w:customStyle="1" w:styleId="font-claude-response-body">
    <w:name w:val="font-claude-response-body"/>
    <w:basedOn w:val="Normal"/>
    <w:rsid w:val="00F92D9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F92D9E"/>
    <w:rPr>
      <w:b/>
      <w:bCs/>
    </w:rPr>
  </w:style>
  <w:style w:type="character" w:customStyle="1" w:styleId="apple-converted-space">
    <w:name w:val="apple-converted-space"/>
    <w:basedOn w:val="DefaultParagraphFont"/>
    <w:rsid w:val="00F92D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547</Words>
  <Characters>3121</Characters>
  <Application>Microsoft Office Word</Application>
  <DocSecurity>0</DocSecurity>
  <Lines>26</Lines>
  <Paragraphs>7</Paragraphs>
  <ScaleCrop>false</ScaleCrop>
  <Company/>
  <LinksUpToDate>false</LinksUpToDate>
  <CharactersWithSpaces>3661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Vatsal Rajeshkumar Padsala (24323822)</dc:creator>
  <cp:keywords/>
  <dc:description/>
  <cp:lastModifiedBy>Vatsal Rajeshkumar Padsala (24323822)</cp:lastModifiedBy>
  <cp:revision>1</cp:revision>
  <dcterms:created xsi:type="dcterms:W3CDTF">2026-05-20T07:44:00Z</dcterms:created>
  <dcterms:modified xsi:type="dcterms:W3CDTF">2026-05-20T07:45:00Z</dcterms:modified>
</cp:coreProperties>
</file>