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Recent Cybersecurity Incidents (2024–2025)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Cybersecurity threats have escalated dramatically, with attackers targeting healthcare, cloud platforms, government agencies, and telecommunications. This report examines five major incidents from the past two years, each representing a distinct attack type, to highlight systemic vulnerabilities and derive actionable lessons for organizations.</w:t>
      </w:r>
    </w:p>
    <w:p>
      <w:pPr>
        <w:pStyle w:val="Heading2"/>
      </w:pPr>
      <w:r>
        <w:t xml:space="preserve">Incident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2500"/>
        <w:gridCol w:w="188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Attack Type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Victim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Lesson Learned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Feb 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Ransomware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Change Healthcare (UnitedHealth)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$22M ransom; 100M records exposed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MFA is non-negotiable on all remote access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May 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Credential Stuffing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Snowflake / AT&amp;T, Ticketmaster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100+ enterprises; data sold on dark web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Rotate credentials; enforce MFA on cloud platforms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Jul 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Faulty Software Update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CrowdStrike / Microsoft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8.5M devices crashed; $1B+ losses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updates in staging before global rollout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Nov 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State-Sponsored Espionage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Salt Typhoon / US Telecoms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AT&amp;T, Verizon, T-Mobile breached; political comms stolen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Monitor lateral movement; segment sensitive networks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Dec 2024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Supply Chain Attack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 Treasury via BeyondTrust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3,000+ unclassified docs accessed by Chinese hackers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Vet and monitor all third-party vendor access</w:t>
            </w:r>
          </w:p>
        </w:tc>
      </w:tr>
    </w:tbl>
    <w:p>
      <w:pPr>
        <w:pStyle w:val="Heading2"/>
        <w:spacing w:before="200"/>
      </w:pPr>
      <w:r>
        <w:t xml:space="preserve">Key Takeaways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Across all five incidents, a recurring theme emerges: organizations underestimate attacker ingenuity and overestimate their own defenses. The Change Healthcare and Snowflake breaches both stemmed from absent or bypassed multi-factor authentication. The CrowdStrike outage demonstrated that even trusted security vendors can be vectors of disruption. Salt Typhoon's espionage campaign and the BeyondTrust supply chain breach reflect a growing trend: adversaries now target interconnected ecosystems rather than single organizations, making third-party risk management a critical discipline.</w:t>
      </w:r>
    </w:p>
    <w:p>
      <w:pPr>
        <w:pStyle w:val="Heading2"/>
        <w:spacing w:before="200"/>
      </w:pPr>
      <w:r>
        <w:t xml:space="preserve">References</w:t>
      </w:r>
    </w:p>
    <w:p>
      <w:pPr>
        <w:spacing w:after="60"/>
        <w:ind w:left="720" w:hanging="720"/>
      </w:pPr>
      <w:r>
        <w:rPr>
          <w:rFonts w:ascii="Arial" w:cs="Arial" w:eastAsia="Arial" w:hAnsi="Arial"/>
          <w:sz w:val="17"/>
          <w:szCs w:val="17"/>
        </w:rPr>
        <w:t xml:space="preserve">Infosecurity Magazine. (2024). Top 10 cyber-attacks of 2024. https://www.infosecurity-magazine.com/news-features/top-cyber-attacks-2024/</w:t>
      </w:r>
    </w:p>
    <w:p>
      <w:pPr>
        <w:spacing w:after="60"/>
        <w:ind w:left="720" w:hanging="720"/>
      </w:pPr>
      <w:r>
        <w:rPr>
          <w:rFonts w:ascii="Arial" w:cs="Arial" w:eastAsia="Arial" w:hAnsi="Arial"/>
          <w:sz w:val="17"/>
          <w:szCs w:val="17"/>
        </w:rPr>
        <w:t xml:space="preserve">TechTarget. (2024). 10 of the biggest cybersecurity stories of 2024. https://www.techtarget.com/searchsecurity/news/10-of-the-biggest-cybersecurity-stories-of-2024</w:t>
      </w:r>
    </w:p>
    <w:p>
      <w:pPr>
        <w:spacing w:after="60"/>
        <w:ind w:left="720" w:hanging="720"/>
      </w:pPr>
      <w:r>
        <w:rPr>
          <w:rFonts w:ascii="Arial" w:cs="Arial" w:eastAsia="Arial" w:hAnsi="Arial"/>
          <w:sz w:val="17"/>
          <w:szCs w:val="17"/>
        </w:rPr>
        <w:t xml:space="preserve">Picus Security. (2025). The major cyber breaches and attack campaigns of 2024. https://www.picussecurity.com/resource/blog/the-major-cyber-breaches-and-attack-campaigns-of-2024</w:t>
      </w:r>
    </w:p>
    <w:p>
      <w:pPr>
        <w:spacing w:after="60"/>
        <w:ind w:left="720" w:hanging="720"/>
      </w:pPr>
      <w:r>
        <w:rPr>
          <w:rFonts w:ascii="Arial" w:cs="Arial" w:eastAsia="Arial" w:hAnsi="Arial"/>
          <w:sz w:val="17"/>
          <w:szCs w:val="17"/>
        </w:rPr>
        <w:t xml:space="preserve">Fortinet. (2025). Recent cyber attacks. https://www.fortinet.com/resources/cyberglossary/recent-cyber-attacks</w:t>
      </w:r>
    </w:p>
    <w:p>
      <w:pPr>
        <w:spacing w:after="60"/>
        <w:ind w:left="720" w:hanging="720"/>
      </w:pPr>
      <w:r>
        <w:rPr>
          <w:rFonts w:ascii="Arial" w:cs="Arial" w:eastAsia="Arial" w:hAnsi="Arial"/>
          <w:sz w:val="17"/>
          <w:szCs w:val="17"/>
        </w:rPr>
        <w:t xml:space="preserve">Secureframe. (2025). 20 recent cyber attacks. https://secureframe.com/blog/recent-cyber-attacks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2026-03-15T06:03:34.295Z</dcterms:created>
  <dcterms:modified xsi:type="dcterms:W3CDTF">2026-03-15T06:03:34.296Z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