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6A22" w14:textId="77777777" w:rsidR="003A78E6" w:rsidRPr="00561185" w:rsidRDefault="003A78E6" w:rsidP="003A78E6">
      <w:pPr>
        <w:pStyle w:val="ListParagraph"/>
        <w:numPr>
          <w:ilvl w:val="0"/>
          <w:numId w:val="2"/>
        </w:numPr>
        <w:spacing w:after="200" w:line="276" w:lineRule="auto"/>
        <w:ind w:right="70"/>
        <w:rPr>
          <w:rFonts w:ascii="Aptos" w:hAnsi="Aptos" w:cstheme="minorBidi"/>
          <w:sz w:val="28"/>
          <w:szCs w:val="28"/>
        </w:rPr>
      </w:pPr>
      <w:r w:rsidRPr="00561185">
        <w:rPr>
          <w:rFonts w:ascii="Aptos" w:hAnsi="Aptos" w:cstheme="minorBidi"/>
          <w:b/>
          <w:color w:val="0F4761" w:themeColor="accent1" w:themeShade="BF"/>
          <w:sz w:val="28"/>
          <w:szCs w:val="28"/>
        </w:rPr>
        <w:t xml:space="preserve">Purpose </w:t>
      </w:r>
    </w:p>
    <w:p w14:paraId="4FC96DBA" w14:textId="5AA9FAD6" w:rsidR="003A78E6" w:rsidRPr="00810188" w:rsidRDefault="003A78E6" w:rsidP="003A78E6">
      <w:pPr>
        <w:pStyle w:val="ListParagraph"/>
        <w:spacing w:after="200" w:line="276" w:lineRule="auto"/>
        <w:ind w:left="360" w:right="70"/>
        <w:rPr>
          <w:rFonts w:ascii="Aptos" w:eastAsia="Aptos" w:hAnsi="Aptos" w:cs="Aptos"/>
          <w:color w:val="000000" w:themeColor="text1"/>
          <w:sz w:val="22"/>
          <w:szCs w:val="22"/>
          <w:lang w:val="en-IN"/>
        </w:rPr>
      </w:pPr>
      <w:r w:rsidRPr="00810188">
        <w:rPr>
          <w:rFonts w:ascii="Aptos" w:eastAsia="Aptos" w:hAnsi="Aptos" w:cs="Aptos"/>
          <w:color w:val="000000" w:themeColor="text1"/>
          <w:sz w:val="22"/>
          <w:szCs w:val="22"/>
        </w:rPr>
        <w:t xml:space="preserve">This policy establishes guidelines for consolidation and foreign exchange translation practices across </w:t>
      </w:r>
      <w:r>
        <w:rPr>
          <w:rFonts w:ascii="Aptos" w:eastAsia="Aptos" w:hAnsi="Aptos" w:cs="Aptos"/>
          <w:color w:val="000000" w:themeColor="text1"/>
          <w:sz w:val="22"/>
          <w:szCs w:val="22"/>
        </w:rPr>
        <w:t>client</w:t>
      </w:r>
      <w:r w:rsidRPr="00810188">
        <w:rPr>
          <w:rFonts w:ascii="Aptos" w:eastAsia="Aptos" w:hAnsi="Aptos" w:cs="Aptos"/>
          <w:color w:val="000000" w:themeColor="text1"/>
          <w:sz w:val="22"/>
          <w:szCs w:val="22"/>
        </w:rPr>
        <w:t xml:space="preserve"> entities globally. It ensures compliance with relevant financial reporting standards (e.g., IFRS, local GAAP), promotes accuracy in group-level reporting, and fosters financial transparency through consistent treatment of intercompany transactions and foreign currency balances.</w:t>
      </w:r>
      <w:r>
        <w:rPr>
          <w:rFonts w:ascii="Aptos" w:eastAsia="Aptos" w:hAnsi="Aptos" w:cs="Aptos"/>
          <w:color w:val="000000" w:themeColor="text1"/>
          <w:sz w:val="22"/>
          <w:szCs w:val="22"/>
        </w:rPr>
        <w:br/>
      </w:r>
    </w:p>
    <w:p w14:paraId="7D8360A4" w14:textId="77777777" w:rsidR="003A78E6" w:rsidRPr="00561185"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r w:rsidRPr="00561185">
        <w:rPr>
          <w:rFonts w:ascii="Aptos" w:hAnsi="Aptos" w:cstheme="minorBidi"/>
          <w:b/>
          <w:color w:val="0F4761" w:themeColor="accent1" w:themeShade="BF"/>
          <w:sz w:val="28"/>
          <w:szCs w:val="28"/>
        </w:rPr>
        <w:t>Scope</w:t>
      </w:r>
    </w:p>
    <w:p w14:paraId="341F7F3F" w14:textId="77777777" w:rsidR="003A78E6" w:rsidRPr="00810188" w:rsidRDefault="003A78E6" w:rsidP="003A78E6">
      <w:pPr>
        <w:spacing w:after="200" w:line="276" w:lineRule="auto"/>
        <w:ind w:left="360" w:right="70"/>
        <w:rPr>
          <w:rFonts w:ascii="Aptos" w:hAnsi="Aptos"/>
        </w:rPr>
      </w:pPr>
      <w:r w:rsidRPr="00810188">
        <w:rPr>
          <w:rFonts w:ascii="Aptos" w:eastAsia="Aptos" w:hAnsi="Aptos" w:cs="Aptos"/>
          <w:color w:val="000000" w:themeColor="text1"/>
          <w:sz w:val="22"/>
          <w:szCs w:val="22"/>
        </w:rPr>
        <w:t>This policy applies to:</w:t>
      </w:r>
    </w:p>
    <w:p w14:paraId="37615D8B" w14:textId="0CCA3153" w:rsidR="003A78E6" w:rsidRPr="00810188" w:rsidRDefault="003A78E6" w:rsidP="003A78E6">
      <w:pPr>
        <w:pStyle w:val="ListParagraph"/>
        <w:numPr>
          <w:ilvl w:val="1"/>
          <w:numId w:val="1"/>
        </w:numPr>
        <w:spacing w:line="276" w:lineRule="auto"/>
        <w:ind w:left="792" w:right="70" w:hanging="432"/>
        <w:rPr>
          <w:rFonts w:ascii="Aptos" w:eastAsia="Aptos" w:hAnsi="Aptos" w:cs="Aptos"/>
          <w:color w:val="000000" w:themeColor="text1"/>
          <w:sz w:val="22"/>
          <w:szCs w:val="22"/>
        </w:rPr>
      </w:pPr>
      <w:r w:rsidRPr="00810188">
        <w:rPr>
          <w:rFonts w:ascii="Aptos" w:eastAsia="Aptos" w:hAnsi="Aptos" w:cs="Aptos"/>
          <w:color w:val="000000" w:themeColor="text1"/>
          <w:sz w:val="22"/>
          <w:szCs w:val="22"/>
        </w:rPr>
        <w:t xml:space="preserve">All legal entities under </w:t>
      </w:r>
      <w:r>
        <w:rPr>
          <w:rFonts w:ascii="Aptos" w:eastAsia="Aptos" w:hAnsi="Aptos" w:cs="Aptos"/>
          <w:color w:val="000000" w:themeColor="text1"/>
          <w:sz w:val="22"/>
          <w:szCs w:val="22"/>
        </w:rPr>
        <w:t>client</w:t>
      </w:r>
      <w:r w:rsidRPr="00810188">
        <w:rPr>
          <w:rFonts w:ascii="Aptos" w:eastAsia="Aptos" w:hAnsi="Aptos" w:cs="Aptos"/>
          <w:color w:val="000000" w:themeColor="text1"/>
          <w:sz w:val="22"/>
          <w:szCs w:val="22"/>
        </w:rPr>
        <w:t xml:space="preserve"> control, including newly acquired subsidiaries and those under full consolidation requirements.</w:t>
      </w:r>
    </w:p>
    <w:p w14:paraId="2D4E662E" w14:textId="77777777" w:rsidR="003A78E6" w:rsidRPr="00810188" w:rsidRDefault="003A78E6" w:rsidP="003A78E6">
      <w:pPr>
        <w:pStyle w:val="ListParagraph"/>
        <w:numPr>
          <w:ilvl w:val="1"/>
          <w:numId w:val="1"/>
        </w:numPr>
        <w:spacing w:line="276" w:lineRule="auto"/>
        <w:ind w:left="792" w:right="70" w:hanging="432"/>
        <w:rPr>
          <w:rFonts w:ascii="Aptos" w:eastAsia="Aptos" w:hAnsi="Aptos" w:cs="Aptos"/>
          <w:color w:val="000000" w:themeColor="text1"/>
          <w:sz w:val="22"/>
          <w:szCs w:val="22"/>
        </w:rPr>
      </w:pPr>
      <w:r w:rsidRPr="00810188">
        <w:rPr>
          <w:rFonts w:ascii="Aptos" w:eastAsia="Aptos" w:hAnsi="Aptos" w:cs="Aptos"/>
          <w:color w:val="000000" w:themeColor="text1"/>
          <w:sz w:val="22"/>
          <w:szCs w:val="22"/>
        </w:rPr>
        <w:t>All regional and functional finance teams involved in monthly and quarterly consolidation, intercompany reconciliation, and foreign currency translation.</w:t>
      </w:r>
    </w:p>
    <w:p w14:paraId="33B2AD88" w14:textId="77777777" w:rsidR="003A78E6" w:rsidRPr="00810188" w:rsidRDefault="003A78E6" w:rsidP="003A78E6">
      <w:pPr>
        <w:pStyle w:val="ListParagraph"/>
        <w:numPr>
          <w:ilvl w:val="1"/>
          <w:numId w:val="1"/>
        </w:numPr>
        <w:spacing w:line="276" w:lineRule="auto"/>
        <w:ind w:left="792" w:right="70" w:hanging="432"/>
        <w:rPr>
          <w:rFonts w:ascii="Aptos" w:eastAsia="Aptos" w:hAnsi="Aptos" w:cs="Aptos"/>
          <w:color w:val="000000" w:themeColor="text1"/>
          <w:sz w:val="22"/>
          <w:szCs w:val="22"/>
        </w:rPr>
      </w:pPr>
      <w:r w:rsidRPr="00810188">
        <w:rPr>
          <w:rFonts w:ascii="Aptos" w:eastAsia="Aptos" w:hAnsi="Aptos" w:cs="Aptos"/>
          <w:color w:val="000000" w:themeColor="text1"/>
          <w:sz w:val="22"/>
          <w:szCs w:val="22"/>
        </w:rPr>
        <w:t>ERP and reporting systems contributing to financial consolidation, including transactional sub-ledgers and master data governance tools.</w:t>
      </w:r>
    </w:p>
    <w:p w14:paraId="68B8046F" w14:textId="77777777" w:rsidR="003A78E6" w:rsidRPr="00810188" w:rsidRDefault="003A78E6" w:rsidP="003A78E6">
      <w:pPr>
        <w:spacing w:after="200" w:line="276" w:lineRule="auto"/>
        <w:ind w:left="360" w:right="70"/>
        <w:rPr>
          <w:rFonts w:ascii="Aptos" w:hAnsi="Aptos"/>
        </w:rPr>
      </w:pPr>
      <w:r w:rsidRPr="00810188">
        <w:rPr>
          <w:rFonts w:ascii="Aptos" w:eastAsia="Aptos" w:hAnsi="Aptos" w:cs="Aptos"/>
          <w:b/>
          <w:bCs/>
          <w:color w:val="000000" w:themeColor="text1"/>
          <w:sz w:val="22"/>
          <w:szCs w:val="22"/>
        </w:rPr>
        <w:t>Exclusions:</w:t>
      </w:r>
      <w:r w:rsidRPr="00810188">
        <w:rPr>
          <w:rFonts w:ascii="Aptos" w:eastAsia="Aptos" w:hAnsi="Aptos" w:cs="Aptos"/>
          <w:color w:val="000000" w:themeColor="text1"/>
          <w:sz w:val="22"/>
          <w:szCs w:val="22"/>
        </w:rPr>
        <w:t xml:space="preserve"> Equity method investees, cost-method investments, and joint ventures are excluded from full consolidation but must still comply with relevant disclosure and intercompany alignment requirements.</w:t>
      </w:r>
    </w:p>
    <w:p w14:paraId="768F01D8" w14:textId="77777777" w:rsidR="003A78E6" w:rsidRPr="00561185"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r w:rsidRPr="00561185">
        <w:rPr>
          <w:rFonts w:ascii="Aptos" w:hAnsi="Aptos" w:cstheme="minorBidi"/>
          <w:b/>
          <w:color w:val="0F4761" w:themeColor="accent1" w:themeShade="BF"/>
          <w:sz w:val="28"/>
          <w:szCs w:val="28"/>
        </w:rPr>
        <w:t>Policy Ownership &amp; Responsibilities</w:t>
      </w:r>
    </w:p>
    <w:p w14:paraId="6746AE68" w14:textId="77777777" w:rsidR="003A78E6" w:rsidRPr="00FD69E6" w:rsidRDefault="003A78E6" w:rsidP="003A78E6">
      <w:pPr>
        <w:spacing w:before="60" w:after="60"/>
        <w:ind w:left="360"/>
        <w:rPr>
          <w:rFonts w:ascii="Aptos" w:eastAsia="Aptos" w:hAnsi="Aptos" w:cs="Aptos"/>
          <w:color w:val="000000" w:themeColor="text1"/>
          <w:sz w:val="22"/>
          <w:szCs w:val="22"/>
        </w:rPr>
      </w:pPr>
      <w:r w:rsidRPr="00FD69E6">
        <w:rPr>
          <w:rFonts w:ascii="Aptos" w:eastAsia="Aptos" w:hAnsi="Aptos" w:cs="Aptos"/>
          <w:color w:val="000000" w:themeColor="text1"/>
          <w:sz w:val="22"/>
          <w:szCs w:val="22"/>
        </w:rPr>
        <w:t>This policy is owned by the Global Finance Controller and will be reviewed annually for changes. Below is the policy responsibility &amp; approval matrix for lease initiation, renewal, termination, monitoring and reporting.</w:t>
      </w:r>
    </w:p>
    <w:p w14:paraId="1D9DBE33" w14:textId="77777777" w:rsidR="003A78E6" w:rsidRPr="00810188" w:rsidRDefault="003A78E6" w:rsidP="003A78E6">
      <w:pPr>
        <w:pStyle w:val="ListParagraph"/>
        <w:spacing w:before="60" w:after="60"/>
        <w:ind w:left="792"/>
        <w:contextualSpacing w:val="0"/>
        <w:rPr>
          <w:rFonts w:ascii="Aptos" w:eastAsia="Aptos" w:hAnsi="Aptos" w:cs="Aptos"/>
          <w:color w:val="000000" w:themeColor="text1"/>
          <w:sz w:val="22"/>
          <w:szCs w:val="22"/>
        </w:rPr>
      </w:pPr>
    </w:p>
    <w:p w14:paraId="47966C04" w14:textId="77777777" w:rsidR="003A78E6" w:rsidRPr="00810188" w:rsidRDefault="003A78E6" w:rsidP="003A78E6">
      <w:pPr>
        <w:pStyle w:val="ListParagraph"/>
        <w:ind w:left="570"/>
        <w:rPr>
          <w:rFonts w:ascii="Aptos" w:eastAsiaTheme="minorEastAsia" w:hAnsi="Aptos" w:cstheme="minorBidi"/>
          <w:b/>
          <w:bCs/>
          <w:sz w:val="22"/>
          <w:szCs w:val="22"/>
        </w:rPr>
      </w:pPr>
      <w:r w:rsidRPr="00810188">
        <w:rPr>
          <w:rFonts w:ascii="Aptos" w:eastAsiaTheme="minorEastAsia" w:hAnsi="Aptos" w:cstheme="minorBidi"/>
          <w:b/>
          <w:bCs/>
          <w:sz w:val="22"/>
          <w:szCs w:val="22"/>
        </w:rPr>
        <w:t>Policy Responsibility &amp; Approval Matrix</w:t>
      </w:r>
    </w:p>
    <w:tbl>
      <w:tblPr>
        <w:tblStyle w:val="TableGrid"/>
        <w:tblW w:w="0" w:type="auto"/>
        <w:tblInd w:w="570" w:type="dxa"/>
        <w:tblLook w:val="04A0" w:firstRow="1" w:lastRow="0" w:firstColumn="1" w:lastColumn="0" w:noHBand="0" w:noVBand="1"/>
      </w:tblPr>
      <w:tblGrid>
        <w:gridCol w:w="4954"/>
        <w:gridCol w:w="1984"/>
        <w:gridCol w:w="1957"/>
      </w:tblGrid>
      <w:tr w:rsidR="003A78E6" w:rsidRPr="00154055" w14:paraId="4206C684" w14:textId="77777777" w:rsidTr="005362C2">
        <w:tc>
          <w:tcPr>
            <w:tcW w:w="4954" w:type="dxa"/>
          </w:tcPr>
          <w:p w14:paraId="70BAA5D9" w14:textId="77777777" w:rsidR="003A78E6" w:rsidRPr="00E747A0" w:rsidRDefault="003A78E6" w:rsidP="005362C2">
            <w:pPr>
              <w:pStyle w:val="ListParagraph"/>
              <w:ind w:left="0"/>
              <w:rPr>
                <w:rFonts w:ascii="Aptos" w:eastAsiaTheme="minorEastAsia" w:hAnsi="Aptos" w:cstheme="minorBidi"/>
                <w:b/>
                <w:sz w:val="20"/>
                <w:szCs w:val="20"/>
              </w:rPr>
            </w:pPr>
            <w:r w:rsidRPr="00E747A0">
              <w:rPr>
                <w:rFonts w:ascii="Aptos" w:eastAsiaTheme="minorEastAsia" w:hAnsi="Aptos" w:cstheme="minorBidi"/>
                <w:b/>
                <w:sz w:val="20"/>
                <w:szCs w:val="20"/>
              </w:rPr>
              <w:t>Responsibility Area</w:t>
            </w:r>
          </w:p>
        </w:tc>
        <w:tc>
          <w:tcPr>
            <w:tcW w:w="1984" w:type="dxa"/>
          </w:tcPr>
          <w:p w14:paraId="43797237" w14:textId="77777777" w:rsidR="003A78E6" w:rsidRPr="00E747A0" w:rsidRDefault="003A78E6" w:rsidP="005362C2">
            <w:pPr>
              <w:pStyle w:val="ListParagraph"/>
              <w:ind w:left="0"/>
              <w:rPr>
                <w:rFonts w:ascii="Aptos" w:eastAsiaTheme="minorEastAsia" w:hAnsi="Aptos" w:cstheme="minorBidi"/>
                <w:b/>
                <w:sz w:val="20"/>
                <w:szCs w:val="20"/>
              </w:rPr>
            </w:pPr>
            <w:r w:rsidRPr="00E747A0">
              <w:rPr>
                <w:rFonts w:ascii="Aptos" w:eastAsiaTheme="minorEastAsia" w:hAnsi="Aptos" w:cstheme="minorBidi"/>
                <w:b/>
                <w:sz w:val="20"/>
                <w:szCs w:val="20"/>
              </w:rPr>
              <w:t>Prepare / Review / Monitor</w:t>
            </w:r>
          </w:p>
        </w:tc>
        <w:tc>
          <w:tcPr>
            <w:tcW w:w="1957" w:type="dxa"/>
          </w:tcPr>
          <w:p w14:paraId="251F6F8A" w14:textId="77777777" w:rsidR="003A78E6" w:rsidRPr="00E747A0" w:rsidRDefault="003A78E6" w:rsidP="005362C2">
            <w:pPr>
              <w:pStyle w:val="ListParagraph"/>
              <w:ind w:left="0"/>
              <w:rPr>
                <w:rFonts w:ascii="Aptos" w:eastAsiaTheme="minorEastAsia" w:hAnsi="Aptos" w:cstheme="minorBidi"/>
                <w:b/>
                <w:sz w:val="20"/>
                <w:szCs w:val="20"/>
              </w:rPr>
            </w:pPr>
            <w:r w:rsidRPr="00E747A0">
              <w:rPr>
                <w:rFonts w:ascii="Aptos" w:eastAsiaTheme="minorEastAsia" w:hAnsi="Aptos" w:cstheme="minorBidi"/>
                <w:b/>
                <w:sz w:val="20"/>
                <w:szCs w:val="20"/>
              </w:rPr>
              <w:t>Approve</w:t>
            </w:r>
          </w:p>
        </w:tc>
      </w:tr>
      <w:tr w:rsidR="003A78E6" w:rsidRPr="00154055" w14:paraId="6C21973F" w14:textId="77777777" w:rsidTr="005362C2">
        <w:tc>
          <w:tcPr>
            <w:tcW w:w="4954" w:type="dxa"/>
          </w:tcPr>
          <w:p w14:paraId="18FA9770"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Policy Governance and updates</w:t>
            </w:r>
          </w:p>
        </w:tc>
        <w:tc>
          <w:tcPr>
            <w:tcW w:w="1984" w:type="dxa"/>
          </w:tcPr>
          <w:p w14:paraId="6090633A"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Global Finance Controller</w:t>
            </w:r>
          </w:p>
        </w:tc>
        <w:tc>
          <w:tcPr>
            <w:tcW w:w="1957" w:type="dxa"/>
          </w:tcPr>
          <w:p w14:paraId="1E3B831C"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Global CFO / Global Board</w:t>
            </w:r>
          </w:p>
        </w:tc>
      </w:tr>
      <w:tr w:rsidR="003A78E6" w:rsidRPr="00154055" w14:paraId="407076FD" w14:textId="77777777" w:rsidTr="005362C2">
        <w:tc>
          <w:tcPr>
            <w:tcW w:w="4954" w:type="dxa"/>
          </w:tcPr>
          <w:p w14:paraId="5FB43010"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Consolidation and Elimination</w:t>
            </w:r>
          </w:p>
          <w:p w14:paraId="1EA4D079" w14:textId="77777777" w:rsidR="003A78E6" w:rsidRPr="00154055" w:rsidRDefault="003A78E6" w:rsidP="003A78E6">
            <w:pPr>
              <w:pStyle w:val="ListParagraph"/>
              <w:numPr>
                <w:ilvl w:val="3"/>
                <w:numId w:val="2"/>
              </w:numPr>
              <w:autoSpaceDE w:val="0"/>
              <w:autoSpaceDN w:val="0"/>
              <w:adjustRightInd w:val="0"/>
              <w:spacing w:before="100" w:beforeAutospacing="1"/>
              <w:ind w:left="453" w:hanging="357"/>
              <w:rPr>
                <w:rStyle w:val="Strong"/>
                <w:rFonts w:ascii="Aptos" w:hAnsi="Aptos"/>
                <w:b w:val="0"/>
                <w:bCs w:val="0"/>
                <w:sz w:val="20"/>
                <w:szCs w:val="20"/>
              </w:rPr>
            </w:pPr>
            <w:r w:rsidRPr="00154055">
              <w:rPr>
                <w:rStyle w:val="Strong"/>
                <w:rFonts w:ascii="Aptos" w:hAnsi="Aptos"/>
                <w:sz w:val="20"/>
                <w:szCs w:val="20"/>
              </w:rPr>
              <w:t>Master data governance relevant to Consolidation</w:t>
            </w:r>
          </w:p>
          <w:p w14:paraId="33DE72B2" w14:textId="06912789" w:rsidR="003A78E6" w:rsidRPr="00154055" w:rsidRDefault="003A78E6" w:rsidP="003A78E6">
            <w:pPr>
              <w:pStyle w:val="ListParagraph"/>
              <w:numPr>
                <w:ilvl w:val="3"/>
                <w:numId w:val="2"/>
              </w:numPr>
              <w:autoSpaceDE w:val="0"/>
              <w:autoSpaceDN w:val="0"/>
              <w:adjustRightInd w:val="0"/>
              <w:spacing w:before="100" w:beforeAutospacing="1"/>
              <w:ind w:left="453" w:hanging="357"/>
              <w:rPr>
                <w:rStyle w:val="Strong"/>
                <w:rFonts w:ascii="Aptos" w:hAnsi="Aptos"/>
                <w:b w:val="0"/>
                <w:bCs w:val="0"/>
                <w:sz w:val="20"/>
                <w:szCs w:val="20"/>
              </w:rPr>
            </w:pPr>
            <w:r w:rsidRPr="00154055">
              <w:rPr>
                <w:rStyle w:val="Strong"/>
                <w:rFonts w:ascii="Aptos" w:hAnsi="Aptos"/>
                <w:sz w:val="20"/>
                <w:szCs w:val="20"/>
              </w:rPr>
              <w:t xml:space="preserve">Changes to Consolidation and Elimination setup in </w:t>
            </w:r>
          </w:p>
          <w:p w14:paraId="77E2EE1A" w14:textId="77777777" w:rsidR="003A78E6" w:rsidRPr="00154055" w:rsidRDefault="003A78E6" w:rsidP="003A78E6">
            <w:pPr>
              <w:pStyle w:val="ListParagraph"/>
              <w:numPr>
                <w:ilvl w:val="3"/>
                <w:numId w:val="2"/>
              </w:numPr>
              <w:autoSpaceDE w:val="0"/>
              <w:autoSpaceDN w:val="0"/>
              <w:adjustRightInd w:val="0"/>
              <w:spacing w:before="100" w:beforeAutospacing="1"/>
              <w:ind w:left="453" w:hanging="357"/>
              <w:rPr>
                <w:rStyle w:val="Strong"/>
                <w:rFonts w:ascii="Aptos" w:hAnsi="Aptos"/>
                <w:b w:val="0"/>
                <w:bCs w:val="0"/>
                <w:sz w:val="20"/>
                <w:szCs w:val="20"/>
              </w:rPr>
            </w:pPr>
            <w:r w:rsidRPr="00154055">
              <w:rPr>
                <w:rStyle w:val="Strong"/>
                <w:rFonts w:ascii="Aptos" w:hAnsi="Aptos"/>
                <w:sz w:val="20"/>
                <w:szCs w:val="20"/>
              </w:rPr>
              <w:t>System based accounting approvals</w:t>
            </w:r>
          </w:p>
          <w:p w14:paraId="57D55AAC" w14:textId="77777777" w:rsidR="003A78E6" w:rsidRPr="00E747A0" w:rsidRDefault="003A78E6" w:rsidP="003A78E6">
            <w:pPr>
              <w:pStyle w:val="ListParagraph"/>
              <w:numPr>
                <w:ilvl w:val="3"/>
                <w:numId w:val="2"/>
              </w:numPr>
              <w:autoSpaceDE w:val="0"/>
              <w:autoSpaceDN w:val="0"/>
              <w:adjustRightInd w:val="0"/>
              <w:spacing w:before="100" w:beforeAutospacing="1"/>
              <w:ind w:left="453" w:hanging="357"/>
              <w:rPr>
                <w:rFonts w:ascii="Aptos" w:eastAsiaTheme="minorEastAsia" w:hAnsi="Aptos" w:cstheme="minorBidi"/>
                <w:sz w:val="20"/>
                <w:szCs w:val="20"/>
              </w:rPr>
            </w:pPr>
            <w:r w:rsidRPr="00154055">
              <w:rPr>
                <w:rStyle w:val="Strong"/>
                <w:rFonts w:ascii="Aptos" w:hAnsi="Aptos"/>
                <w:sz w:val="20"/>
                <w:szCs w:val="20"/>
              </w:rPr>
              <w:t>Manual accounting / adjustments</w:t>
            </w:r>
          </w:p>
        </w:tc>
        <w:tc>
          <w:tcPr>
            <w:tcW w:w="1984" w:type="dxa"/>
          </w:tcPr>
          <w:p w14:paraId="2F0462CF"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Global Finance Team</w:t>
            </w:r>
          </w:p>
        </w:tc>
        <w:tc>
          <w:tcPr>
            <w:tcW w:w="1957" w:type="dxa"/>
          </w:tcPr>
          <w:p w14:paraId="564F6F5F"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Global Finance Controller</w:t>
            </w:r>
          </w:p>
        </w:tc>
      </w:tr>
      <w:tr w:rsidR="003A78E6" w:rsidRPr="00154055" w14:paraId="40E90E25" w14:textId="77777777" w:rsidTr="005362C2">
        <w:tc>
          <w:tcPr>
            <w:tcW w:w="4954" w:type="dxa"/>
          </w:tcPr>
          <w:p w14:paraId="35919BD5"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Intercompany Transactions</w:t>
            </w:r>
          </w:p>
          <w:p w14:paraId="2E13FEA4" w14:textId="77777777" w:rsidR="003A78E6" w:rsidRPr="00154055" w:rsidRDefault="003A78E6" w:rsidP="003A78E6">
            <w:pPr>
              <w:pStyle w:val="ListParagraph"/>
              <w:numPr>
                <w:ilvl w:val="3"/>
                <w:numId w:val="2"/>
              </w:numPr>
              <w:autoSpaceDE w:val="0"/>
              <w:autoSpaceDN w:val="0"/>
              <w:adjustRightInd w:val="0"/>
              <w:spacing w:before="100" w:beforeAutospacing="1"/>
              <w:ind w:left="453" w:hanging="357"/>
              <w:rPr>
                <w:rStyle w:val="Strong"/>
                <w:rFonts w:ascii="Aptos" w:hAnsi="Aptos"/>
                <w:b w:val="0"/>
                <w:bCs w:val="0"/>
                <w:sz w:val="20"/>
                <w:szCs w:val="20"/>
              </w:rPr>
            </w:pPr>
            <w:r w:rsidRPr="00154055">
              <w:rPr>
                <w:rStyle w:val="Strong"/>
                <w:rFonts w:ascii="Aptos" w:hAnsi="Aptos"/>
                <w:sz w:val="20"/>
                <w:szCs w:val="20"/>
              </w:rPr>
              <w:t>Intercompany guideline enforcement</w:t>
            </w:r>
          </w:p>
          <w:p w14:paraId="501C9F43" w14:textId="77777777" w:rsidR="003A78E6" w:rsidRPr="00154055" w:rsidRDefault="003A78E6" w:rsidP="003A78E6">
            <w:pPr>
              <w:pStyle w:val="ListParagraph"/>
              <w:numPr>
                <w:ilvl w:val="3"/>
                <w:numId w:val="2"/>
              </w:numPr>
              <w:autoSpaceDE w:val="0"/>
              <w:autoSpaceDN w:val="0"/>
              <w:adjustRightInd w:val="0"/>
              <w:spacing w:before="100" w:beforeAutospacing="1"/>
              <w:ind w:left="453" w:hanging="357"/>
              <w:rPr>
                <w:rFonts w:ascii="Aptos" w:hAnsi="Aptos"/>
                <w:sz w:val="20"/>
                <w:szCs w:val="20"/>
              </w:rPr>
            </w:pPr>
            <w:r w:rsidRPr="00154055">
              <w:rPr>
                <w:rStyle w:val="Strong"/>
                <w:rFonts w:ascii="Aptos" w:hAnsi="Aptos"/>
                <w:sz w:val="20"/>
                <w:szCs w:val="20"/>
              </w:rPr>
              <w:t>Monitoring and Reconciliation</w:t>
            </w:r>
          </w:p>
        </w:tc>
        <w:tc>
          <w:tcPr>
            <w:tcW w:w="1984" w:type="dxa"/>
          </w:tcPr>
          <w:p w14:paraId="7516A454"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 xml:space="preserve">Regional Finance </w:t>
            </w:r>
            <w:r>
              <w:rPr>
                <w:rFonts w:ascii="Aptos" w:eastAsiaTheme="minorEastAsia" w:hAnsi="Aptos" w:cstheme="minorBidi"/>
                <w:sz w:val="20"/>
                <w:szCs w:val="20"/>
              </w:rPr>
              <w:t>T</w:t>
            </w:r>
            <w:r w:rsidRPr="00E747A0">
              <w:rPr>
                <w:rFonts w:ascii="Aptos" w:eastAsiaTheme="minorEastAsia" w:hAnsi="Aptos" w:cstheme="minorBidi"/>
                <w:sz w:val="20"/>
                <w:szCs w:val="20"/>
              </w:rPr>
              <w:t>eam</w:t>
            </w:r>
          </w:p>
        </w:tc>
        <w:tc>
          <w:tcPr>
            <w:tcW w:w="1957" w:type="dxa"/>
          </w:tcPr>
          <w:p w14:paraId="00AB264D"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Regional Finance Lead</w:t>
            </w:r>
          </w:p>
        </w:tc>
      </w:tr>
      <w:tr w:rsidR="003A78E6" w:rsidRPr="00154055" w14:paraId="28C57F24" w14:textId="77777777" w:rsidTr="005362C2">
        <w:tc>
          <w:tcPr>
            <w:tcW w:w="4954" w:type="dxa"/>
          </w:tcPr>
          <w:p w14:paraId="47D087CB"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Forex rates, exposure and revaluation logic</w:t>
            </w:r>
          </w:p>
        </w:tc>
        <w:tc>
          <w:tcPr>
            <w:tcW w:w="1984" w:type="dxa"/>
          </w:tcPr>
          <w:p w14:paraId="25F660B2" w14:textId="77777777" w:rsidR="003A78E6" w:rsidRPr="00D30C0F" w:rsidRDefault="003A78E6" w:rsidP="005362C2">
            <w:pPr>
              <w:pStyle w:val="ListParagraph"/>
              <w:ind w:left="0"/>
              <w:rPr>
                <w:rFonts w:ascii="Aptos" w:eastAsiaTheme="minorEastAsia" w:hAnsi="Aptos" w:cstheme="minorBidi"/>
                <w:sz w:val="20"/>
                <w:szCs w:val="20"/>
                <w:highlight w:val="yellow"/>
              </w:rPr>
            </w:pPr>
            <w:r w:rsidRPr="00E747A0">
              <w:rPr>
                <w:rFonts w:ascii="Aptos" w:eastAsiaTheme="minorEastAsia" w:hAnsi="Aptos" w:cstheme="minorBidi"/>
                <w:sz w:val="20"/>
                <w:szCs w:val="20"/>
              </w:rPr>
              <w:t>Global Finance Team</w:t>
            </w:r>
            <w:r>
              <w:rPr>
                <w:rFonts w:ascii="Aptos" w:eastAsiaTheme="minorEastAsia" w:hAnsi="Aptos" w:cstheme="minorBidi"/>
                <w:sz w:val="20"/>
                <w:szCs w:val="20"/>
              </w:rPr>
              <w:t xml:space="preserve"> </w:t>
            </w:r>
            <w:r w:rsidRPr="00E747A0">
              <w:rPr>
                <w:rFonts w:ascii="Aptos" w:eastAsiaTheme="minorEastAsia" w:hAnsi="Aptos" w:cstheme="minorBidi"/>
                <w:sz w:val="20"/>
                <w:szCs w:val="20"/>
                <w:highlight w:val="yellow"/>
              </w:rPr>
              <w:t>or Global Treasury Team</w:t>
            </w:r>
          </w:p>
        </w:tc>
        <w:tc>
          <w:tcPr>
            <w:tcW w:w="1957" w:type="dxa"/>
          </w:tcPr>
          <w:p w14:paraId="77E8605B" w14:textId="77777777" w:rsidR="003A78E6" w:rsidRPr="00E747A0" w:rsidRDefault="003A78E6" w:rsidP="005362C2">
            <w:pPr>
              <w:pStyle w:val="ListParagraph"/>
              <w:ind w:left="0"/>
              <w:rPr>
                <w:rFonts w:ascii="Aptos" w:eastAsiaTheme="minorEastAsia" w:hAnsi="Aptos" w:cstheme="minorBidi"/>
                <w:sz w:val="20"/>
                <w:szCs w:val="20"/>
              </w:rPr>
            </w:pPr>
            <w:r w:rsidRPr="00E747A0">
              <w:rPr>
                <w:rFonts w:ascii="Aptos" w:eastAsiaTheme="minorEastAsia" w:hAnsi="Aptos" w:cstheme="minorBidi"/>
                <w:sz w:val="20"/>
                <w:szCs w:val="20"/>
              </w:rPr>
              <w:t>Global Finance Controller / Global CFO</w:t>
            </w:r>
          </w:p>
        </w:tc>
      </w:tr>
    </w:tbl>
    <w:p w14:paraId="3BAB5A20" w14:textId="77777777" w:rsidR="003A78E6" w:rsidRPr="00561185"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bookmarkStart w:id="0" w:name="_Toc395695437"/>
      <w:r w:rsidRPr="00561185">
        <w:rPr>
          <w:rFonts w:ascii="Aptos" w:hAnsi="Aptos" w:cstheme="minorBidi"/>
          <w:b/>
          <w:color w:val="0F4761" w:themeColor="accent1" w:themeShade="BF"/>
          <w:sz w:val="28"/>
          <w:szCs w:val="28"/>
        </w:rPr>
        <w:lastRenderedPageBreak/>
        <w:t>Definitions</w:t>
      </w:r>
      <w:bookmarkEnd w:id="0"/>
    </w:p>
    <w:p w14:paraId="37AD537E" w14:textId="77777777" w:rsidR="003A78E6" w:rsidRPr="00810188" w:rsidRDefault="003A78E6" w:rsidP="003A78E6">
      <w:pPr>
        <w:pStyle w:val="ListParagraph"/>
        <w:autoSpaceDE w:val="0"/>
        <w:autoSpaceDN w:val="0"/>
        <w:adjustRightInd w:val="0"/>
        <w:spacing w:before="240"/>
        <w:ind w:left="792"/>
        <w:contextualSpacing w:val="0"/>
        <w:rPr>
          <w:rFonts w:ascii="Aptos" w:eastAsiaTheme="minorEastAsia" w:hAnsi="Aptos" w:cstheme="minorBidi"/>
          <w:sz w:val="22"/>
          <w:szCs w:val="22"/>
        </w:rPr>
      </w:pPr>
      <w:r w:rsidRPr="00810188">
        <w:rPr>
          <w:rFonts w:ascii="Aptos" w:eastAsiaTheme="minorEastAsia" w:hAnsi="Aptos" w:cstheme="minorBidi"/>
          <w:sz w:val="22"/>
          <w:szCs w:val="22"/>
        </w:rPr>
        <w:t xml:space="preserve">The </w:t>
      </w:r>
      <w:commentRangeStart w:id="1"/>
      <w:r w:rsidRPr="00810188">
        <w:rPr>
          <w:rFonts w:ascii="Aptos" w:eastAsiaTheme="minorEastAsia" w:hAnsi="Aptos" w:cstheme="minorBidi"/>
          <w:sz w:val="22"/>
          <w:szCs w:val="22"/>
        </w:rPr>
        <w:t>Definitions</w:t>
      </w:r>
      <w:commentRangeEnd w:id="1"/>
      <w:r w:rsidR="00643119">
        <w:rPr>
          <w:rStyle w:val="CommentReference"/>
        </w:rPr>
        <w:commentReference w:id="1"/>
      </w:r>
      <w:r w:rsidRPr="00810188">
        <w:rPr>
          <w:rFonts w:ascii="Aptos" w:eastAsiaTheme="minorEastAsia" w:hAnsi="Aptos" w:cstheme="minorBidi"/>
          <w:sz w:val="22"/>
          <w:szCs w:val="22"/>
        </w:rPr>
        <w:t xml:space="preserve"> relating to this Policy are as follows:  </w:t>
      </w:r>
    </w:p>
    <w:tbl>
      <w:tblPr>
        <w:tblStyle w:val="TableGrid"/>
        <w:tblpPr w:leftFromText="180" w:rightFromText="180" w:vertAnchor="text" w:horzAnchor="margin" w:tblpXSpec="center" w:tblpY="418"/>
        <w:tblW w:w="8148" w:type="dxa"/>
        <w:tblLook w:val="04A0" w:firstRow="1" w:lastRow="0" w:firstColumn="1" w:lastColumn="0" w:noHBand="0" w:noVBand="1"/>
      </w:tblPr>
      <w:tblGrid>
        <w:gridCol w:w="1935"/>
        <w:gridCol w:w="6213"/>
      </w:tblGrid>
      <w:tr w:rsidR="003A78E6" w:rsidRPr="00810188" w14:paraId="552D4E2D" w14:textId="77777777" w:rsidTr="005362C2">
        <w:trPr>
          <w:trHeight w:val="570"/>
        </w:trPr>
        <w:tc>
          <w:tcPr>
            <w:tcW w:w="1935" w:type="dxa"/>
            <w:shd w:val="clear" w:color="auto" w:fill="595959" w:themeFill="text1" w:themeFillTint="A6"/>
            <w:vAlign w:val="center"/>
          </w:tcPr>
          <w:p w14:paraId="0F68E8C3" w14:textId="77777777" w:rsidR="003A78E6" w:rsidRPr="00810188" w:rsidRDefault="003A78E6" w:rsidP="005362C2">
            <w:pPr>
              <w:jc w:val="center"/>
              <w:rPr>
                <w:rFonts w:ascii="Aptos" w:hAnsi="Aptos" w:cstheme="minorHAnsi"/>
                <w:b/>
                <w:color w:val="FFFFFF" w:themeColor="background1"/>
              </w:rPr>
            </w:pPr>
            <w:r w:rsidRPr="00810188">
              <w:rPr>
                <w:rFonts w:ascii="Aptos" w:hAnsi="Aptos" w:cstheme="minorHAnsi"/>
                <w:b/>
                <w:color w:val="FFFFFF" w:themeColor="background1"/>
              </w:rPr>
              <w:t>Term</w:t>
            </w:r>
          </w:p>
        </w:tc>
        <w:tc>
          <w:tcPr>
            <w:tcW w:w="6213" w:type="dxa"/>
            <w:shd w:val="clear" w:color="auto" w:fill="595959" w:themeFill="text1" w:themeFillTint="A6"/>
            <w:vAlign w:val="center"/>
          </w:tcPr>
          <w:p w14:paraId="46B6281A" w14:textId="77777777" w:rsidR="003A78E6" w:rsidRPr="00810188" w:rsidRDefault="003A78E6" w:rsidP="005362C2">
            <w:pPr>
              <w:jc w:val="center"/>
              <w:rPr>
                <w:rFonts w:ascii="Aptos" w:hAnsi="Aptos" w:cstheme="minorHAnsi"/>
                <w:b/>
                <w:color w:val="FFFFFF" w:themeColor="background1"/>
              </w:rPr>
            </w:pPr>
            <w:r w:rsidRPr="00810188">
              <w:rPr>
                <w:rFonts w:ascii="Aptos" w:hAnsi="Aptos" w:cstheme="minorHAnsi"/>
                <w:b/>
                <w:color w:val="FFFFFF" w:themeColor="background1"/>
              </w:rPr>
              <w:t>Definition</w:t>
            </w:r>
          </w:p>
        </w:tc>
      </w:tr>
      <w:tr w:rsidR="003A78E6" w:rsidRPr="00810188" w14:paraId="3C587AAE" w14:textId="77777777" w:rsidTr="005362C2">
        <w:tc>
          <w:tcPr>
            <w:tcW w:w="1935" w:type="dxa"/>
            <w:vAlign w:val="center"/>
          </w:tcPr>
          <w:p w14:paraId="461D014B"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Consolidation</w:t>
            </w:r>
          </w:p>
        </w:tc>
        <w:tc>
          <w:tcPr>
            <w:tcW w:w="6213" w:type="dxa"/>
          </w:tcPr>
          <w:p w14:paraId="61C77821" w14:textId="77777777" w:rsidR="003A78E6" w:rsidRPr="00E32852" w:rsidRDefault="003A78E6" w:rsidP="005362C2">
            <w:pPr>
              <w:rPr>
                <w:rFonts w:ascii="Aptos" w:eastAsiaTheme="minorEastAsia" w:hAnsi="Aptos" w:cstheme="minorBidi"/>
                <w:sz w:val="20"/>
                <w:szCs w:val="20"/>
              </w:rPr>
            </w:pPr>
            <w:r w:rsidRPr="00E32852">
              <w:rPr>
                <w:rFonts w:ascii="Aptos" w:eastAsiaTheme="minorEastAsia" w:hAnsi="Aptos" w:cstheme="minorBidi"/>
                <w:sz w:val="20"/>
                <w:szCs w:val="20"/>
              </w:rPr>
              <w:t>The process of aggregating financial statements of multiple entities into one group report, eliminating intercompany transactions.</w:t>
            </w:r>
          </w:p>
        </w:tc>
      </w:tr>
      <w:tr w:rsidR="003A78E6" w:rsidRPr="00810188" w14:paraId="378C5C96" w14:textId="77777777" w:rsidTr="005362C2">
        <w:tc>
          <w:tcPr>
            <w:tcW w:w="1935" w:type="dxa"/>
            <w:vAlign w:val="center"/>
          </w:tcPr>
          <w:p w14:paraId="2967463F"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Intercompany Transaction</w:t>
            </w:r>
          </w:p>
        </w:tc>
        <w:tc>
          <w:tcPr>
            <w:tcW w:w="6213" w:type="dxa"/>
          </w:tcPr>
          <w:p w14:paraId="79FE9AFA" w14:textId="77777777" w:rsidR="003A78E6" w:rsidRPr="00E32852" w:rsidRDefault="003A78E6" w:rsidP="005362C2">
            <w:pPr>
              <w:rPr>
                <w:rFonts w:ascii="Aptos" w:eastAsiaTheme="minorEastAsia" w:hAnsi="Aptos" w:cstheme="minorBidi"/>
                <w:sz w:val="20"/>
                <w:szCs w:val="20"/>
              </w:rPr>
            </w:pPr>
            <w:r w:rsidRPr="00E32852">
              <w:rPr>
                <w:rFonts w:ascii="Aptos" w:eastAsiaTheme="minorEastAsia" w:hAnsi="Aptos" w:cstheme="minorBidi"/>
                <w:sz w:val="20"/>
                <w:szCs w:val="20"/>
              </w:rPr>
              <w:t>Any transaction between two or more entities under common control.</w:t>
            </w:r>
          </w:p>
        </w:tc>
      </w:tr>
      <w:tr w:rsidR="003A78E6" w:rsidRPr="00810188" w14:paraId="40B460F3" w14:textId="77777777" w:rsidTr="005362C2">
        <w:trPr>
          <w:trHeight w:val="300"/>
        </w:trPr>
        <w:tc>
          <w:tcPr>
            <w:tcW w:w="1935" w:type="dxa"/>
            <w:vAlign w:val="center"/>
          </w:tcPr>
          <w:p w14:paraId="1EC8B266"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Elimination</w:t>
            </w:r>
          </w:p>
        </w:tc>
        <w:tc>
          <w:tcPr>
            <w:tcW w:w="6213" w:type="dxa"/>
          </w:tcPr>
          <w:p w14:paraId="1470A69C" w14:textId="77777777" w:rsidR="003A78E6" w:rsidRPr="00E32852" w:rsidRDefault="003A78E6" w:rsidP="005362C2">
            <w:pPr>
              <w:rPr>
                <w:rFonts w:ascii="Aptos" w:eastAsiaTheme="minorEastAsia" w:hAnsi="Aptos" w:cstheme="minorBidi"/>
                <w:sz w:val="20"/>
                <w:szCs w:val="20"/>
              </w:rPr>
            </w:pPr>
            <w:r w:rsidRPr="00E32852">
              <w:rPr>
                <w:rFonts w:ascii="Aptos" w:eastAsiaTheme="minorEastAsia" w:hAnsi="Aptos" w:cstheme="minorBidi"/>
                <w:sz w:val="20"/>
                <w:szCs w:val="20"/>
              </w:rPr>
              <w:t>Adjusting financial results to remove internal transactions, balances, revenues, and expenses.</w:t>
            </w:r>
          </w:p>
        </w:tc>
      </w:tr>
      <w:tr w:rsidR="003A78E6" w:rsidRPr="00810188" w14:paraId="7EEDD318" w14:textId="77777777" w:rsidTr="005362C2">
        <w:trPr>
          <w:trHeight w:val="300"/>
        </w:trPr>
        <w:tc>
          <w:tcPr>
            <w:tcW w:w="1935" w:type="dxa"/>
            <w:vAlign w:val="center"/>
          </w:tcPr>
          <w:p w14:paraId="62F81F8B"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Unrealised Profit (URP)</w:t>
            </w:r>
          </w:p>
        </w:tc>
        <w:tc>
          <w:tcPr>
            <w:tcW w:w="6213" w:type="dxa"/>
          </w:tcPr>
          <w:p w14:paraId="63DF0C75" w14:textId="77777777" w:rsidR="003A78E6" w:rsidRPr="00E32852" w:rsidRDefault="003A78E6" w:rsidP="005362C2">
            <w:pPr>
              <w:rPr>
                <w:rFonts w:ascii="Aptos" w:eastAsiaTheme="minorEastAsia" w:hAnsi="Aptos" w:cstheme="minorBidi"/>
                <w:sz w:val="20"/>
                <w:szCs w:val="20"/>
              </w:rPr>
            </w:pPr>
            <w:r w:rsidRPr="00E32852">
              <w:rPr>
                <w:rFonts w:ascii="Aptos" w:eastAsiaTheme="minorEastAsia" w:hAnsi="Aptos" w:cstheme="minorBidi"/>
                <w:sz w:val="20"/>
                <w:szCs w:val="20"/>
              </w:rPr>
              <w:t>Profit arising from intercompany sales of goods/services that have not yet been sold to third parties.</w:t>
            </w:r>
          </w:p>
        </w:tc>
      </w:tr>
      <w:tr w:rsidR="003A78E6" w:rsidRPr="00810188" w14:paraId="21A45B5C" w14:textId="77777777" w:rsidTr="005362C2">
        <w:trPr>
          <w:trHeight w:val="300"/>
        </w:trPr>
        <w:tc>
          <w:tcPr>
            <w:tcW w:w="1935" w:type="dxa"/>
            <w:vAlign w:val="center"/>
          </w:tcPr>
          <w:p w14:paraId="04C843D2"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Functional Currency</w:t>
            </w:r>
          </w:p>
        </w:tc>
        <w:tc>
          <w:tcPr>
            <w:tcW w:w="6213" w:type="dxa"/>
          </w:tcPr>
          <w:p w14:paraId="11DE8BC2" w14:textId="77777777" w:rsidR="003A78E6" w:rsidRPr="00E32852" w:rsidRDefault="003A78E6" w:rsidP="005362C2">
            <w:pPr>
              <w:rPr>
                <w:rFonts w:ascii="Aptos" w:eastAsiaTheme="minorEastAsia" w:hAnsi="Aptos" w:cstheme="minorBidi"/>
                <w:sz w:val="20"/>
                <w:szCs w:val="20"/>
              </w:rPr>
            </w:pPr>
            <w:r w:rsidRPr="00E32852">
              <w:rPr>
                <w:rFonts w:ascii="Aptos" w:eastAsiaTheme="minorEastAsia" w:hAnsi="Aptos" w:cstheme="minorBidi"/>
                <w:sz w:val="20"/>
                <w:szCs w:val="20"/>
              </w:rPr>
              <w:t>The primary currency of the operating environment of an entity.</w:t>
            </w:r>
          </w:p>
        </w:tc>
      </w:tr>
      <w:tr w:rsidR="003A78E6" w:rsidRPr="00810188" w14:paraId="737EE0FD" w14:textId="77777777" w:rsidTr="005362C2">
        <w:tc>
          <w:tcPr>
            <w:tcW w:w="1935" w:type="dxa"/>
            <w:vAlign w:val="center"/>
          </w:tcPr>
          <w:p w14:paraId="39518FA5"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Presentation Currency</w:t>
            </w:r>
          </w:p>
        </w:tc>
        <w:tc>
          <w:tcPr>
            <w:tcW w:w="6213" w:type="dxa"/>
          </w:tcPr>
          <w:p w14:paraId="090081C4" w14:textId="77777777" w:rsidR="003A78E6" w:rsidRPr="00E32852" w:rsidRDefault="003A78E6" w:rsidP="005362C2">
            <w:pPr>
              <w:jc w:val="both"/>
              <w:rPr>
                <w:rFonts w:ascii="Aptos" w:eastAsiaTheme="minorEastAsia" w:hAnsi="Aptos" w:cstheme="minorBidi"/>
                <w:sz w:val="20"/>
                <w:szCs w:val="20"/>
              </w:rPr>
            </w:pPr>
            <w:r w:rsidRPr="00E32852">
              <w:rPr>
                <w:rFonts w:ascii="Aptos" w:eastAsiaTheme="minorEastAsia" w:hAnsi="Aptos" w:cstheme="minorBidi"/>
                <w:sz w:val="20"/>
                <w:szCs w:val="20"/>
              </w:rPr>
              <w:t>The currency in which group financials are reported</w:t>
            </w:r>
          </w:p>
        </w:tc>
      </w:tr>
      <w:tr w:rsidR="003A78E6" w:rsidRPr="00810188" w14:paraId="70EA31FF" w14:textId="77777777" w:rsidTr="005362C2">
        <w:tc>
          <w:tcPr>
            <w:tcW w:w="1935" w:type="dxa"/>
            <w:vAlign w:val="center"/>
          </w:tcPr>
          <w:p w14:paraId="658A513B"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Foreign Exchange (Forex) Differences</w:t>
            </w:r>
          </w:p>
        </w:tc>
        <w:tc>
          <w:tcPr>
            <w:tcW w:w="6213" w:type="dxa"/>
          </w:tcPr>
          <w:p w14:paraId="065B2013" w14:textId="77777777" w:rsidR="003A78E6" w:rsidRPr="00E32852" w:rsidRDefault="003A78E6" w:rsidP="005362C2">
            <w:pPr>
              <w:jc w:val="both"/>
              <w:rPr>
                <w:rFonts w:ascii="Aptos" w:eastAsiaTheme="minorEastAsia" w:hAnsi="Aptos" w:cstheme="minorBidi"/>
                <w:sz w:val="20"/>
                <w:szCs w:val="20"/>
              </w:rPr>
            </w:pPr>
            <w:r w:rsidRPr="00E32852">
              <w:rPr>
                <w:rFonts w:ascii="Aptos" w:eastAsiaTheme="minorEastAsia" w:hAnsi="Aptos" w:cstheme="minorBidi"/>
                <w:sz w:val="20"/>
                <w:szCs w:val="20"/>
              </w:rPr>
              <w:t>Gains or losses resulting from translation or revaluation of foreign currency balances.</w:t>
            </w:r>
          </w:p>
        </w:tc>
      </w:tr>
      <w:tr w:rsidR="003A78E6" w:rsidRPr="00810188" w14:paraId="14BD4093" w14:textId="77777777" w:rsidTr="005362C2">
        <w:tc>
          <w:tcPr>
            <w:tcW w:w="1935" w:type="dxa"/>
            <w:vAlign w:val="center"/>
          </w:tcPr>
          <w:p w14:paraId="638CED35"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Exchange Rate</w:t>
            </w:r>
          </w:p>
        </w:tc>
        <w:tc>
          <w:tcPr>
            <w:tcW w:w="6213" w:type="dxa"/>
          </w:tcPr>
          <w:p w14:paraId="307507E9" w14:textId="77777777" w:rsidR="003A78E6" w:rsidRPr="00E32852" w:rsidRDefault="003A78E6" w:rsidP="005362C2">
            <w:pPr>
              <w:jc w:val="both"/>
              <w:rPr>
                <w:rFonts w:ascii="Aptos" w:eastAsiaTheme="minorEastAsia" w:hAnsi="Aptos" w:cstheme="minorBidi"/>
                <w:sz w:val="20"/>
                <w:szCs w:val="20"/>
              </w:rPr>
            </w:pPr>
            <w:r w:rsidRPr="00E32852">
              <w:rPr>
                <w:rFonts w:ascii="Aptos" w:eastAsiaTheme="minorEastAsia" w:hAnsi="Aptos" w:cstheme="minorBidi"/>
                <w:sz w:val="20"/>
                <w:szCs w:val="20"/>
              </w:rPr>
              <w:t>The rate at which currency can be exchanged for another. This may include spot rates (current rates), average rates (over a specific period), and historical rates (rates at the time of specific transactions)</w:t>
            </w:r>
          </w:p>
        </w:tc>
      </w:tr>
      <w:tr w:rsidR="003A78E6" w:rsidRPr="00810188" w14:paraId="66DA50AB" w14:textId="77777777" w:rsidTr="005362C2">
        <w:tc>
          <w:tcPr>
            <w:tcW w:w="1935" w:type="dxa"/>
            <w:vAlign w:val="center"/>
          </w:tcPr>
          <w:p w14:paraId="3B631375"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Spot rate</w:t>
            </w:r>
          </w:p>
        </w:tc>
        <w:tc>
          <w:tcPr>
            <w:tcW w:w="6213" w:type="dxa"/>
          </w:tcPr>
          <w:p w14:paraId="62EE30FD" w14:textId="77777777" w:rsidR="003A78E6" w:rsidRPr="00E32852" w:rsidRDefault="003A78E6" w:rsidP="005362C2">
            <w:pPr>
              <w:jc w:val="both"/>
              <w:rPr>
                <w:rFonts w:ascii="Aptos" w:eastAsiaTheme="minorEastAsia" w:hAnsi="Aptos" w:cstheme="minorBidi"/>
                <w:sz w:val="20"/>
                <w:szCs w:val="20"/>
              </w:rPr>
            </w:pPr>
            <w:r w:rsidRPr="00E32852">
              <w:rPr>
                <w:rFonts w:ascii="Aptos" w:eastAsiaTheme="minorEastAsia" w:hAnsi="Aptos" w:cstheme="minorBidi"/>
                <w:sz w:val="20"/>
                <w:szCs w:val="20"/>
              </w:rPr>
              <w:t xml:space="preserve">The current exchange rate at which a currency can be exchanged for another currency for immediate delivery. </w:t>
            </w:r>
          </w:p>
        </w:tc>
      </w:tr>
      <w:tr w:rsidR="003A78E6" w:rsidRPr="00810188" w14:paraId="712F2C9E" w14:textId="77777777" w:rsidTr="005362C2">
        <w:tc>
          <w:tcPr>
            <w:tcW w:w="1935" w:type="dxa"/>
            <w:vAlign w:val="center"/>
          </w:tcPr>
          <w:p w14:paraId="6055AC80"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Average Rate</w:t>
            </w:r>
          </w:p>
        </w:tc>
        <w:tc>
          <w:tcPr>
            <w:tcW w:w="6213" w:type="dxa"/>
          </w:tcPr>
          <w:p w14:paraId="51C7986B" w14:textId="77777777" w:rsidR="003A78E6" w:rsidRPr="00E32852" w:rsidRDefault="003A78E6" w:rsidP="005362C2">
            <w:pPr>
              <w:jc w:val="both"/>
              <w:rPr>
                <w:rFonts w:ascii="Aptos" w:eastAsiaTheme="minorEastAsia" w:hAnsi="Aptos" w:cstheme="minorBidi"/>
                <w:sz w:val="20"/>
                <w:szCs w:val="20"/>
              </w:rPr>
            </w:pPr>
            <w:r w:rsidRPr="00E32852">
              <w:rPr>
                <w:rFonts w:ascii="Aptos" w:eastAsiaTheme="minorEastAsia" w:hAnsi="Aptos" w:cstheme="minorBidi"/>
                <w:sz w:val="20"/>
                <w:szCs w:val="20"/>
              </w:rPr>
              <w:t xml:space="preserve">The average exchange rate over a specific period, often used for translating income and expenses. </w:t>
            </w:r>
          </w:p>
        </w:tc>
      </w:tr>
      <w:tr w:rsidR="003A78E6" w:rsidRPr="00810188" w14:paraId="793AB17C" w14:textId="77777777" w:rsidTr="005362C2">
        <w:tc>
          <w:tcPr>
            <w:tcW w:w="1935" w:type="dxa"/>
            <w:vAlign w:val="center"/>
          </w:tcPr>
          <w:p w14:paraId="39CF8AE1" w14:textId="77777777" w:rsidR="003A78E6" w:rsidRPr="00E32852" w:rsidRDefault="003A78E6" w:rsidP="005362C2">
            <w:pPr>
              <w:rPr>
                <w:rFonts w:ascii="Aptos" w:eastAsiaTheme="minorEastAsia" w:hAnsi="Aptos" w:cstheme="minorBidi"/>
                <w:b/>
                <w:bCs/>
                <w:sz w:val="20"/>
                <w:szCs w:val="20"/>
              </w:rPr>
            </w:pPr>
            <w:r w:rsidRPr="00E32852">
              <w:rPr>
                <w:rFonts w:ascii="Aptos" w:eastAsiaTheme="minorEastAsia" w:hAnsi="Aptos" w:cstheme="minorBidi"/>
                <w:b/>
                <w:bCs/>
                <w:sz w:val="20"/>
                <w:szCs w:val="20"/>
              </w:rPr>
              <w:t>Historical Rate</w:t>
            </w:r>
          </w:p>
        </w:tc>
        <w:tc>
          <w:tcPr>
            <w:tcW w:w="6213" w:type="dxa"/>
          </w:tcPr>
          <w:p w14:paraId="6A0FBFB7" w14:textId="77777777" w:rsidR="003A78E6" w:rsidRPr="00E32852" w:rsidRDefault="003A78E6" w:rsidP="005362C2">
            <w:pPr>
              <w:jc w:val="both"/>
              <w:rPr>
                <w:rFonts w:ascii="Aptos" w:eastAsiaTheme="minorEastAsia" w:hAnsi="Aptos" w:cstheme="minorBidi"/>
                <w:sz w:val="20"/>
                <w:szCs w:val="20"/>
              </w:rPr>
            </w:pPr>
            <w:r w:rsidRPr="00E32852">
              <w:rPr>
                <w:rFonts w:ascii="Aptos" w:eastAsiaTheme="minorEastAsia" w:hAnsi="Aptos" w:cstheme="minorBidi"/>
                <w:sz w:val="20"/>
                <w:szCs w:val="20"/>
              </w:rPr>
              <w:t xml:space="preserve">The exchange rate at the date of a specific transaction, sued for translating assets and liabilities that were acquired or incurred at that time. </w:t>
            </w:r>
          </w:p>
        </w:tc>
      </w:tr>
    </w:tbl>
    <w:p w14:paraId="5BB7D25D" w14:textId="77777777" w:rsidR="003A78E6" w:rsidRPr="00810188" w:rsidRDefault="003A78E6" w:rsidP="003A78E6">
      <w:pPr>
        <w:pStyle w:val="ListParagraph"/>
        <w:autoSpaceDE w:val="0"/>
        <w:autoSpaceDN w:val="0"/>
        <w:adjustRightInd w:val="0"/>
        <w:spacing w:before="240"/>
        <w:ind w:left="792"/>
        <w:contextualSpacing w:val="0"/>
        <w:rPr>
          <w:rFonts w:ascii="Aptos" w:eastAsiaTheme="minorEastAsia" w:hAnsi="Aptos" w:cstheme="minorBidi"/>
          <w:sz w:val="22"/>
          <w:szCs w:val="22"/>
        </w:rPr>
      </w:pPr>
    </w:p>
    <w:p w14:paraId="360E1E6A" w14:textId="77777777" w:rsidR="003A78E6" w:rsidRPr="00810188" w:rsidRDefault="003A78E6" w:rsidP="003A78E6">
      <w:pPr>
        <w:pStyle w:val="ListParagraph"/>
        <w:autoSpaceDE w:val="0"/>
        <w:autoSpaceDN w:val="0"/>
        <w:adjustRightInd w:val="0"/>
        <w:spacing w:before="240"/>
        <w:ind w:left="792"/>
        <w:contextualSpacing w:val="0"/>
        <w:rPr>
          <w:rFonts w:ascii="Aptos" w:eastAsiaTheme="minorEastAsia" w:hAnsi="Aptos" w:cstheme="minorBidi"/>
          <w:sz w:val="22"/>
          <w:szCs w:val="22"/>
        </w:rPr>
      </w:pPr>
    </w:p>
    <w:p w14:paraId="56B1A02C" w14:textId="77777777" w:rsidR="003A78E6" w:rsidRPr="00810188" w:rsidRDefault="003A78E6" w:rsidP="003A78E6">
      <w:pPr>
        <w:pStyle w:val="ListParagraph"/>
        <w:autoSpaceDE w:val="0"/>
        <w:autoSpaceDN w:val="0"/>
        <w:adjustRightInd w:val="0"/>
        <w:spacing w:before="240"/>
        <w:ind w:left="792"/>
        <w:contextualSpacing w:val="0"/>
        <w:rPr>
          <w:rFonts w:ascii="Aptos" w:eastAsiaTheme="minorEastAsia" w:hAnsi="Aptos" w:cstheme="minorBidi"/>
          <w:sz w:val="22"/>
          <w:szCs w:val="22"/>
        </w:rPr>
      </w:pPr>
    </w:p>
    <w:p w14:paraId="775AA5C0" w14:textId="77777777" w:rsidR="003A78E6" w:rsidRPr="00810188" w:rsidRDefault="003A78E6" w:rsidP="003A78E6">
      <w:pPr>
        <w:pStyle w:val="ListParagraph"/>
        <w:autoSpaceDE w:val="0"/>
        <w:autoSpaceDN w:val="0"/>
        <w:adjustRightInd w:val="0"/>
        <w:spacing w:before="240"/>
        <w:ind w:left="792"/>
        <w:contextualSpacing w:val="0"/>
        <w:rPr>
          <w:rFonts w:ascii="Aptos" w:eastAsiaTheme="minorEastAsia" w:hAnsi="Aptos" w:cstheme="minorBidi"/>
          <w:sz w:val="22"/>
          <w:szCs w:val="22"/>
        </w:rPr>
      </w:pPr>
    </w:p>
    <w:p w14:paraId="6B95BAEC"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6A30D975"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6F1342BB"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50F3E8FB"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383DD880"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37A76EE2"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2D559969"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47EB2BA8"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23F6B60F"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4AB311C0" w14:textId="77777777" w:rsidR="003A78E6"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52BCC459" w14:textId="77777777" w:rsidR="003A78E6" w:rsidRPr="00810188" w:rsidRDefault="003A78E6" w:rsidP="003A78E6">
      <w:pPr>
        <w:autoSpaceDE w:val="0"/>
        <w:autoSpaceDN w:val="0"/>
        <w:adjustRightInd w:val="0"/>
        <w:spacing w:before="240" w:after="120"/>
        <w:jc w:val="both"/>
        <w:rPr>
          <w:rFonts w:ascii="Aptos" w:eastAsiaTheme="minorEastAsia" w:hAnsi="Aptos" w:cstheme="minorBidi"/>
          <w:b/>
          <w:color w:val="0F4761" w:themeColor="accent1" w:themeShade="BF"/>
          <w:sz w:val="22"/>
          <w:szCs w:val="22"/>
        </w:rPr>
      </w:pPr>
    </w:p>
    <w:p w14:paraId="2EC55CC1" w14:textId="77777777" w:rsidR="003A78E6" w:rsidRPr="00561185"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r w:rsidRPr="00561185">
        <w:rPr>
          <w:rFonts w:ascii="Aptos" w:hAnsi="Aptos" w:cstheme="minorBidi"/>
          <w:b/>
          <w:color w:val="0F4761" w:themeColor="accent1" w:themeShade="BF"/>
          <w:sz w:val="28"/>
          <w:szCs w:val="28"/>
        </w:rPr>
        <w:t>Consolidation &amp; Elimination Process</w:t>
      </w:r>
    </w:p>
    <w:p w14:paraId="64842A75" w14:textId="77777777" w:rsidR="003A78E6" w:rsidRPr="00FD69E6" w:rsidRDefault="003A78E6" w:rsidP="003A78E6">
      <w:pPr>
        <w:pStyle w:val="ListParagraph"/>
        <w:numPr>
          <w:ilvl w:val="1"/>
          <w:numId w:val="2"/>
        </w:numPr>
        <w:autoSpaceDE w:val="0"/>
        <w:autoSpaceDN w:val="0"/>
        <w:adjustRightInd w:val="0"/>
        <w:spacing w:before="120" w:after="120"/>
        <w:ind w:left="788" w:hanging="431"/>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Intercompany Transaction Governance</w:t>
      </w:r>
    </w:p>
    <w:p w14:paraId="3D5DBC3F" w14:textId="77777777" w:rsidR="003A78E6" w:rsidRPr="00FD69E6"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Overview</w:t>
      </w:r>
    </w:p>
    <w:p w14:paraId="500B8C63" w14:textId="77777777" w:rsidR="003A78E6" w:rsidRPr="00FD69E6" w:rsidRDefault="003A78E6" w:rsidP="003A78E6">
      <w:pPr>
        <w:spacing w:before="60" w:after="60" w:line="276" w:lineRule="auto"/>
        <w:ind w:left="1701" w:right="68"/>
        <w:rPr>
          <w:rFonts w:ascii="Aptos" w:eastAsia="Aptos" w:hAnsi="Aptos" w:cs="Aptos"/>
          <w:color w:val="000000" w:themeColor="text1"/>
          <w:sz w:val="22"/>
          <w:szCs w:val="22"/>
        </w:rPr>
      </w:pPr>
      <w:r w:rsidRPr="00FD69E6">
        <w:rPr>
          <w:rFonts w:ascii="Aptos" w:eastAsia="Aptos" w:hAnsi="Aptos" w:cs="Aptos"/>
          <w:color w:val="000000" w:themeColor="text1"/>
          <w:sz w:val="22"/>
          <w:szCs w:val="22"/>
        </w:rPr>
        <w:t>All Intercompany transactions must be initiated and recorded in accordance with Group accounting standards and local compliance regulations.</w:t>
      </w:r>
    </w:p>
    <w:p w14:paraId="66158116" w14:textId="77777777" w:rsidR="003A78E6" w:rsidRPr="00FD69E6" w:rsidRDefault="003A78E6" w:rsidP="003A78E6">
      <w:pPr>
        <w:spacing w:before="60" w:after="60" w:line="276" w:lineRule="auto"/>
        <w:ind w:left="1701" w:right="68"/>
        <w:rPr>
          <w:rFonts w:ascii="Aptos" w:eastAsia="Aptos" w:hAnsi="Aptos" w:cs="Aptos"/>
          <w:color w:val="000000" w:themeColor="text1"/>
          <w:sz w:val="22"/>
          <w:szCs w:val="22"/>
        </w:rPr>
      </w:pPr>
      <w:r w:rsidRPr="00FD69E6">
        <w:rPr>
          <w:rFonts w:ascii="Aptos" w:hAnsi="Aptos"/>
          <w:sz w:val="22"/>
          <w:szCs w:val="22"/>
        </w:rPr>
        <w:t>Each Intercompany transaction must comply with:</w:t>
      </w:r>
    </w:p>
    <w:p w14:paraId="62062200" w14:textId="77777777" w:rsidR="003A78E6" w:rsidRPr="00FD69E6" w:rsidRDefault="003A78E6" w:rsidP="003A78E6">
      <w:pPr>
        <w:pStyle w:val="ListParagraph"/>
        <w:numPr>
          <w:ilvl w:val="0"/>
          <w:numId w:val="4"/>
        </w:numPr>
        <w:spacing w:before="60" w:after="60" w:line="276" w:lineRule="auto"/>
        <w:ind w:left="2127" w:right="68"/>
        <w:rPr>
          <w:rFonts w:ascii="Aptos" w:eastAsia="Aptos" w:hAnsi="Aptos" w:cs="Aptos"/>
          <w:color w:val="000000" w:themeColor="text1"/>
          <w:sz w:val="22"/>
          <w:szCs w:val="22"/>
        </w:rPr>
      </w:pPr>
      <w:r w:rsidRPr="00FD69E6">
        <w:rPr>
          <w:rFonts w:ascii="Aptos" w:hAnsi="Aptos"/>
          <w:b/>
          <w:bCs/>
          <w:sz w:val="22"/>
          <w:szCs w:val="22"/>
        </w:rPr>
        <w:t>Documentation</w:t>
      </w:r>
      <w:r w:rsidRPr="00FD69E6">
        <w:rPr>
          <w:rFonts w:ascii="Aptos" w:hAnsi="Aptos"/>
          <w:sz w:val="22"/>
          <w:szCs w:val="22"/>
        </w:rPr>
        <w:t>: Supported by complete documentation, including contracts, invoices, and pricing support.</w:t>
      </w:r>
    </w:p>
    <w:p w14:paraId="20534141" w14:textId="77777777" w:rsidR="003A78E6" w:rsidRPr="00FD69E6" w:rsidRDefault="003A78E6" w:rsidP="003A78E6">
      <w:pPr>
        <w:pStyle w:val="ListParagraph"/>
        <w:numPr>
          <w:ilvl w:val="0"/>
          <w:numId w:val="4"/>
        </w:numPr>
        <w:spacing w:before="60" w:after="60" w:line="276" w:lineRule="auto"/>
        <w:ind w:left="2127" w:right="68"/>
        <w:rPr>
          <w:rFonts w:ascii="Aptos" w:eastAsia="Aptos" w:hAnsi="Aptos" w:cs="Aptos"/>
          <w:color w:val="000000" w:themeColor="text1"/>
          <w:sz w:val="22"/>
          <w:szCs w:val="22"/>
        </w:rPr>
      </w:pPr>
      <w:r w:rsidRPr="00FD69E6">
        <w:rPr>
          <w:rFonts w:ascii="Aptos" w:hAnsi="Aptos"/>
          <w:b/>
          <w:bCs/>
          <w:sz w:val="22"/>
          <w:szCs w:val="22"/>
        </w:rPr>
        <w:t>Tax requirements:</w:t>
      </w:r>
      <w:r w:rsidRPr="00FD69E6">
        <w:rPr>
          <w:rFonts w:ascii="Aptos" w:hAnsi="Aptos"/>
          <w:sz w:val="22"/>
          <w:szCs w:val="22"/>
        </w:rPr>
        <w:t xml:space="preserve"> Reviewed for tax implications such as VAT/GST, WHT, and PE risk.</w:t>
      </w:r>
    </w:p>
    <w:p w14:paraId="34FB19A1" w14:textId="77777777" w:rsidR="003A78E6" w:rsidRPr="00FD69E6" w:rsidRDefault="003A78E6" w:rsidP="003A78E6">
      <w:pPr>
        <w:pStyle w:val="ListParagraph"/>
        <w:numPr>
          <w:ilvl w:val="0"/>
          <w:numId w:val="4"/>
        </w:numPr>
        <w:spacing w:before="60" w:after="60" w:line="276" w:lineRule="auto"/>
        <w:ind w:left="2127" w:right="68"/>
        <w:rPr>
          <w:rFonts w:ascii="Aptos" w:eastAsia="Aptos" w:hAnsi="Aptos" w:cs="Aptos"/>
          <w:color w:val="000000" w:themeColor="text1"/>
          <w:sz w:val="22"/>
          <w:szCs w:val="22"/>
        </w:rPr>
      </w:pPr>
      <w:r w:rsidRPr="00FD69E6">
        <w:rPr>
          <w:rFonts w:ascii="Aptos" w:hAnsi="Aptos"/>
          <w:b/>
          <w:bCs/>
          <w:sz w:val="22"/>
          <w:szCs w:val="22"/>
        </w:rPr>
        <w:t>Accounting:</w:t>
      </w:r>
      <w:r w:rsidRPr="00FD69E6">
        <w:rPr>
          <w:rFonts w:ascii="Aptos" w:hAnsi="Aptos"/>
          <w:sz w:val="22"/>
          <w:szCs w:val="22"/>
        </w:rPr>
        <w:t xml:space="preserve"> Recorded in both entities’ ledgers with consistent transaction codes and values.</w:t>
      </w:r>
    </w:p>
    <w:p w14:paraId="2013061D" w14:textId="77777777" w:rsidR="003A78E6" w:rsidRPr="00FD69E6" w:rsidRDefault="003A78E6" w:rsidP="003A78E6">
      <w:pPr>
        <w:pStyle w:val="ListParagraph"/>
        <w:numPr>
          <w:ilvl w:val="0"/>
          <w:numId w:val="4"/>
        </w:numPr>
        <w:spacing w:before="60" w:after="60" w:line="276" w:lineRule="auto"/>
        <w:ind w:left="2127" w:right="68"/>
        <w:rPr>
          <w:rFonts w:ascii="Aptos" w:eastAsia="Aptos" w:hAnsi="Aptos" w:cs="Aptos"/>
          <w:color w:val="000000" w:themeColor="text1"/>
          <w:sz w:val="22"/>
          <w:szCs w:val="22"/>
        </w:rPr>
      </w:pPr>
      <w:r w:rsidRPr="00FD69E6">
        <w:rPr>
          <w:rFonts w:ascii="Aptos" w:hAnsi="Aptos"/>
          <w:b/>
          <w:bCs/>
          <w:sz w:val="22"/>
          <w:szCs w:val="22"/>
        </w:rPr>
        <w:lastRenderedPageBreak/>
        <w:t>Transaction matching:</w:t>
      </w:r>
      <w:r w:rsidRPr="00FD69E6">
        <w:rPr>
          <w:rFonts w:ascii="Aptos" w:hAnsi="Aptos"/>
          <w:sz w:val="22"/>
          <w:szCs w:val="22"/>
        </w:rPr>
        <w:t xml:space="preserve"> Matched within the same accounting period to ensure timely reconciliation and elimination. Reconciliations to be verified and approved by designated authority as per Responsibility and Approval matrix in Section 3.</w:t>
      </w:r>
    </w:p>
    <w:p w14:paraId="14DE4B19" w14:textId="77777777" w:rsidR="003A78E6" w:rsidRPr="00FD69E6" w:rsidRDefault="003A78E6" w:rsidP="003A78E6">
      <w:pPr>
        <w:pStyle w:val="ListParagraph"/>
        <w:numPr>
          <w:ilvl w:val="0"/>
          <w:numId w:val="4"/>
        </w:numPr>
        <w:spacing w:before="60" w:after="60" w:line="276" w:lineRule="auto"/>
        <w:ind w:left="2127" w:right="68"/>
        <w:rPr>
          <w:rFonts w:ascii="Aptos" w:hAnsi="Aptos"/>
          <w:b/>
          <w:bCs/>
          <w:sz w:val="22"/>
          <w:szCs w:val="22"/>
        </w:rPr>
      </w:pPr>
      <w:r w:rsidRPr="00FD69E6">
        <w:rPr>
          <w:rFonts w:ascii="Aptos" w:hAnsi="Aptos"/>
          <w:b/>
          <w:bCs/>
          <w:sz w:val="22"/>
          <w:szCs w:val="22"/>
        </w:rPr>
        <w:t>Disputes</w:t>
      </w:r>
      <w:r w:rsidRPr="00FD69E6">
        <w:rPr>
          <w:rFonts w:ascii="Aptos" w:hAnsi="Aptos"/>
          <w:sz w:val="22"/>
          <w:szCs w:val="22"/>
        </w:rPr>
        <w:t>: Disputes between subsidiaries regarding intercompany transactions must be escalated for resolution within 30 days.</w:t>
      </w:r>
    </w:p>
    <w:p w14:paraId="2EF3B947" w14:textId="77777777" w:rsidR="003A78E6" w:rsidRPr="00FD69E6"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Pricing and Transfer Pricing Alignment</w:t>
      </w:r>
    </w:p>
    <w:p w14:paraId="57179F4D" w14:textId="77777777" w:rsidR="003A78E6" w:rsidRPr="00FD69E6" w:rsidRDefault="003A78E6" w:rsidP="003A78E6">
      <w:pPr>
        <w:pStyle w:val="ListParagraph"/>
        <w:autoSpaceDE w:val="0"/>
        <w:autoSpaceDN w:val="0"/>
        <w:adjustRightInd w:val="0"/>
        <w:spacing w:before="120" w:after="120"/>
        <w:ind w:left="1701"/>
        <w:contextualSpacing w:val="0"/>
        <w:rPr>
          <w:rFonts w:ascii="Aptos" w:eastAsiaTheme="minorEastAsia" w:hAnsi="Aptos" w:cstheme="minorBidi"/>
          <w:b/>
          <w:bCs/>
          <w:sz w:val="22"/>
          <w:szCs w:val="22"/>
        </w:rPr>
      </w:pPr>
      <w:r w:rsidRPr="00FD69E6">
        <w:rPr>
          <w:rFonts w:ascii="Aptos" w:hAnsi="Aptos"/>
          <w:sz w:val="22"/>
          <w:szCs w:val="22"/>
        </w:rPr>
        <w:t>All Intercompany charges must:</w:t>
      </w:r>
    </w:p>
    <w:p w14:paraId="404723E4" w14:textId="77777777" w:rsidR="003A78E6" w:rsidRPr="00FD69E6" w:rsidRDefault="003A78E6" w:rsidP="003A78E6">
      <w:pPr>
        <w:pStyle w:val="ListParagraph"/>
        <w:numPr>
          <w:ilvl w:val="0"/>
          <w:numId w:val="4"/>
        </w:numPr>
        <w:spacing w:before="60" w:after="60" w:line="276" w:lineRule="auto"/>
        <w:ind w:left="2126" w:right="68" w:hanging="357"/>
        <w:contextualSpacing w:val="0"/>
        <w:rPr>
          <w:rFonts w:ascii="Aptos" w:hAnsi="Aptos"/>
          <w:sz w:val="22"/>
          <w:szCs w:val="22"/>
        </w:rPr>
      </w:pPr>
      <w:r w:rsidRPr="00FD69E6">
        <w:rPr>
          <w:rFonts w:ascii="Aptos" w:hAnsi="Aptos"/>
          <w:sz w:val="22"/>
          <w:szCs w:val="22"/>
        </w:rPr>
        <w:t>Reflect the economic substance of the transaction.</w:t>
      </w:r>
    </w:p>
    <w:p w14:paraId="0438B048" w14:textId="77777777" w:rsidR="003A78E6" w:rsidRPr="00FD69E6" w:rsidRDefault="003A78E6" w:rsidP="003A78E6">
      <w:pPr>
        <w:pStyle w:val="ListParagraph"/>
        <w:numPr>
          <w:ilvl w:val="0"/>
          <w:numId w:val="4"/>
        </w:numPr>
        <w:spacing w:before="60" w:after="60" w:line="276" w:lineRule="auto"/>
        <w:ind w:left="2126" w:right="68" w:hanging="357"/>
        <w:contextualSpacing w:val="0"/>
        <w:rPr>
          <w:rFonts w:ascii="Aptos" w:hAnsi="Aptos"/>
          <w:sz w:val="22"/>
          <w:szCs w:val="22"/>
        </w:rPr>
      </w:pPr>
      <w:r w:rsidRPr="00FD69E6">
        <w:rPr>
          <w:rFonts w:ascii="Aptos" w:hAnsi="Aptos"/>
          <w:sz w:val="22"/>
          <w:szCs w:val="22"/>
        </w:rPr>
        <w:t>Be consistent with the Group's Transfer Pricing policy.</w:t>
      </w:r>
    </w:p>
    <w:p w14:paraId="0DCF7474" w14:textId="77777777" w:rsidR="003A78E6" w:rsidRPr="00FD69E6" w:rsidRDefault="003A78E6" w:rsidP="003A78E6">
      <w:pPr>
        <w:pStyle w:val="ListParagraph"/>
        <w:numPr>
          <w:ilvl w:val="0"/>
          <w:numId w:val="4"/>
        </w:numPr>
        <w:spacing w:before="60" w:after="60" w:line="276" w:lineRule="auto"/>
        <w:ind w:left="2126" w:right="68" w:hanging="357"/>
        <w:contextualSpacing w:val="0"/>
        <w:rPr>
          <w:rFonts w:ascii="Aptos" w:hAnsi="Aptos"/>
          <w:sz w:val="22"/>
          <w:szCs w:val="22"/>
        </w:rPr>
      </w:pPr>
      <w:r w:rsidRPr="00FD69E6">
        <w:rPr>
          <w:rFonts w:ascii="Aptos" w:hAnsi="Aptos"/>
          <w:sz w:val="22"/>
          <w:szCs w:val="22"/>
        </w:rPr>
        <w:t>Be reviewed annually to ensure compliance with statutory audit and tax requirements.</w:t>
      </w:r>
    </w:p>
    <w:p w14:paraId="6AB345C1" w14:textId="77777777" w:rsidR="003A78E6" w:rsidRPr="00FD69E6" w:rsidRDefault="003A78E6" w:rsidP="003A78E6">
      <w:pPr>
        <w:pStyle w:val="ListParagraph"/>
        <w:numPr>
          <w:ilvl w:val="0"/>
          <w:numId w:val="4"/>
        </w:numPr>
        <w:spacing w:before="60" w:after="60" w:line="276" w:lineRule="auto"/>
        <w:ind w:left="2126" w:right="68" w:hanging="357"/>
        <w:contextualSpacing w:val="0"/>
        <w:rPr>
          <w:rFonts w:ascii="Aptos" w:hAnsi="Aptos"/>
          <w:sz w:val="22"/>
          <w:szCs w:val="22"/>
        </w:rPr>
      </w:pPr>
      <w:r w:rsidRPr="00FD69E6">
        <w:rPr>
          <w:rFonts w:ascii="Aptos" w:hAnsi="Aptos"/>
          <w:sz w:val="22"/>
          <w:szCs w:val="22"/>
        </w:rPr>
        <w:t>Have clearly defined markup/margin calculations where applicable.</w:t>
      </w:r>
    </w:p>
    <w:p w14:paraId="7A87DF1E" w14:textId="77777777" w:rsidR="003A78E6" w:rsidRPr="00FD69E6" w:rsidRDefault="003A78E6" w:rsidP="003A78E6">
      <w:pPr>
        <w:pStyle w:val="ListParagraph"/>
        <w:numPr>
          <w:ilvl w:val="1"/>
          <w:numId w:val="2"/>
        </w:numPr>
        <w:autoSpaceDE w:val="0"/>
        <w:autoSpaceDN w:val="0"/>
        <w:adjustRightInd w:val="0"/>
        <w:spacing w:beforeLines="60" w:before="144" w:afterLines="60" w:after="144"/>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Consolidation Methodology</w:t>
      </w:r>
    </w:p>
    <w:p w14:paraId="49877237" w14:textId="77777777" w:rsidR="003A78E6" w:rsidRPr="00FD69E6" w:rsidRDefault="003A78E6" w:rsidP="003A78E6">
      <w:pPr>
        <w:pStyle w:val="ListParagraph"/>
        <w:numPr>
          <w:ilvl w:val="2"/>
          <w:numId w:val="2"/>
        </w:numPr>
        <w:autoSpaceDE w:val="0"/>
        <w:autoSpaceDN w:val="0"/>
        <w:adjustRightInd w:val="0"/>
        <w:spacing w:beforeLines="60" w:before="144" w:afterLines="60" w:after="144"/>
        <w:ind w:left="1701" w:hanging="839"/>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Full Consolidation method</w:t>
      </w:r>
    </w:p>
    <w:p w14:paraId="6C358C9B" w14:textId="67CA2C8A" w:rsidR="003A78E6" w:rsidRPr="00FD69E6" w:rsidRDefault="003A78E6" w:rsidP="003A78E6">
      <w:pPr>
        <w:pStyle w:val="ListParagraph"/>
        <w:numPr>
          <w:ilvl w:val="3"/>
          <w:numId w:val="2"/>
        </w:numPr>
        <w:autoSpaceDE w:val="0"/>
        <w:autoSpaceDN w:val="0"/>
        <w:adjustRightInd w:val="0"/>
        <w:spacing w:beforeLines="60" w:before="144" w:afterLines="60" w:after="144"/>
        <w:ind w:left="2126" w:hanging="357"/>
        <w:contextualSpacing w:val="0"/>
        <w:rPr>
          <w:rFonts w:ascii="Aptos" w:eastAsiaTheme="minorEastAsia" w:hAnsi="Aptos" w:cstheme="minorBidi"/>
          <w:sz w:val="22"/>
          <w:szCs w:val="22"/>
        </w:rPr>
      </w:pPr>
      <w:r w:rsidRPr="00FD69E6">
        <w:rPr>
          <w:rStyle w:val="Strong"/>
          <w:rFonts w:ascii="Aptos" w:hAnsi="Aptos"/>
          <w:sz w:val="22"/>
          <w:szCs w:val="22"/>
        </w:rPr>
        <w:t>Applicability</w:t>
      </w:r>
      <w:r w:rsidRPr="00FD69E6">
        <w:rPr>
          <w:rFonts w:ascii="Aptos" w:hAnsi="Aptos"/>
          <w:sz w:val="22"/>
          <w:szCs w:val="22"/>
        </w:rPr>
        <w:t xml:space="preserve">: Applied when the parent has </w:t>
      </w:r>
      <w:r w:rsidRPr="00FD69E6">
        <w:rPr>
          <w:rStyle w:val="Strong"/>
          <w:rFonts w:ascii="Aptos" w:hAnsi="Aptos"/>
          <w:sz w:val="22"/>
          <w:szCs w:val="22"/>
        </w:rPr>
        <w:t>control</w:t>
      </w:r>
      <w:r w:rsidRPr="00FD69E6">
        <w:rPr>
          <w:rFonts w:ascii="Aptos" w:hAnsi="Aptos"/>
          <w:sz w:val="22"/>
          <w:szCs w:val="22"/>
        </w:rPr>
        <w:t xml:space="preserve"> over a subsidiary. Control is established when the parent has. </w:t>
      </w:r>
      <w:r w:rsidRPr="00FD69E6">
        <w:rPr>
          <w:rFonts w:ascii="Aptos" w:eastAsia="Aptos" w:hAnsi="Aptos" w:cs="Aptos"/>
          <w:color w:val="000000" w:themeColor="text1"/>
          <w:sz w:val="22"/>
          <w:szCs w:val="22"/>
        </w:rPr>
        <w:t xml:space="preserve">For Consolidation under statutory requirements, </w:t>
      </w:r>
      <w:r w:rsidR="00C112D7">
        <w:rPr>
          <w:rFonts w:ascii="Aptos" w:eastAsia="Aptos" w:hAnsi="Aptos" w:cs="Aptos"/>
          <w:color w:val="000000" w:themeColor="text1"/>
          <w:sz w:val="22"/>
          <w:szCs w:val="22"/>
        </w:rPr>
        <w:t>client</w:t>
      </w:r>
      <w:r w:rsidRPr="00FD69E6">
        <w:rPr>
          <w:rFonts w:ascii="Aptos" w:eastAsia="Aptos" w:hAnsi="Aptos" w:cs="Aptos"/>
          <w:color w:val="000000" w:themeColor="text1"/>
          <w:sz w:val="22"/>
          <w:szCs w:val="22"/>
        </w:rPr>
        <w:t xml:space="preserve"> will evaluate its control over the group entities in the form of equity holding or significant influence to direct the operations of the respective entities.</w:t>
      </w:r>
    </w:p>
    <w:p w14:paraId="5D601456"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Power over the investee (through voting rights, governing documents, etc.),</w:t>
      </w:r>
    </w:p>
    <w:p w14:paraId="49F91529"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Exposure, or rights, to variable returns from involvement with the investee, and</w:t>
      </w:r>
    </w:p>
    <w:p w14:paraId="73ADB1A3"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The ability to use its power over the investee to affect the amount of the investor’s returns.</w:t>
      </w:r>
    </w:p>
    <w:p w14:paraId="6984C20F" w14:textId="77777777" w:rsidR="003A78E6" w:rsidRPr="00FD69E6" w:rsidRDefault="003A78E6" w:rsidP="003A78E6">
      <w:pPr>
        <w:pStyle w:val="ListParagraph"/>
        <w:numPr>
          <w:ilvl w:val="3"/>
          <w:numId w:val="2"/>
        </w:numPr>
        <w:autoSpaceDE w:val="0"/>
        <w:autoSpaceDN w:val="0"/>
        <w:adjustRightInd w:val="0"/>
        <w:spacing w:beforeLines="60" w:before="144" w:afterLines="60" w:after="144"/>
        <w:ind w:left="2126" w:hanging="357"/>
        <w:contextualSpacing w:val="0"/>
        <w:rPr>
          <w:rFonts w:ascii="Aptos" w:eastAsiaTheme="minorEastAsia" w:hAnsi="Aptos" w:cstheme="minorBidi"/>
          <w:sz w:val="22"/>
          <w:szCs w:val="22"/>
        </w:rPr>
      </w:pPr>
      <w:r w:rsidRPr="00FD69E6">
        <w:rPr>
          <w:rFonts w:ascii="Aptos" w:eastAsiaTheme="minorEastAsia" w:hAnsi="Aptos" w:cstheme="minorBidi"/>
          <w:b/>
          <w:bCs/>
          <w:sz w:val="22"/>
          <w:szCs w:val="22"/>
        </w:rPr>
        <w:t>Recognition:</w:t>
      </w:r>
      <w:r w:rsidRPr="00FD69E6">
        <w:rPr>
          <w:rFonts w:ascii="Aptos" w:eastAsiaTheme="minorEastAsia" w:hAnsi="Aptos" w:cstheme="minorBidi"/>
          <w:sz w:val="22"/>
          <w:szCs w:val="22"/>
        </w:rPr>
        <w:t xml:space="preserve"> </w:t>
      </w:r>
    </w:p>
    <w:p w14:paraId="25159F6E"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The parent consolidates 100% of the subsidiary’s assets, liabilities, revenues, and expenses, regardless of the parent’s ownership percentage.</w:t>
      </w:r>
    </w:p>
    <w:p w14:paraId="4991FA9B"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Non-Controlling Interests (NCI) are presented separately in the equity section of the consolidated balance sheet.</w:t>
      </w:r>
    </w:p>
    <w:p w14:paraId="0047D644" w14:textId="77777777" w:rsidR="003A78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Intercompany transactions, balances, and unrealised profits are eliminated in full.</w:t>
      </w:r>
    </w:p>
    <w:p w14:paraId="77A8179E" w14:textId="77777777" w:rsidR="00C057B1" w:rsidRDefault="00C057B1" w:rsidP="00C057B1">
      <w:pPr>
        <w:autoSpaceDE w:val="0"/>
        <w:autoSpaceDN w:val="0"/>
        <w:adjustRightInd w:val="0"/>
        <w:spacing w:beforeLines="60" w:before="144" w:afterLines="60" w:after="144"/>
        <w:rPr>
          <w:rFonts w:ascii="Aptos" w:hAnsi="Aptos"/>
          <w:sz w:val="22"/>
          <w:szCs w:val="22"/>
        </w:rPr>
      </w:pPr>
    </w:p>
    <w:p w14:paraId="17B2FA69" w14:textId="77777777" w:rsidR="00C057B1" w:rsidRDefault="00C057B1" w:rsidP="00C057B1">
      <w:pPr>
        <w:autoSpaceDE w:val="0"/>
        <w:autoSpaceDN w:val="0"/>
        <w:adjustRightInd w:val="0"/>
        <w:spacing w:beforeLines="60" w:before="144" w:afterLines="60" w:after="144"/>
        <w:rPr>
          <w:rFonts w:ascii="Aptos" w:hAnsi="Aptos"/>
          <w:sz w:val="22"/>
          <w:szCs w:val="22"/>
        </w:rPr>
      </w:pPr>
    </w:p>
    <w:p w14:paraId="73360979" w14:textId="77777777" w:rsidR="00C057B1" w:rsidRPr="00C057B1" w:rsidRDefault="00C057B1" w:rsidP="00C057B1">
      <w:pPr>
        <w:autoSpaceDE w:val="0"/>
        <w:autoSpaceDN w:val="0"/>
        <w:adjustRightInd w:val="0"/>
        <w:spacing w:beforeLines="60" w:before="144" w:afterLines="60" w:after="144"/>
        <w:rPr>
          <w:rFonts w:ascii="Aptos" w:hAnsi="Aptos"/>
          <w:sz w:val="22"/>
          <w:szCs w:val="22"/>
        </w:rPr>
      </w:pPr>
    </w:p>
    <w:p w14:paraId="5EF3ACE4" w14:textId="77777777" w:rsidR="003A78E6" w:rsidRPr="00FD69E6" w:rsidRDefault="003A78E6" w:rsidP="003A78E6">
      <w:pPr>
        <w:pStyle w:val="ListParagraph"/>
        <w:numPr>
          <w:ilvl w:val="2"/>
          <w:numId w:val="2"/>
        </w:numPr>
        <w:autoSpaceDE w:val="0"/>
        <w:autoSpaceDN w:val="0"/>
        <w:adjustRightInd w:val="0"/>
        <w:spacing w:beforeLines="60" w:before="144" w:afterLines="60" w:after="144"/>
        <w:ind w:left="1701" w:hanging="839"/>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Equity Method</w:t>
      </w:r>
    </w:p>
    <w:p w14:paraId="453C9DE4" w14:textId="77777777" w:rsidR="003A78E6" w:rsidRPr="00FD69E6" w:rsidRDefault="003A78E6" w:rsidP="003A78E6">
      <w:pPr>
        <w:pStyle w:val="ListParagraph"/>
        <w:numPr>
          <w:ilvl w:val="3"/>
          <w:numId w:val="2"/>
        </w:numPr>
        <w:autoSpaceDE w:val="0"/>
        <w:autoSpaceDN w:val="0"/>
        <w:adjustRightInd w:val="0"/>
        <w:spacing w:beforeLines="60" w:before="144" w:afterLines="60" w:after="144"/>
        <w:ind w:left="2126" w:hanging="357"/>
        <w:contextualSpacing w:val="0"/>
        <w:rPr>
          <w:rFonts w:ascii="Aptos" w:eastAsiaTheme="minorEastAsia" w:hAnsi="Aptos" w:cstheme="minorBidi"/>
          <w:sz w:val="22"/>
          <w:szCs w:val="22"/>
        </w:rPr>
      </w:pPr>
      <w:r w:rsidRPr="00FD69E6">
        <w:rPr>
          <w:rFonts w:ascii="Aptos" w:eastAsiaTheme="minorEastAsia" w:hAnsi="Aptos" w:cstheme="minorBidi"/>
          <w:b/>
          <w:bCs/>
          <w:sz w:val="22"/>
          <w:szCs w:val="22"/>
        </w:rPr>
        <w:t>Applicability:</w:t>
      </w:r>
      <w:r w:rsidRPr="00FD69E6">
        <w:rPr>
          <w:rFonts w:ascii="Aptos" w:eastAsiaTheme="minorEastAsia" w:hAnsi="Aptos" w:cstheme="minorBidi"/>
          <w:sz w:val="22"/>
          <w:szCs w:val="22"/>
        </w:rPr>
        <w:t xml:space="preserve"> </w:t>
      </w:r>
    </w:p>
    <w:p w14:paraId="41820DBE"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Used when the parent has significant influence over an associate, usually indicated by ownership of 20% to 50% of voting rights.</w:t>
      </w:r>
    </w:p>
    <w:p w14:paraId="35560AAA"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Also used for joint ventures, where two or more parties have joint control, per IFRS 11.</w:t>
      </w:r>
    </w:p>
    <w:p w14:paraId="40E3F107" w14:textId="77777777" w:rsidR="003A78E6" w:rsidRPr="00FD69E6" w:rsidRDefault="003A78E6" w:rsidP="003A78E6">
      <w:pPr>
        <w:pStyle w:val="ListParagraph"/>
        <w:numPr>
          <w:ilvl w:val="3"/>
          <w:numId w:val="2"/>
        </w:numPr>
        <w:autoSpaceDE w:val="0"/>
        <w:autoSpaceDN w:val="0"/>
        <w:adjustRightInd w:val="0"/>
        <w:spacing w:beforeLines="60" w:before="144" w:afterLines="60" w:after="144"/>
        <w:ind w:left="2126" w:hanging="357"/>
        <w:contextualSpacing w:val="0"/>
        <w:rPr>
          <w:rFonts w:ascii="Aptos" w:eastAsiaTheme="minorEastAsia" w:hAnsi="Aptos" w:cstheme="minorBidi"/>
          <w:sz w:val="22"/>
          <w:szCs w:val="22"/>
        </w:rPr>
      </w:pPr>
      <w:r w:rsidRPr="00FD69E6">
        <w:rPr>
          <w:rFonts w:ascii="Aptos" w:eastAsiaTheme="minorEastAsia" w:hAnsi="Aptos" w:cstheme="minorBidi"/>
          <w:b/>
          <w:bCs/>
          <w:sz w:val="22"/>
          <w:szCs w:val="22"/>
        </w:rPr>
        <w:t>Recognition:</w:t>
      </w:r>
      <w:r w:rsidRPr="00FD69E6">
        <w:rPr>
          <w:rFonts w:ascii="Aptos" w:eastAsiaTheme="minorEastAsia" w:hAnsi="Aptos" w:cstheme="minorBidi"/>
          <w:sz w:val="22"/>
          <w:szCs w:val="22"/>
        </w:rPr>
        <w:t xml:space="preserve"> </w:t>
      </w:r>
    </w:p>
    <w:p w14:paraId="03A26826"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The investment is initially recognised at cost and adjusted thereafter for the investor’s share of the investee’s profit or loss.</w:t>
      </w:r>
    </w:p>
    <w:p w14:paraId="08821BAD"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The investor’s share of profit or loss is recognised in its income statement.</w:t>
      </w:r>
    </w:p>
    <w:p w14:paraId="026C7339"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Dividends received reduce the carrying amount of the investment.</w:t>
      </w:r>
    </w:p>
    <w:p w14:paraId="158D0E1A"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Any difference between the cost of acquisition and the investor’s share of the net fair value of the investee’s identifiable assets and liabilities is accounted for as goodwill or gain on bargain purchase.</w:t>
      </w:r>
    </w:p>
    <w:p w14:paraId="5F62BE5B" w14:textId="77777777" w:rsidR="003A78E6" w:rsidRPr="00FD69E6" w:rsidRDefault="003A78E6" w:rsidP="003A78E6">
      <w:pPr>
        <w:pStyle w:val="ListParagraph"/>
        <w:numPr>
          <w:ilvl w:val="2"/>
          <w:numId w:val="2"/>
        </w:numPr>
        <w:tabs>
          <w:tab w:val="left" w:pos="4678"/>
        </w:tabs>
        <w:autoSpaceDE w:val="0"/>
        <w:autoSpaceDN w:val="0"/>
        <w:adjustRightInd w:val="0"/>
        <w:spacing w:beforeLines="60" w:before="144" w:afterLines="60" w:after="144"/>
        <w:ind w:left="1644" w:hanging="839"/>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Guidelines for selecting the appropriate method</w:t>
      </w:r>
    </w:p>
    <w:p w14:paraId="6A2DA1C4" w14:textId="77777777" w:rsidR="003A78E6" w:rsidRPr="00FD69E6" w:rsidRDefault="003A78E6" w:rsidP="003A78E6">
      <w:pPr>
        <w:pStyle w:val="ListParagraph"/>
        <w:numPr>
          <w:ilvl w:val="3"/>
          <w:numId w:val="2"/>
        </w:numPr>
        <w:tabs>
          <w:tab w:val="left" w:pos="4678"/>
        </w:tabs>
        <w:autoSpaceDE w:val="0"/>
        <w:autoSpaceDN w:val="0"/>
        <w:adjustRightInd w:val="0"/>
        <w:spacing w:beforeLines="60" w:before="144" w:afterLines="60" w:after="144"/>
        <w:ind w:left="2126" w:hanging="357"/>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Control:</w:t>
      </w:r>
      <w:r w:rsidRPr="00FD69E6">
        <w:rPr>
          <w:rFonts w:ascii="Aptos" w:eastAsiaTheme="minorEastAsia" w:hAnsi="Aptos" w:cstheme="minorBidi"/>
          <w:sz w:val="22"/>
          <w:szCs w:val="22"/>
        </w:rPr>
        <w:t xml:space="preserve"> The level of control exerted by the parent company over the subsidiary or associate must be assessed to determine the appropriate consolidation method. </w:t>
      </w:r>
    </w:p>
    <w:p w14:paraId="73A3CDF1" w14:textId="77777777" w:rsidR="003A78E6" w:rsidRPr="00FD69E6" w:rsidRDefault="003A78E6" w:rsidP="003A78E6">
      <w:pPr>
        <w:pStyle w:val="ListParagraph"/>
        <w:numPr>
          <w:ilvl w:val="3"/>
          <w:numId w:val="2"/>
        </w:numPr>
        <w:tabs>
          <w:tab w:val="left" w:pos="4678"/>
        </w:tabs>
        <w:autoSpaceDE w:val="0"/>
        <w:autoSpaceDN w:val="0"/>
        <w:adjustRightInd w:val="0"/>
        <w:spacing w:beforeLines="60" w:before="144" w:afterLines="60" w:after="144"/>
        <w:ind w:left="2126" w:hanging="357"/>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Ownership:</w:t>
      </w:r>
      <w:r w:rsidRPr="00FD69E6">
        <w:rPr>
          <w:rFonts w:ascii="Aptos" w:eastAsiaTheme="minorEastAsia" w:hAnsi="Aptos" w:cstheme="minorBidi"/>
          <w:sz w:val="22"/>
          <w:szCs w:val="22"/>
        </w:rPr>
        <w:t xml:space="preserve"> The percentage of ownership and the rights associated with it should be considered. </w:t>
      </w:r>
    </w:p>
    <w:p w14:paraId="6E208C69" w14:textId="77777777" w:rsidR="003A78E6" w:rsidRPr="00FD69E6" w:rsidRDefault="003A78E6" w:rsidP="003A78E6">
      <w:pPr>
        <w:pStyle w:val="ListParagraph"/>
        <w:numPr>
          <w:ilvl w:val="3"/>
          <w:numId w:val="2"/>
        </w:numPr>
        <w:tabs>
          <w:tab w:val="left" w:pos="4678"/>
        </w:tabs>
        <w:autoSpaceDE w:val="0"/>
        <w:autoSpaceDN w:val="0"/>
        <w:adjustRightInd w:val="0"/>
        <w:spacing w:beforeLines="60" w:before="144" w:afterLines="60" w:after="144"/>
        <w:ind w:left="2126" w:hanging="357"/>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Relationship:</w:t>
      </w:r>
      <w:r w:rsidRPr="00FD69E6">
        <w:rPr>
          <w:rFonts w:ascii="Aptos" w:eastAsiaTheme="minorEastAsia" w:hAnsi="Aptos" w:cstheme="minorBidi"/>
          <w:sz w:val="22"/>
          <w:szCs w:val="22"/>
        </w:rPr>
        <w:t xml:space="preserve"> The nature of the relationship between the parent and the subsidiary or associate, including any contractual agreements, must be evaluated. </w:t>
      </w:r>
    </w:p>
    <w:p w14:paraId="71B78DB4" w14:textId="77777777" w:rsidR="003A78E6" w:rsidRPr="00FD69E6" w:rsidRDefault="003A78E6" w:rsidP="003A78E6">
      <w:pPr>
        <w:pStyle w:val="ListParagraph"/>
        <w:numPr>
          <w:ilvl w:val="3"/>
          <w:numId w:val="2"/>
        </w:numPr>
        <w:tabs>
          <w:tab w:val="left" w:pos="4678"/>
        </w:tabs>
        <w:autoSpaceDE w:val="0"/>
        <w:autoSpaceDN w:val="0"/>
        <w:adjustRightInd w:val="0"/>
        <w:spacing w:beforeLines="60" w:before="144" w:afterLines="60" w:after="144"/>
        <w:ind w:left="2126" w:hanging="357"/>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Compliance:</w:t>
      </w:r>
      <w:r w:rsidRPr="00FD69E6">
        <w:rPr>
          <w:rFonts w:ascii="Aptos" w:eastAsiaTheme="minorEastAsia" w:hAnsi="Aptos" w:cstheme="minorBidi"/>
          <w:sz w:val="22"/>
          <w:szCs w:val="22"/>
        </w:rPr>
        <w:t xml:space="preserve"> Compliance with relevant accounting standards (e.g., IFRS, GAAP) is essential in determining the appropriate consolidation method. Need to obtain approval as per Responsibility and approval matrix in Section 3 for selection of Consolidation method.</w:t>
      </w:r>
    </w:p>
    <w:p w14:paraId="29C43272" w14:textId="77777777" w:rsidR="003A78E6" w:rsidRPr="00FD69E6" w:rsidRDefault="003A78E6" w:rsidP="003A78E6">
      <w:pPr>
        <w:pStyle w:val="ListParagraph"/>
        <w:numPr>
          <w:ilvl w:val="1"/>
          <w:numId w:val="2"/>
        </w:numPr>
        <w:autoSpaceDE w:val="0"/>
        <w:autoSpaceDN w:val="0"/>
        <w:adjustRightInd w:val="0"/>
        <w:spacing w:before="120" w:after="120"/>
        <w:ind w:left="788" w:hanging="431"/>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Consolidation Frequency and Reporting Levels</w:t>
      </w:r>
    </w:p>
    <w:p w14:paraId="66D00339" w14:textId="47E3C9E5" w:rsidR="003A78E6" w:rsidRPr="00FD69E6" w:rsidRDefault="003A78E6" w:rsidP="003A78E6">
      <w:pPr>
        <w:pStyle w:val="ListParagraph"/>
        <w:numPr>
          <w:ilvl w:val="2"/>
          <w:numId w:val="2"/>
        </w:numPr>
        <w:spacing w:before="60" w:afterLines="60" w:after="144"/>
        <w:ind w:left="1701" w:hanging="840"/>
        <w:contextualSpacing w:val="0"/>
        <w:rPr>
          <w:rFonts w:ascii="Aptos" w:eastAsia="Aptos" w:hAnsi="Aptos" w:cs="Aptos"/>
        </w:rPr>
      </w:pPr>
      <w:r w:rsidRPr="00FD69E6">
        <w:rPr>
          <w:rFonts w:ascii="Aptos" w:eastAsia="Aptos" w:hAnsi="Aptos" w:cs="Aptos"/>
          <w:b/>
          <w:bCs/>
          <w:sz w:val="22"/>
          <w:szCs w:val="22"/>
        </w:rPr>
        <w:t xml:space="preserve">Frequency: </w:t>
      </w:r>
      <w:r w:rsidRPr="00FD69E6">
        <w:rPr>
          <w:rFonts w:ascii="Aptos" w:eastAsia="Aptos" w:hAnsi="Aptos" w:cs="Aptos"/>
          <w:sz w:val="22"/>
          <w:szCs w:val="22"/>
        </w:rPr>
        <w:t xml:space="preserve">All </w:t>
      </w:r>
      <w:r w:rsidR="00C112D7">
        <w:rPr>
          <w:rFonts w:ascii="Aptos" w:eastAsia="Aptos" w:hAnsi="Aptos" w:cs="Aptos"/>
          <w:sz w:val="22"/>
          <w:szCs w:val="22"/>
        </w:rPr>
        <w:t xml:space="preserve">client </w:t>
      </w:r>
      <w:r w:rsidRPr="00FD69E6">
        <w:rPr>
          <w:rFonts w:ascii="Aptos" w:eastAsia="Aptos" w:hAnsi="Aptos" w:cs="Aptos"/>
          <w:sz w:val="22"/>
          <w:szCs w:val="22"/>
        </w:rPr>
        <w:t xml:space="preserve">entities are required to submit financials monthly, and therefore any intercompany balances must be reconciled </w:t>
      </w:r>
      <w:proofErr w:type="gramStart"/>
      <w:r w:rsidRPr="00FD69E6">
        <w:rPr>
          <w:rFonts w:ascii="Aptos" w:eastAsia="Aptos" w:hAnsi="Aptos" w:cs="Aptos"/>
          <w:sz w:val="22"/>
          <w:szCs w:val="22"/>
        </w:rPr>
        <w:t>on a monthly basis</w:t>
      </w:r>
      <w:proofErr w:type="gramEnd"/>
      <w:r w:rsidRPr="00FD69E6">
        <w:rPr>
          <w:rFonts w:ascii="Aptos" w:eastAsia="Aptos" w:hAnsi="Aptos" w:cs="Aptos"/>
          <w:sz w:val="22"/>
          <w:szCs w:val="22"/>
        </w:rPr>
        <w:t>.</w:t>
      </w:r>
    </w:p>
    <w:p w14:paraId="55188A4E" w14:textId="77777777" w:rsidR="003A78E6" w:rsidRPr="00FD69E6" w:rsidRDefault="003A78E6" w:rsidP="003A78E6">
      <w:pPr>
        <w:pStyle w:val="ListParagraph"/>
        <w:numPr>
          <w:ilvl w:val="2"/>
          <w:numId w:val="2"/>
        </w:numPr>
        <w:spacing w:before="60" w:afterLines="60" w:after="144"/>
        <w:ind w:left="1701" w:hanging="840"/>
        <w:contextualSpacing w:val="0"/>
        <w:rPr>
          <w:rFonts w:ascii="Aptos" w:eastAsia="Aptos" w:hAnsi="Aptos" w:cs="Aptos"/>
          <w:b/>
          <w:bCs/>
        </w:rPr>
      </w:pPr>
      <w:r w:rsidRPr="00FD69E6">
        <w:rPr>
          <w:rFonts w:ascii="Aptos" w:eastAsia="Aptos" w:hAnsi="Aptos" w:cs="Aptos"/>
          <w:b/>
          <w:bCs/>
          <w:sz w:val="22"/>
          <w:szCs w:val="22"/>
        </w:rPr>
        <w:t>Consolidation Hierarchy</w:t>
      </w:r>
    </w:p>
    <w:p w14:paraId="297EC20E" w14:textId="77777777" w:rsidR="003A78E6" w:rsidRPr="00FD69E6" w:rsidRDefault="003A78E6" w:rsidP="003A78E6">
      <w:pPr>
        <w:pStyle w:val="ListParagraph"/>
        <w:numPr>
          <w:ilvl w:val="3"/>
          <w:numId w:val="2"/>
        </w:numPr>
        <w:spacing w:before="60" w:afterLines="60" w:after="144"/>
        <w:ind w:left="2127"/>
        <w:contextualSpacing w:val="0"/>
        <w:rPr>
          <w:rFonts w:ascii="Aptos" w:eastAsia="Aptos" w:hAnsi="Aptos" w:cs="Aptos"/>
          <w:sz w:val="22"/>
          <w:szCs w:val="22"/>
        </w:rPr>
      </w:pPr>
      <w:r w:rsidRPr="00FD69E6">
        <w:rPr>
          <w:rFonts w:ascii="Aptos" w:eastAsia="Aptos" w:hAnsi="Aptos" w:cs="Aptos"/>
          <w:sz w:val="22"/>
          <w:szCs w:val="22"/>
        </w:rPr>
        <w:t>Regional level (if needed for statutory reporting)</w:t>
      </w:r>
    </w:p>
    <w:p w14:paraId="7EE76641" w14:textId="77777777" w:rsidR="003A78E6" w:rsidRDefault="003A78E6" w:rsidP="003A78E6">
      <w:pPr>
        <w:pStyle w:val="ListParagraph"/>
        <w:numPr>
          <w:ilvl w:val="3"/>
          <w:numId w:val="2"/>
        </w:numPr>
        <w:spacing w:before="60" w:afterLines="60" w:after="144"/>
        <w:ind w:left="2127"/>
        <w:contextualSpacing w:val="0"/>
        <w:rPr>
          <w:rFonts w:ascii="Aptos" w:eastAsia="Aptos" w:hAnsi="Aptos" w:cs="Aptos"/>
          <w:sz w:val="22"/>
          <w:szCs w:val="22"/>
        </w:rPr>
      </w:pPr>
      <w:r w:rsidRPr="00FD69E6">
        <w:rPr>
          <w:rFonts w:ascii="Aptos" w:eastAsia="Aptos" w:hAnsi="Aptos" w:cs="Aptos"/>
          <w:sz w:val="22"/>
          <w:szCs w:val="22"/>
        </w:rPr>
        <w:t>Group level (for management reporting)</w:t>
      </w:r>
    </w:p>
    <w:p w14:paraId="4D23D74D" w14:textId="77777777" w:rsidR="008B0B99" w:rsidRPr="008B0B99" w:rsidRDefault="008B0B99" w:rsidP="008B0B99">
      <w:pPr>
        <w:spacing w:before="60" w:afterLines="60" w:after="144"/>
        <w:rPr>
          <w:rFonts w:ascii="Aptos" w:eastAsia="Aptos" w:hAnsi="Aptos" w:cs="Aptos"/>
          <w:sz w:val="22"/>
          <w:szCs w:val="22"/>
        </w:rPr>
      </w:pPr>
    </w:p>
    <w:p w14:paraId="0E4ABD48" w14:textId="77777777" w:rsidR="003A78E6" w:rsidRPr="00FD69E6" w:rsidRDefault="003A78E6" w:rsidP="003A78E6">
      <w:pPr>
        <w:pStyle w:val="ListParagraph"/>
        <w:numPr>
          <w:ilvl w:val="2"/>
          <w:numId w:val="2"/>
        </w:numPr>
        <w:spacing w:before="60" w:afterLines="60" w:after="144"/>
        <w:ind w:left="1701" w:hanging="839"/>
        <w:contextualSpacing w:val="0"/>
        <w:rPr>
          <w:rFonts w:ascii="Aptos" w:eastAsia="Aptos" w:hAnsi="Aptos" w:cs="Aptos"/>
          <w:b/>
          <w:bCs/>
          <w:sz w:val="22"/>
          <w:szCs w:val="22"/>
        </w:rPr>
      </w:pPr>
      <w:r w:rsidRPr="00FD69E6">
        <w:rPr>
          <w:rFonts w:ascii="Aptos" w:eastAsia="Aptos" w:hAnsi="Aptos" w:cs="Aptos"/>
          <w:b/>
          <w:bCs/>
          <w:sz w:val="22"/>
          <w:szCs w:val="22"/>
        </w:rPr>
        <w:lastRenderedPageBreak/>
        <w:t xml:space="preserve">System Usage: </w:t>
      </w:r>
    </w:p>
    <w:p w14:paraId="644C3BC3" w14:textId="0B395612" w:rsidR="003A78E6" w:rsidRPr="00FD69E6" w:rsidRDefault="003A78E6" w:rsidP="003A78E6">
      <w:pPr>
        <w:pStyle w:val="ListParagraph"/>
        <w:numPr>
          <w:ilvl w:val="3"/>
          <w:numId w:val="2"/>
        </w:numPr>
        <w:spacing w:before="60" w:afterLines="60" w:after="144"/>
        <w:ind w:left="2127"/>
        <w:contextualSpacing w:val="0"/>
        <w:rPr>
          <w:rFonts w:ascii="Aptos" w:eastAsia="Aptos" w:hAnsi="Aptos" w:cs="Aptos"/>
        </w:rPr>
      </w:pPr>
      <w:r w:rsidRPr="00FD69E6">
        <w:rPr>
          <w:rFonts w:ascii="Aptos" w:eastAsia="Aptos" w:hAnsi="Aptos" w:cs="Aptos"/>
          <w:b/>
          <w:bCs/>
          <w:sz w:val="22"/>
          <w:szCs w:val="22"/>
        </w:rPr>
        <w:t xml:space="preserve">Core Systems: </w:t>
      </w:r>
      <w:r w:rsidRPr="00FD69E6">
        <w:rPr>
          <w:rFonts w:ascii="Aptos" w:eastAsia="Aptos" w:hAnsi="Aptos" w:cs="Aptos"/>
          <w:sz w:val="22"/>
          <w:szCs w:val="22"/>
        </w:rPr>
        <w:t>The group-approved consolidation system (</w:t>
      </w:r>
      <w:commentRangeStart w:id="2"/>
      <w:commentRangeEnd w:id="2"/>
      <w:r w:rsidR="004D1271">
        <w:rPr>
          <w:rStyle w:val="CommentReference"/>
        </w:rPr>
        <w:commentReference w:id="2"/>
      </w:r>
      <w:r w:rsidRPr="00FD69E6">
        <w:rPr>
          <w:rFonts w:ascii="Aptos" w:eastAsia="Aptos" w:hAnsi="Aptos" w:cs="Aptos"/>
          <w:sz w:val="22"/>
          <w:szCs w:val="22"/>
        </w:rPr>
        <w:t xml:space="preserve"> Consolidation) will be used for monthly and quarterly consolidation.</w:t>
      </w:r>
    </w:p>
    <w:p w14:paraId="5B9D820D" w14:textId="77777777" w:rsidR="003A78E6" w:rsidRPr="00FD69E6" w:rsidRDefault="003A78E6" w:rsidP="003A78E6">
      <w:pPr>
        <w:pStyle w:val="ListParagraph"/>
        <w:numPr>
          <w:ilvl w:val="3"/>
          <w:numId w:val="2"/>
        </w:numPr>
        <w:spacing w:before="60" w:afterLines="60" w:after="144"/>
        <w:ind w:left="2127"/>
        <w:contextualSpacing w:val="0"/>
        <w:rPr>
          <w:rFonts w:ascii="Aptos" w:eastAsia="Aptos" w:hAnsi="Aptos" w:cs="Aptos"/>
        </w:rPr>
      </w:pPr>
      <w:r w:rsidRPr="00FD69E6">
        <w:rPr>
          <w:rFonts w:ascii="Aptos" w:eastAsia="Aptos" w:hAnsi="Aptos" w:cs="Aptos"/>
          <w:b/>
          <w:bCs/>
          <w:sz w:val="22"/>
          <w:szCs w:val="22"/>
        </w:rPr>
        <w:t>Standard Mappings</w:t>
      </w:r>
      <w:r w:rsidRPr="00FD69E6">
        <w:rPr>
          <w:rFonts w:ascii="Aptos" w:eastAsia="Aptos" w:hAnsi="Aptos" w:cs="Aptos"/>
          <w:sz w:val="22"/>
          <w:szCs w:val="22"/>
        </w:rPr>
        <w:t>: Chart of Accounts, Business Units, Currency Codes, Intercompany (</w:t>
      </w:r>
      <w:proofErr w:type="gramStart"/>
      <w:r w:rsidRPr="00FD69E6">
        <w:rPr>
          <w:rFonts w:ascii="Aptos" w:eastAsia="Aptos" w:hAnsi="Aptos" w:cs="Aptos"/>
          <w:sz w:val="22"/>
          <w:szCs w:val="22"/>
        </w:rPr>
        <w:t>IC)  Partner</w:t>
      </w:r>
      <w:proofErr w:type="gramEnd"/>
      <w:r w:rsidRPr="00FD69E6">
        <w:rPr>
          <w:rFonts w:ascii="Aptos" w:eastAsia="Aptos" w:hAnsi="Aptos" w:cs="Aptos"/>
          <w:sz w:val="22"/>
          <w:szCs w:val="22"/>
        </w:rPr>
        <w:t xml:space="preserve"> Codes.</w:t>
      </w:r>
    </w:p>
    <w:p w14:paraId="4493213C" w14:textId="77777777" w:rsidR="003A78E6" w:rsidRPr="00FD69E6" w:rsidRDefault="003A78E6" w:rsidP="003A78E6">
      <w:pPr>
        <w:pStyle w:val="ListParagraph"/>
        <w:numPr>
          <w:ilvl w:val="3"/>
          <w:numId w:val="2"/>
        </w:numPr>
        <w:spacing w:before="60" w:afterLines="60" w:after="144"/>
        <w:ind w:left="2127"/>
        <w:rPr>
          <w:rFonts w:ascii="Aptos" w:eastAsia="Aptos" w:hAnsi="Aptos" w:cs="Aptos"/>
        </w:rPr>
      </w:pPr>
      <w:r w:rsidRPr="00FD69E6">
        <w:rPr>
          <w:rFonts w:ascii="Aptos" w:eastAsia="Aptos" w:hAnsi="Aptos" w:cs="Aptos"/>
          <w:b/>
          <w:bCs/>
          <w:sz w:val="22"/>
          <w:szCs w:val="22"/>
        </w:rPr>
        <w:t>Master Data Governance</w:t>
      </w:r>
      <w:r w:rsidRPr="00FD69E6">
        <w:rPr>
          <w:rFonts w:ascii="Aptos" w:eastAsia="Aptos" w:hAnsi="Aptos" w:cs="Aptos"/>
          <w:sz w:val="22"/>
          <w:szCs w:val="22"/>
        </w:rPr>
        <w:t>: All entities must maintain validated entity and IC counterparty records. Changes to master data are to be approved by designated authority as per Responsibility and Approval matrix in section 3</w:t>
      </w:r>
    </w:p>
    <w:p w14:paraId="5B6EE5F1" w14:textId="77777777" w:rsidR="003A78E6" w:rsidRPr="00FD69E6" w:rsidRDefault="003A78E6" w:rsidP="003A78E6">
      <w:pPr>
        <w:pStyle w:val="ListParagraph"/>
        <w:numPr>
          <w:ilvl w:val="3"/>
          <w:numId w:val="2"/>
        </w:numPr>
        <w:spacing w:before="60" w:afterLines="60" w:after="144"/>
        <w:ind w:left="2127"/>
        <w:contextualSpacing w:val="0"/>
        <w:rPr>
          <w:rFonts w:ascii="Aptos" w:eastAsia="Aptos" w:hAnsi="Aptos" w:cs="Aptos"/>
        </w:rPr>
      </w:pPr>
      <w:r w:rsidRPr="00FD69E6">
        <w:rPr>
          <w:rFonts w:ascii="Aptos" w:eastAsia="Aptos" w:hAnsi="Aptos" w:cs="Aptos"/>
          <w:b/>
          <w:bCs/>
          <w:sz w:val="22"/>
          <w:szCs w:val="22"/>
        </w:rPr>
        <w:t>Access and Segregation</w:t>
      </w:r>
      <w:r w:rsidRPr="00FD69E6">
        <w:rPr>
          <w:rFonts w:ascii="Aptos" w:eastAsia="Aptos" w:hAnsi="Aptos" w:cs="Aptos"/>
          <w:sz w:val="22"/>
          <w:szCs w:val="22"/>
        </w:rPr>
        <w:t>: Finance users are assigned roles in line with job functions, with access reviewed quarterly.</w:t>
      </w:r>
    </w:p>
    <w:p w14:paraId="48784503" w14:textId="77777777" w:rsidR="003A78E6" w:rsidRPr="00FD69E6" w:rsidRDefault="003A78E6" w:rsidP="003A78E6">
      <w:pPr>
        <w:pStyle w:val="ListParagraph"/>
        <w:numPr>
          <w:ilvl w:val="3"/>
          <w:numId w:val="2"/>
        </w:numPr>
        <w:spacing w:before="60" w:afterLines="60" w:after="144"/>
        <w:ind w:left="2127"/>
        <w:contextualSpacing w:val="0"/>
        <w:rPr>
          <w:rFonts w:ascii="Aptos" w:eastAsia="Aptos" w:hAnsi="Aptos" w:cs="Aptos"/>
        </w:rPr>
      </w:pPr>
      <w:r w:rsidRPr="00FD69E6">
        <w:rPr>
          <w:rFonts w:ascii="Aptos" w:eastAsia="Aptos" w:hAnsi="Aptos" w:cs="Aptos"/>
          <w:b/>
          <w:bCs/>
          <w:sz w:val="22"/>
          <w:szCs w:val="22"/>
        </w:rPr>
        <w:t>Control Reporting</w:t>
      </w:r>
      <w:r w:rsidRPr="00FD69E6">
        <w:rPr>
          <w:rFonts w:ascii="Aptos" w:eastAsia="Aptos" w:hAnsi="Aptos" w:cs="Aptos"/>
          <w:sz w:val="22"/>
          <w:szCs w:val="22"/>
        </w:rPr>
        <w:t>: Audit logs and adjustment registers exported and retained in a secure repository.</w:t>
      </w:r>
    </w:p>
    <w:p w14:paraId="48FC6499" w14:textId="77777777" w:rsidR="003A78E6" w:rsidRPr="00FD69E6" w:rsidRDefault="003A78E6" w:rsidP="003A78E6">
      <w:pPr>
        <w:pStyle w:val="ListParagraph"/>
        <w:numPr>
          <w:ilvl w:val="1"/>
          <w:numId w:val="2"/>
        </w:numPr>
        <w:autoSpaceDE w:val="0"/>
        <w:autoSpaceDN w:val="0"/>
        <w:adjustRightInd w:val="0"/>
        <w:spacing w:before="120" w:after="120"/>
        <w:ind w:left="788" w:hanging="431"/>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 xml:space="preserve">Elimination Rules </w:t>
      </w:r>
    </w:p>
    <w:p w14:paraId="15AC19A0" w14:textId="77777777" w:rsidR="003A78E6" w:rsidRPr="00FD69E6" w:rsidRDefault="003A78E6" w:rsidP="003A78E6">
      <w:pPr>
        <w:pStyle w:val="ListParagraph"/>
        <w:numPr>
          <w:ilvl w:val="2"/>
          <w:numId w:val="2"/>
        </w:numPr>
        <w:autoSpaceDE w:val="0"/>
        <w:autoSpaceDN w:val="0"/>
        <w:adjustRightInd w:val="0"/>
        <w:spacing w:beforeLines="60" w:before="144" w:afterLines="60" w:after="144"/>
        <w:ind w:left="1701" w:hanging="840"/>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Intercompany Eliminations</w:t>
      </w:r>
    </w:p>
    <w:p w14:paraId="065FD304" w14:textId="77777777" w:rsidR="003A78E6" w:rsidRPr="00FD69E6" w:rsidRDefault="003A78E6" w:rsidP="003A78E6">
      <w:pPr>
        <w:pStyle w:val="ListParagraph"/>
        <w:autoSpaceDE w:val="0"/>
        <w:autoSpaceDN w:val="0"/>
        <w:adjustRightInd w:val="0"/>
        <w:spacing w:beforeLines="60" w:before="144" w:afterLines="60" w:after="144"/>
        <w:ind w:left="1701"/>
        <w:contextualSpacing w:val="0"/>
        <w:rPr>
          <w:rFonts w:ascii="Aptos" w:eastAsiaTheme="minorEastAsia" w:hAnsi="Aptos" w:cstheme="minorBidi"/>
          <w:b/>
          <w:bCs/>
          <w:sz w:val="22"/>
          <w:szCs w:val="22"/>
        </w:rPr>
      </w:pPr>
      <w:r w:rsidRPr="00FD69E6">
        <w:rPr>
          <w:rFonts w:ascii="Aptos" w:hAnsi="Aptos"/>
          <w:sz w:val="22"/>
          <w:szCs w:val="22"/>
        </w:rPr>
        <w:t>To prevent overstatement of revenue, expenses, assets, and liabilities resulting from intra-group transactions in the consolidated financial statements.</w:t>
      </w:r>
    </w:p>
    <w:p w14:paraId="252EE34C" w14:textId="77777777" w:rsidR="003A78E6" w:rsidRPr="00FD69E6" w:rsidRDefault="003A78E6" w:rsidP="003A78E6">
      <w:pPr>
        <w:pStyle w:val="ListParagraph"/>
        <w:numPr>
          <w:ilvl w:val="3"/>
          <w:numId w:val="3"/>
        </w:numPr>
        <w:autoSpaceDE w:val="0"/>
        <w:autoSpaceDN w:val="0"/>
        <w:adjustRightInd w:val="0"/>
        <w:spacing w:beforeLines="60" w:before="144" w:afterLines="60" w:after="144"/>
        <w:ind w:left="2127"/>
        <w:contextualSpacing w:val="0"/>
        <w:rPr>
          <w:rFonts w:ascii="Aptos" w:hAnsi="Aptos"/>
          <w:b/>
          <w:bCs/>
          <w:sz w:val="22"/>
          <w:szCs w:val="22"/>
        </w:rPr>
      </w:pPr>
      <w:r w:rsidRPr="00FD69E6">
        <w:rPr>
          <w:rFonts w:ascii="Aptos" w:hAnsi="Aptos"/>
          <w:b/>
          <w:bCs/>
          <w:sz w:val="22"/>
          <w:szCs w:val="22"/>
        </w:rPr>
        <w:t>Scope of Intercompany transactions</w:t>
      </w:r>
      <w:r>
        <w:rPr>
          <w:rFonts w:ascii="Aptos" w:hAnsi="Aptos"/>
          <w:b/>
          <w:bCs/>
          <w:sz w:val="22"/>
          <w:szCs w:val="22"/>
        </w:rPr>
        <w:t xml:space="preserve"> to be monitored for eliminations</w:t>
      </w:r>
    </w:p>
    <w:p w14:paraId="12D29FD9"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Sale of goods and services</w:t>
      </w:r>
    </w:p>
    <w:p w14:paraId="354AF504"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Cost Recharges</w:t>
      </w:r>
    </w:p>
    <w:p w14:paraId="17A6623D"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Royalties and IP fees</w:t>
      </w:r>
    </w:p>
    <w:p w14:paraId="65137215"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License fees</w:t>
      </w:r>
    </w:p>
    <w:p w14:paraId="360C8B1D"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Interest on intercompany loans</w:t>
      </w:r>
    </w:p>
    <w:p w14:paraId="1A419833"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Managed fees</w:t>
      </w:r>
    </w:p>
    <w:p w14:paraId="6178AD00"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Shared services</w:t>
      </w:r>
    </w:p>
    <w:p w14:paraId="6D91B5FC"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Fuel recharges</w:t>
      </w:r>
    </w:p>
    <w:p w14:paraId="09FF6E59"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Telco Expenses</w:t>
      </w:r>
    </w:p>
    <w:p w14:paraId="27391218"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Intercompany loans and related transactions</w:t>
      </w:r>
    </w:p>
    <w:p w14:paraId="5377DA51" w14:textId="77777777"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Internal room bookings</w:t>
      </w:r>
    </w:p>
    <w:p w14:paraId="37FF26B9" w14:textId="78C4DD68" w:rsidR="003A78E6" w:rsidRPr="00FD69E6" w:rsidRDefault="003A78E6" w:rsidP="003A78E6">
      <w:pPr>
        <w:pStyle w:val="ListParagraph"/>
        <w:numPr>
          <w:ilvl w:val="6"/>
          <w:numId w:val="8"/>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sz w:val="22"/>
          <w:szCs w:val="22"/>
        </w:rPr>
        <w:t xml:space="preserve">Below intercompany transactions will be applicable post </w:t>
      </w:r>
      <w:r w:rsidR="00C112D7">
        <w:rPr>
          <w:rFonts w:ascii="Aptos" w:hAnsi="Aptos"/>
          <w:sz w:val="22"/>
          <w:szCs w:val="22"/>
        </w:rPr>
        <w:t>client</w:t>
      </w:r>
      <w:r w:rsidRPr="00FD69E6">
        <w:rPr>
          <w:rFonts w:ascii="Aptos" w:hAnsi="Aptos"/>
          <w:sz w:val="22"/>
          <w:szCs w:val="22"/>
        </w:rPr>
        <w:t>’s approval and implementation of Transfer Pricing solution</w:t>
      </w:r>
    </w:p>
    <w:p w14:paraId="527D641E" w14:textId="77777777" w:rsidR="003A78E6" w:rsidRPr="00FD69E6" w:rsidRDefault="003A78E6" w:rsidP="003A78E6">
      <w:pPr>
        <w:pStyle w:val="ListParagraph"/>
        <w:numPr>
          <w:ilvl w:val="5"/>
          <w:numId w:val="7"/>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Global Support Services Revenue</w:t>
      </w:r>
    </w:p>
    <w:p w14:paraId="2F76B5BB" w14:textId="77777777" w:rsidR="003A78E6" w:rsidRPr="00FD69E6" w:rsidRDefault="003A78E6" w:rsidP="003A78E6">
      <w:pPr>
        <w:pStyle w:val="ListParagraph"/>
        <w:numPr>
          <w:ilvl w:val="5"/>
          <w:numId w:val="7"/>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 xml:space="preserve">Global </w:t>
      </w:r>
      <w:r>
        <w:rPr>
          <w:rFonts w:ascii="Aptos" w:hAnsi="Aptos"/>
          <w:sz w:val="22"/>
          <w:szCs w:val="22"/>
        </w:rPr>
        <w:t>A</w:t>
      </w:r>
      <w:r w:rsidRPr="00FD69E6">
        <w:rPr>
          <w:rFonts w:ascii="Aptos" w:hAnsi="Aptos"/>
          <w:sz w:val="22"/>
          <w:szCs w:val="22"/>
        </w:rPr>
        <w:t>llocated Costs</w:t>
      </w:r>
    </w:p>
    <w:p w14:paraId="782690CF" w14:textId="77777777" w:rsidR="003A78E6" w:rsidRPr="00FD69E6" w:rsidRDefault="003A78E6" w:rsidP="003A78E6">
      <w:pPr>
        <w:pStyle w:val="ListParagraph"/>
        <w:numPr>
          <w:ilvl w:val="5"/>
          <w:numId w:val="7"/>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TP Reseller Fee</w:t>
      </w:r>
    </w:p>
    <w:p w14:paraId="7A8E5925" w14:textId="77777777" w:rsidR="003A78E6" w:rsidRPr="00FD69E6" w:rsidRDefault="003A78E6" w:rsidP="003A78E6">
      <w:pPr>
        <w:pStyle w:val="ListParagraph"/>
        <w:numPr>
          <w:ilvl w:val="3"/>
          <w:numId w:val="3"/>
        </w:numPr>
        <w:autoSpaceDE w:val="0"/>
        <w:autoSpaceDN w:val="0"/>
        <w:adjustRightInd w:val="0"/>
        <w:spacing w:beforeLines="60" w:before="144" w:afterLines="60" w:after="144"/>
        <w:ind w:left="2127"/>
        <w:contextualSpacing w:val="0"/>
        <w:rPr>
          <w:rFonts w:ascii="Aptos" w:hAnsi="Aptos"/>
          <w:b/>
          <w:bCs/>
          <w:sz w:val="22"/>
          <w:szCs w:val="22"/>
        </w:rPr>
      </w:pPr>
      <w:r w:rsidRPr="00FD69E6">
        <w:rPr>
          <w:rFonts w:ascii="Aptos" w:hAnsi="Aptos"/>
          <w:b/>
          <w:bCs/>
          <w:sz w:val="22"/>
          <w:szCs w:val="22"/>
        </w:rPr>
        <w:t>Methodology</w:t>
      </w:r>
    </w:p>
    <w:p w14:paraId="41FEDBB3" w14:textId="31A79F25"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b/>
          <w:bCs/>
          <w:sz w:val="22"/>
          <w:szCs w:val="22"/>
        </w:rPr>
        <w:lastRenderedPageBreak/>
        <w:t>System-Driven Matching:</w:t>
      </w:r>
      <w:r w:rsidRPr="00FD69E6">
        <w:rPr>
          <w:rFonts w:ascii="Aptos" w:hAnsi="Aptos"/>
          <w:sz w:val="22"/>
          <w:szCs w:val="22"/>
        </w:rPr>
        <w:t xml:space="preserve"> Eliminations are primarily executed through automated matching logic embedded within the group’s consolidation platform (). The system uses key transaction attributes such as:</w:t>
      </w:r>
    </w:p>
    <w:p w14:paraId="693F3439" w14:textId="77777777" w:rsidR="003A78E6" w:rsidRPr="00FD69E6" w:rsidRDefault="003A78E6" w:rsidP="003A78E6">
      <w:pPr>
        <w:pStyle w:val="ListParagraph"/>
        <w:numPr>
          <w:ilvl w:val="5"/>
          <w:numId w:val="5"/>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Partner entity code</w:t>
      </w:r>
    </w:p>
    <w:p w14:paraId="38C35283" w14:textId="77777777" w:rsidR="003A78E6" w:rsidRPr="00FD69E6" w:rsidRDefault="003A78E6" w:rsidP="003A78E6">
      <w:pPr>
        <w:pStyle w:val="ListParagraph"/>
        <w:numPr>
          <w:ilvl w:val="5"/>
          <w:numId w:val="5"/>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Intercompany partner / trading partner indicators</w:t>
      </w:r>
    </w:p>
    <w:p w14:paraId="38414355" w14:textId="77777777" w:rsidR="003A78E6" w:rsidRPr="00FD69E6" w:rsidRDefault="003A78E6" w:rsidP="003A78E6">
      <w:pPr>
        <w:pStyle w:val="ListParagraph"/>
        <w:numPr>
          <w:ilvl w:val="5"/>
          <w:numId w:val="5"/>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Transaction type (e.g., sales, loans, services)</w:t>
      </w:r>
    </w:p>
    <w:p w14:paraId="3AC0E241" w14:textId="77777777" w:rsidR="003A78E6" w:rsidRPr="00FD69E6" w:rsidRDefault="003A78E6" w:rsidP="003A78E6">
      <w:pPr>
        <w:pStyle w:val="ListParagraph"/>
        <w:numPr>
          <w:ilvl w:val="5"/>
          <w:numId w:val="5"/>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Currency</w:t>
      </w:r>
    </w:p>
    <w:p w14:paraId="14B4B14E" w14:textId="77777777" w:rsidR="003A78E6" w:rsidRPr="00FD69E6" w:rsidRDefault="003A78E6" w:rsidP="003A78E6">
      <w:pPr>
        <w:pStyle w:val="ListParagraph"/>
        <w:numPr>
          <w:ilvl w:val="5"/>
          <w:numId w:val="5"/>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Document number and date</w:t>
      </w:r>
    </w:p>
    <w:p w14:paraId="7302C111" w14:textId="77777777" w:rsidR="003A78E6" w:rsidRPr="00FD69E6" w:rsidRDefault="003A78E6" w:rsidP="003A78E6">
      <w:pPr>
        <w:pStyle w:val="ListParagraph"/>
        <w:numPr>
          <w:ilvl w:val="5"/>
          <w:numId w:val="5"/>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Elimination flags or markers</w:t>
      </w:r>
    </w:p>
    <w:p w14:paraId="4BB5B12C"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b/>
          <w:bCs/>
          <w:sz w:val="22"/>
          <w:szCs w:val="22"/>
        </w:rPr>
        <w:t>Currency Consistency:</w:t>
      </w:r>
      <w:r w:rsidRPr="00FD69E6">
        <w:rPr>
          <w:rFonts w:ascii="Aptos" w:hAnsi="Aptos"/>
          <w:sz w:val="22"/>
          <w:szCs w:val="22"/>
        </w:rPr>
        <w:t xml:space="preserve"> For transactions between entities with different functional currencies, matching is performed in both local and group presentation currencies to ensure that FX differences are identified and appropriately treated.</w:t>
      </w:r>
    </w:p>
    <w:p w14:paraId="145AB28A"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b/>
          <w:bCs/>
          <w:sz w:val="22"/>
          <w:szCs w:val="22"/>
        </w:rPr>
        <w:t xml:space="preserve">Transaction recording: </w:t>
      </w:r>
      <w:r w:rsidRPr="00FD69E6">
        <w:rPr>
          <w:rFonts w:ascii="Aptos" w:hAnsi="Aptos"/>
          <w:sz w:val="22"/>
          <w:szCs w:val="22"/>
        </w:rPr>
        <w:t>Transactions must be recorded in both entities' financial records, ensuring matching amounts and descriptions.</w:t>
      </w:r>
    </w:p>
    <w:p w14:paraId="76800B88" w14:textId="77777777" w:rsidR="003A78E6" w:rsidRPr="00FD69E6" w:rsidRDefault="003A78E6" w:rsidP="003A78E6">
      <w:pPr>
        <w:pStyle w:val="ListParagraph"/>
        <w:numPr>
          <w:ilvl w:val="6"/>
          <w:numId w:val="9"/>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b/>
          <w:bCs/>
          <w:sz w:val="22"/>
          <w:szCs w:val="22"/>
        </w:rPr>
        <w:t>Failure in Auto-Matching</w:t>
      </w:r>
      <w:r w:rsidRPr="00FD69E6">
        <w:rPr>
          <w:rFonts w:ascii="Aptos" w:hAnsi="Aptos"/>
          <w:sz w:val="22"/>
          <w:szCs w:val="22"/>
        </w:rPr>
        <w:t>:</w:t>
      </w:r>
    </w:p>
    <w:p w14:paraId="2947517A" w14:textId="77777777" w:rsidR="003A78E6" w:rsidRPr="00FD69E6" w:rsidRDefault="003A78E6" w:rsidP="003A78E6">
      <w:pPr>
        <w:pStyle w:val="ListParagraph"/>
        <w:numPr>
          <w:ilvl w:val="4"/>
          <w:numId w:val="6"/>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In cases where automated logic fails due to discrepancies (e.g., timing differences, mis-tagging, FX misalignments), transactions are flagged for manual review.</w:t>
      </w:r>
    </w:p>
    <w:p w14:paraId="300D6C8B" w14:textId="77777777" w:rsidR="003A78E6" w:rsidRPr="00FD69E6" w:rsidRDefault="003A78E6" w:rsidP="003A78E6">
      <w:pPr>
        <w:pStyle w:val="ListParagraph"/>
        <w:numPr>
          <w:ilvl w:val="4"/>
          <w:numId w:val="6"/>
        </w:numPr>
        <w:autoSpaceDE w:val="0"/>
        <w:autoSpaceDN w:val="0"/>
        <w:adjustRightInd w:val="0"/>
        <w:spacing w:beforeLines="60" w:before="144" w:afterLines="60" w:after="144"/>
        <w:ind w:left="2977"/>
        <w:contextualSpacing w:val="0"/>
        <w:rPr>
          <w:rFonts w:ascii="Aptos" w:hAnsi="Aptos"/>
          <w:b/>
          <w:bCs/>
          <w:sz w:val="22"/>
          <w:szCs w:val="22"/>
        </w:rPr>
      </w:pPr>
      <w:r w:rsidRPr="00FD69E6">
        <w:rPr>
          <w:rFonts w:ascii="Aptos" w:hAnsi="Aptos"/>
          <w:sz w:val="22"/>
          <w:szCs w:val="22"/>
        </w:rPr>
        <w:t xml:space="preserve">Manual adjustments to be recorded post approval in accordance with the authority levels defined in </w:t>
      </w:r>
      <w:r w:rsidRPr="00FD69E6">
        <w:rPr>
          <w:rStyle w:val="Strong"/>
          <w:rFonts w:ascii="Aptos" w:hAnsi="Aptos"/>
          <w:sz w:val="22"/>
          <w:szCs w:val="22"/>
        </w:rPr>
        <w:t>Section 3 – Policy Ownership and Responsibilities</w:t>
      </w:r>
      <w:r w:rsidRPr="00FD69E6">
        <w:rPr>
          <w:rFonts w:ascii="Aptos" w:hAnsi="Aptos"/>
          <w:b/>
          <w:bCs/>
          <w:sz w:val="22"/>
          <w:szCs w:val="22"/>
        </w:rPr>
        <w:t>.</w:t>
      </w:r>
    </w:p>
    <w:p w14:paraId="0E09E551" w14:textId="77777777" w:rsidR="003A78E6" w:rsidRPr="00FD69E6" w:rsidRDefault="003A78E6" w:rsidP="003A78E6">
      <w:pPr>
        <w:pStyle w:val="ListParagraph"/>
        <w:numPr>
          <w:ilvl w:val="4"/>
          <w:numId w:val="6"/>
        </w:numPr>
        <w:autoSpaceDE w:val="0"/>
        <w:autoSpaceDN w:val="0"/>
        <w:adjustRightInd w:val="0"/>
        <w:spacing w:beforeLines="60" w:before="144" w:afterLines="60" w:after="144"/>
        <w:ind w:left="2977"/>
        <w:contextualSpacing w:val="0"/>
        <w:rPr>
          <w:rFonts w:ascii="Aptos" w:hAnsi="Aptos"/>
          <w:sz w:val="22"/>
          <w:szCs w:val="22"/>
        </w:rPr>
      </w:pPr>
      <w:r w:rsidRPr="00FD69E6">
        <w:rPr>
          <w:rFonts w:ascii="Aptos" w:hAnsi="Aptos"/>
          <w:sz w:val="22"/>
          <w:szCs w:val="22"/>
        </w:rPr>
        <w:t>All manual entries must be clearly documented with justification, supporting invoices or contracts, and audit trail references.</w:t>
      </w:r>
    </w:p>
    <w:p w14:paraId="2CAF1F95" w14:textId="77777777" w:rsidR="003A78E6" w:rsidRPr="00FD69E6" w:rsidRDefault="003A78E6" w:rsidP="003A78E6">
      <w:pPr>
        <w:pStyle w:val="ListParagraph"/>
        <w:numPr>
          <w:ilvl w:val="3"/>
          <w:numId w:val="6"/>
        </w:numPr>
        <w:autoSpaceDE w:val="0"/>
        <w:autoSpaceDN w:val="0"/>
        <w:adjustRightInd w:val="0"/>
        <w:spacing w:beforeLines="60" w:before="144" w:afterLines="60" w:after="144"/>
        <w:ind w:left="2126" w:hanging="357"/>
        <w:contextualSpacing w:val="0"/>
        <w:rPr>
          <w:rFonts w:ascii="Aptos" w:hAnsi="Aptos"/>
          <w:sz w:val="22"/>
          <w:szCs w:val="22"/>
        </w:rPr>
      </w:pPr>
      <w:r w:rsidRPr="00FD69E6">
        <w:rPr>
          <w:rStyle w:val="Strong"/>
          <w:rFonts w:ascii="Aptos" w:hAnsi="Aptos"/>
          <w:sz w:val="22"/>
          <w:szCs w:val="22"/>
        </w:rPr>
        <w:t>Gross Basis Elimination</w:t>
      </w:r>
      <w:r w:rsidRPr="00FD69E6">
        <w:rPr>
          <w:rFonts w:ascii="Aptos" w:hAnsi="Aptos"/>
          <w:sz w:val="22"/>
          <w:szCs w:val="22"/>
        </w:rPr>
        <w:t>:</w:t>
      </w:r>
    </w:p>
    <w:p w14:paraId="555B51B9" w14:textId="77777777" w:rsidR="003A78E6" w:rsidRPr="00FD69E6" w:rsidRDefault="003A78E6" w:rsidP="003A78E6">
      <w:pPr>
        <w:pStyle w:val="ListParagraph"/>
        <w:autoSpaceDE w:val="0"/>
        <w:autoSpaceDN w:val="0"/>
        <w:adjustRightInd w:val="0"/>
        <w:spacing w:beforeLines="60" w:before="144" w:afterLines="60" w:after="144"/>
        <w:ind w:left="2126"/>
        <w:contextualSpacing w:val="0"/>
        <w:rPr>
          <w:rFonts w:ascii="Aptos" w:hAnsi="Aptos"/>
          <w:sz w:val="22"/>
          <w:szCs w:val="22"/>
        </w:rPr>
      </w:pPr>
      <w:r w:rsidRPr="00FD69E6">
        <w:rPr>
          <w:rFonts w:ascii="Aptos" w:hAnsi="Aptos"/>
          <w:sz w:val="22"/>
          <w:szCs w:val="22"/>
        </w:rPr>
        <w:t>All intercompany transactions must be eliminated on a gross basis, meaning each side of the transaction is eliminated in full and independently, without netting. This ensures transparency, preserves audit trails, and reflects the true volume of intra-group activity.</w:t>
      </w:r>
    </w:p>
    <w:p w14:paraId="2B5B01B2" w14:textId="77777777" w:rsidR="003A78E6" w:rsidRPr="00FD69E6" w:rsidRDefault="003A78E6" w:rsidP="003A78E6">
      <w:pPr>
        <w:pStyle w:val="ListParagraph"/>
        <w:autoSpaceDE w:val="0"/>
        <w:autoSpaceDN w:val="0"/>
        <w:adjustRightInd w:val="0"/>
        <w:spacing w:beforeLines="60" w:before="144" w:afterLines="60" w:after="144"/>
        <w:ind w:left="2126"/>
        <w:contextualSpacing w:val="0"/>
        <w:rPr>
          <w:rFonts w:ascii="Aptos" w:hAnsi="Aptos"/>
          <w:sz w:val="22"/>
          <w:szCs w:val="22"/>
        </w:rPr>
      </w:pPr>
      <w:r w:rsidRPr="00FD69E6">
        <w:rPr>
          <w:rStyle w:val="Strong"/>
          <w:rFonts w:ascii="Aptos" w:hAnsi="Aptos"/>
          <w:sz w:val="22"/>
          <w:szCs w:val="22"/>
        </w:rPr>
        <w:t>No netting is allowed within the entity, even if the same services or goods are reciprocated. The full gross amounts must be captured and cancelled out in the consolidation system.</w:t>
      </w:r>
    </w:p>
    <w:p w14:paraId="5D5CDB2F" w14:textId="77777777" w:rsidR="003A78E6" w:rsidRPr="00FD69E6" w:rsidRDefault="003A78E6" w:rsidP="003A78E6">
      <w:pPr>
        <w:pStyle w:val="ListParagraph"/>
        <w:numPr>
          <w:ilvl w:val="6"/>
          <w:numId w:val="10"/>
        </w:numPr>
        <w:autoSpaceDE w:val="0"/>
        <w:autoSpaceDN w:val="0"/>
        <w:adjustRightInd w:val="0"/>
        <w:spacing w:beforeLines="60" w:before="144" w:afterLines="60" w:after="144"/>
        <w:contextualSpacing w:val="0"/>
        <w:rPr>
          <w:rFonts w:ascii="Aptos" w:hAnsi="Aptos"/>
          <w:sz w:val="22"/>
          <w:szCs w:val="22"/>
        </w:rPr>
      </w:pPr>
      <w:r w:rsidRPr="00FD69E6">
        <w:rPr>
          <w:rFonts w:ascii="Aptos" w:hAnsi="Aptos"/>
          <w:b/>
          <w:bCs/>
          <w:sz w:val="22"/>
          <w:szCs w:val="22"/>
        </w:rPr>
        <w:t>Balance Sheet (Receivables/Payables):</w:t>
      </w:r>
      <w:r w:rsidRPr="00FD69E6">
        <w:rPr>
          <w:rFonts w:ascii="Aptos" w:hAnsi="Aptos"/>
          <w:bCs/>
          <w:sz w:val="22"/>
          <w:szCs w:val="22"/>
        </w:rPr>
        <w:t xml:space="preserve"> Eliminate intercompany receivables and payables by directly matching them against the corresponding counterparty entries at full recorded values.</w:t>
      </w:r>
    </w:p>
    <w:p w14:paraId="4E518BE4" w14:textId="77777777" w:rsidR="003A78E6" w:rsidRPr="00FD69E6" w:rsidRDefault="003A78E6" w:rsidP="003A78E6">
      <w:pPr>
        <w:pStyle w:val="ListParagraph"/>
        <w:numPr>
          <w:ilvl w:val="6"/>
          <w:numId w:val="10"/>
        </w:numPr>
        <w:autoSpaceDE w:val="0"/>
        <w:autoSpaceDN w:val="0"/>
        <w:adjustRightInd w:val="0"/>
        <w:spacing w:beforeLines="60" w:before="144" w:afterLines="60" w:after="144"/>
        <w:contextualSpacing w:val="0"/>
        <w:rPr>
          <w:rFonts w:ascii="Aptos" w:hAnsi="Aptos"/>
          <w:bCs/>
          <w:sz w:val="22"/>
          <w:szCs w:val="22"/>
        </w:rPr>
      </w:pPr>
      <w:r w:rsidRPr="00FD69E6">
        <w:rPr>
          <w:rFonts w:ascii="Aptos" w:hAnsi="Aptos"/>
          <w:b/>
          <w:bCs/>
          <w:sz w:val="22"/>
          <w:szCs w:val="22"/>
        </w:rPr>
        <w:t>Profit &amp; Loss (Revenue/Expenses):</w:t>
      </w:r>
      <w:r w:rsidRPr="00FD69E6">
        <w:rPr>
          <w:rFonts w:ascii="Aptos" w:hAnsi="Aptos"/>
          <w:bCs/>
          <w:sz w:val="22"/>
          <w:szCs w:val="22"/>
        </w:rPr>
        <w:t xml:space="preserve"> Eliminate intra-group revenue and related costs or expenses at gross value, even if the services are reciprocal or bilateral.</w:t>
      </w:r>
    </w:p>
    <w:p w14:paraId="2970804C" w14:textId="77777777" w:rsidR="003A78E6" w:rsidRPr="00FD69E6" w:rsidRDefault="003A78E6" w:rsidP="003A78E6">
      <w:pPr>
        <w:pStyle w:val="ListParagraph"/>
        <w:numPr>
          <w:ilvl w:val="6"/>
          <w:numId w:val="10"/>
        </w:numPr>
        <w:autoSpaceDE w:val="0"/>
        <w:autoSpaceDN w:val="0"/>
        <w:adjustRightInd w:val="0"/>
        <w:spacing w:beforeLines="60" w:before="144" w:afterLines="60" w:after="144"/>
        <w:contextualSpacing w:val="0"/>
        <w:rPr>
          <w:rStyle w:val="Strong"/>
          <w:rFonts w:ascii="Aptos" w:hAnsi="Aptos"/>
          <w:b w:val="0"/>
        </w:rPr>
      </w:pPr>
      <w:r w:rsidRPr="00FD69E6">
        <w:rPr>
          <w:rFonts w:ascii="Aptos" w:hAnsi="Aptos"/>
          <w:b/>
          <w:bCs/>
          <w:sz w:val="22"/>
          <w:szCs w:val="22"/>
        </w:rPr>
        <w:lastRenderedPageBreak/>
        <w:t>Loans and Interest:</w:t>
      </w:r>
      <w:r w:rsidRPr="00FD69E6">
        <w:rPr>
          <w:rFonts w:ascii="Aptos" w:hAnsi="Aptos"/>
          <w:bCs/>
          <w:sz w:val="22"/>
          <w:szCs w:val="22"/>
        </w:rPr>
        <w:t xml:space="preserve"> Eliminate loan balances and accrued interest income/expense separately, enabling clear tracking of intercompany funding and related FX effects</w:t>
      </w:r>
    </w:p>
    <w:p w14:paraId="5BF6AE9C" w14:textId="77777777" w:rsidR="003A78E6" w:rsidRPr="00561185"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r w:rsidRPr="00561185">
        <w:rPr>
          <w:rFonts w:ascii="Aptos" w:hAnsi="Aptos" w:cstheme="minorBidi"/>
          <w:b/>
          <w:color w:val="0F4761" w:themeColor="accent1" w:themeShade="BF"/>
          <w:sz w:val="28"/>
          <w:szCs w:val="28"/>
        </w:rPr>
        <w:t>Foreign Exchange Requirements</w:t>
      </w:r>
    </w:p>
    <w:p w14:paraId="2195900F" w14:textId="77777777" w:rsidR="003A78E6" w:rsidRPr="00FD69E6" w:rsidRDefault="003A78E6" w:rsidP="003A78E6">
      <w:pPr>
        <w:pStyle w:val="ListParagraph"/>
        <w:numPr>
          <w:ilvl w:val="1"/>
          <w:numId w:val="2"/>
        </w:numPr>
        <w:autoSpaceDE w:val="0"/>
        <w:autoSpaceDN w:val="0"/>
        <w:adjustRightInd w:val="0"/>
        <w:spacing w:before="60" w:afterLines="60" w:after="144"/>
        <w:contextualSpacing w:val="0"/>
        <w:rPr>
          <w:rFonts w:ascii="Aptos" w:eastAsiaTheme="minorEastAsia" w:hAnsi="Aptos" w:cstheme="minorBidi"/>
          <w:b/>
          <w:bCs/>
          <w:sz w:val="22"/>
          <w:szCs w:val="22"/>
        </w:rPr>
      </w:pPr>
      <w:r w:rsidRPr="00FD69E6">
        <w:rPr>
          <w:rFonts w:ascii="Aptos" w:eastAsiaTheme="minorEastAsia" w:hAnsi="Aptos" w:cstheme="minorBidi"/>
          <w:b/>
          <w:bCs/>
          <w:sz w:val="22"/>
          <w:szCs w:val="22"/>
        </w:rPr>
        <w:t>Translation of Financials</w:t>
      </w:r>
    </w:p>
    <w:p w14:paraId="01C44CD2" w14:textId="77777777" w:rsidR="003A78E6" w:rsidRPr="00FD69E6" w:rsidRDefault="003A78E6" w:rsidP="003A78E6">
      <w:pPr>
        <w:pStyle w:val="ListParagraph"/>
        <w:numPr>
          <w:ilvl w:val="2"/>
          <w:numId w:val="2"/>
        </w:numPr>
        <w:autoSpaceDE w:val="0"/>
        <w:autoSpaceDN w:val="0"/>
        <w:adjustRightInd w:val="0"/>
        <w:spacing w:before="60" w:afterLines="60" w:after="144"/>
        <w:ind w:left="1701" w:hanging="839"/>
        <w:contextualSpacing w:val="0"/>
        <w:rPr>
          <w:rFonts w:ascii="Aptos" w:eastAsiaTheme="minorEastAsia" w:hAnsi="Aptos" w:cstheme="minorBidi"/>
          <w:sz w:val="22"/>
          <w:szCs w:val="22"/>
        </w:rPr>
      </w:pPr>
      <w:r w:rsidRPr="00FD69E6">
        <w:rPr>
          <w:rFonts w:ascii="Aptos" w:hAnsi="Aptos"/>
          <w:b/>
          <w:bCs/>
          <w:sz w:val="22"/>
          <w:szCs w:val="22"/>
        </w:rPr>
        <w:t>Translation Requirement:</w:t>
      </w:r>
      <w:r w:rsidRPr="00FD69E6">
        <w:rPr>
          <w:rFonts w:ascii="Aptos" w:hAnsi="Aptos"/>
          <w:sz w:val="22"/>
          <w:szCs w:val="22"/>
        </w:rPr>
        <w:t xml:space="preserve"> Intercompany transactions are recorded at transaction date spot rate</w:t>
      </w:r>
      <w:r w:rsidRPr="00FD69E6">
        <w:rPr>
          <w:rStyle w:val="FootnoteReference"/>
          <w:rFonts w:ascii="Aptos" w:hAnsi="Aptos"/>
          <w:sz w:val="22"/>
          <w:szCs w:val="22"/>
        </w:rPr>
        <w:footnoteReference w:id="1"/>
      </w:r>
      <w:r w:rsidRPr="00FD69E6">
        <w:rPr>
          <w:rFonts w:ascii="Aptos" w:hAnsi="Aptos"/>
          <w:sz w:val="22"/>
          <w:szCs w:val="22"/>
        </w:rPr>
        <w:t>. Foreign currency financial statements must be translated to the group presentation currency at the end of each reporting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696"/>
        <w:gridCol w:w="1702"/>
        <w:gridCol w:w="1276"/>
        <w:gridCol w:w="2949"/>
      </w:tblGrid>
      <w:tr w:rsidR="003A78E6" w:rsidRPr="001568D9" w14:paraId="5AB66407" w14:textId="77777777" w:rsidTr="005362C2">
        <w:trPr>
          <w:trHeight w:val="230"/>
        </w:trPr>
        <w:tc>
          <w:tcPr>
            <w:tcW w:w="973" w:type="pct"/>
            <w:shd w:val="clear" w:color="auto" w:fill="BFBFBF" w:themeFill="background1" w:themeFillShade="BF"/>
            <w:vAlign w:val="center"/>
            <w:hideMark/>
          </w:tcPr>
          <w:p w14:paraId="62C3BEB2" w14:textId="77777777" w:rsidR="003A78E6" w:rsidRPr="002757D1" w:rsidRDefault="003A78E6" w:rsidP="005362C2">
            <w:pPr>
              <w:jc w:val="center"/>
              <w:rPr>
                <w:rFonts w:ascii="Aptos" w:hAnsi="Aptos" w:cs="Arial"/>
                <w:b/>
                <w:color w:val="000000"/>
                <w:sz w:val="22"/>
                <w:szCs w:val="22"/>
              </w:rPr>
            </w:pPr>
            <w:r w:rsidRPr="002757D1">
              <w:rPr>
                <w:rFonts w:ascii="Aptos" w:hAnsi="Aptos" w:cs="Arial"/>
                <w:b/>
                <w:color w:val="000000"/>
                <w:sz w:val="22"/>
                <w:szCs w:val="22"/>
              </w:rPr>
              <w:t>Purpose</w:t>
            </w:r>
          </w:p>
        </w:tc>
        <w:tc>
          <w:tcPr>
            <w:tcW w:w="896" w:type="pct"/>
            <w:shd w:val="clear" w:color="auto" w:fill="BFBFBF" w:themeFill="background1" w:themeFillShade="BF"/>
            <w:vAlign w:val="center"/>
          </w:tcPr>
          <w:p w14:paraId="0A77AB88" w14:textId="2D696A57" w:rsidR="003A78E6" w:rsidRPr="002757D1" w:rsidRDefault="003A78E6" w:rsidP="005362C2">
            <w:pPr>
              <w:jc w:val="center"/>
              <w:rPr>
                <w:rFonts w:ascii="Aptos" w:hAnsi="Aptos" w:cs="Arial"/>
                <w:b/>
                <w:color w:val="000000"/>
                <w:sz w:val="22"/>
                <w:szCs w:val="22"/>
              </w:rPr>
            </w:pPr>
            <w:r w:rsidRPr="002757D1">
              <w:rPr>
                <w:rFonts w:ascii="Aptos" w:hAnsi="Aptos" w:cs="Arial"/>
                <w:b/>
                <w:color w:val="000000"/>
                <w:sz w:val="22"/>
                <w:szCs w:val="22"/>
              </w:rPr>
              <w:t xml:space="preserve">Guidance for </w:t>
            </w:r>
            <w:r w:rsidR="00C112D7">
              <w:rPr>
                <w:rFonts w:ascii="Aptos" w:hAnsi="Aptos" w:cs="Arial"/>
                <w:b/>
                <w:color w:val="000000"/>
                <w:sz w:val="22"/>
                <w:szCs w:val="22"/>
              </w:rPr>
              <w:t>client</w:t>
            </w:r>
          </w:p>
        </w:tc>
        <w:tc>
          <w:tcPr>
            <w:tcW w:w="899" w:type="pct"/>
            <w:shd w:val="clear" w:color="auto" w:fill="BFBFBF" w:themeFill="background1" w:themeFillShade="BF"/>
            <w:vAlign w:val="center"/>
            <w:hideMark/>
          </w:tcPr>
          <w:p w14:paraId="2BFC2400" w14:textId="77777777" w:rsidR="003A78E6" w:rsidRPr="002757D1" w:rsidRDefault="003A78E6" w:rsidP="005362C2">
            <w:pPr>
              <w:jc w:val="center"/>
              <w:rPr>
                <w:rFonts w:ascii="Aptos" w:hAnsi="Aptos" w:cs="Arial"/>
                <w:b/>
                <w:color w:val="000000"/>
                <w:sz w:val="22"/>
                <w:szCs w:val="22"/>
              </w:rPr>
            </w:pPr>
            <w:r w:rsidRPr="002757D1">
              <w:rPr>
                <w:rFonts w:ascii="Aptos" w:hAnsi="Aptos" w:cs="Arial"/>
                <w:b/>
                <w:color w:val="000000"/>
                <w:sz w:val="22"/>
                <w:szCs w:val="22"/>
              </w:rPr>
              <w:t>IFRS guidance FX rate</w:t>
            </w:r>
          </w:p>
        </w:tc>
        <w:tc>
          <w:tcPr>
            <w:tcW w:w="674" w:type="pct"/>
            <w:shd w:val="clear" w:color="auto" w:fill="BFBFBF" w:themeFill="background1" w:themeFillShade="BF"/>
            <w:vAlign w:val="center"/>
            <w:hideMark/>
          </w:tcPr>
          <w:p w14:paraId="02FDD232" w14:textId="77777777" w:rsidR="003A78E6" w:rsidRPr="002757D1" w:rsidRDefault="003A78E6" w:rsidP="005362C2">
            <w:pPr>
              <w:jc w:val="center"/>
              <w:rPr>
                <w:rFonts w:ascii="Aptos" w:hAnsi="Aptos" w:cs="Arial"/>
                <w:b/>
                <w:color w:val="000000"/>
                <w:sz w:val="22"/>
                <w:szCs w:val="22"/>
              </w:rPr>
            </w:pPr>
            <w:r w:rsidRPr="002757D1">
              <w:rPr>
                <w:rFonts w:ascii="Aptos" w:hAnsi="Aptos" w:cs="Arial"/>
                <w:b/>
                <w:color w:val="000000"/>
                <w:sz w:val="22"/>
                <w:szCs w:val="22"/>
              </w:rPr>
              <w:t>IFRS Reference</w:t>
            </w:r>
          </w:p>
        </w:tc>
        <w:tc>
          <w:tcPr>
            <w:tcW w:w="1558" w:type="pct"/>
            <w:shd w:val="clear" w:color="auto" w:fill="BFBFBF" w:themeFill="background1" w:themeFillShade="BF"/>
            <w:vAlign w:val="center"/>
            <w:hideMark/>
          </w:tcPr>
          <w:p w14:paraId="5E75727F" w14:textId="77777777" w:rsidR="003A78E6" w:rsidRPr="002757D1" w:rsidRDefault="003A78E6" w:rsidP="005362C2">
            <w:pPr>
              <w:jc w:val="center"/>
              <w:rPr>
                <w:rFonts w:ascii="Aptos" w:hAnsi="Aptos" w:cs="Arial"/>
                <w:b/>
                <w:color w:val="000000"/>
                <w:sz w:val="22"/>
                <w:szCs w:val="22"/>
              </w:rPr>
            </w:pPr>
            <w:r w:rsidRPr="002757D1">
              <w:rPr>
                <w:rFonts w:ascii="Aptos" w:hAnsi="Aptos" w:cs="Arial"/>
                <w:b/>
                <w:color w:val="000000"/>
                <w:sz w:val="22"/>
                <w:szCs w:val="22"/>
              </w:rPr>
              <w:t>IFRS Extract</w:t>
            </w:r>
          </w:p>
        </w:tc>
      </w:tr>
      <w:tr w:rsidR="003A78E6" w:rsidRPr="001568D9" w14:paraId="000CA8B1" w14:textId="77777777" w:rsidTr="005362C2">
        <w:trPr>
          <w:trHeight w:val="690"/>
        </w:trPr>
        <w:tc>
          <w:tcPr>
            <w:tcW w:w="973" w:type="pct"/>
            <w:vAlign w:val="center"/>
            <w:hideMark/>
          </w:tcPr>
          <w:p w14:paraId="222854FC"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Translation of P&amp;L items</w:t>
            </w:r>
          </w:p>
        </w:tc>
        <w:tc>
          <w:tcPr>
            <w:tcW w:w="896" w:type="pct"/>
            <w:vAlign w:val="center"/>
          </w:tcPr>
          <w:p w14:paraId="0051055E"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Transaction date spot rate</w:t>
            </w:r>
          </w:p>
        </w:tc>
        <w:tc>
          <w:tcPr>
            <w:tcW w:w="899" w:type="pct"/>
            <w:vAlign w:val="center"/>
            <w:hideMark/>
          </w:tcPr>
          <w:p w14:paraId="3F479501"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Average rate or Transaction date spot rate</w:t>
            </w:r>
          </w:p>
        </w:tc>
        <w:tc>
          <w:tcPr>
            <w:tcW w:w="674" w:type="pct"/>
            <w:vAlign w:val="center"/>
            <w:hideMark/>
          </w:tcPr>
          <w:p w14:paraId="382C2780"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IAS 21, Para 39 (b)</w:t>
            </w:r>
          </w:p>
        </w:tc>
        <w:tc>
          <w:tcPr>
            <w:tcW w:w="1558" w:type="pct"/>
            <w:vAlign w:val="center"/>
            <w:hideMark/>
          </w:tcPr>
          <w:p w14:paraId="10F41D17" w14:textId="77777777" w:rsidR="003A78E6" w:rsidRPr="00E747A0" w:rsidRDefault="003A78E6" w:rsidP="005362C2">
            <w:pPr>
              <w:rPr>
                <w:rFonts w:ascii="Aptos" w:hAnsi="Aptos" w:cs="Arial"/>
                <w:color w:val="000000"/>
                <w:sz w:val="16"/>
                <w:szCs w:val="16"/>
              </w:rPr>
            </w:pPr>
            <w:r>
              <w:rPr>
                <w:rFonts w:ascii="Aptos" w:hAnsi="Aptos" w:cs="Arial"/>
                <w:color w:val="000000"/>
                <w:sz w:val="16"/>
                <w:szCs w:val="16"/>
              </w:rPr>
              <w:t>“</w:t>
            </w:r>
            <w:r w:rsidRPr="002671D5">
              <w:rPr>
                <w:rFonts w:ascii="Aptos" w:hAnsi="Aptos" w:cs="Arial"/>
                <w:color w:val="000000"/>
                <w:sz w:val="16"/>
                <w:szCs w:val="16"/>
              </w:rPr>
              <w:t>Income and expenses for each statement presenting profit or loss and other comprehensive income (</w:t>
            </w:r>
            <w:proofErr w:type="spellStart"/>
            <w:r w:rsidRPr="002671D5">
              <w:rPr>
                <w:rFonts w:ascii="Aptos" w:hAnsi="Aptos" w:cs="Arial"/>
                <w:color w:val="000000"/>
                <w:sz w:val="16"/>
                <w:szCs w:val="16"/>
              </w:rPr>
              <w:t>ie</w:t>
            </w:r>
            <w:proofErr w:type="spellEnd"/>
            <w:r w:rsidRPr="002671D5">
              <w:rPr>
                <w:rFonts w:ascii="Aptos" w:hAnsi="Aptos" w:cs="Arial"/>
                <w:color w:val="000000"/>
                <w:sz w:val="16"/>
                <w:szCs w:val="16"/>
              </w:rPr>
              <w:t xml:space="preserve"> including comparatives) shall</w:t>
            </w:r>
            <w:r>
              <w:rPr>
                <w:rFonts w:ascii="Aptos" w:hAnsi="Aptos" w:cs="Arial"/>
                <w:color w:val="000000"/>
                <w:sz w:val="16"/>
                <w:szCs w:val="16"/>
              </w:rPr>
              <w:t>”</w:t>
            </w:r>
          </w:p>
        </w:tc>
      </w:tr>
      <w:tr w:rsidR="003A78E6" w:rsidRPr="001568D9" w14:paraId="0897084C" w14:textId="77777777" w:rsidTr="005362C2">
        <w:trPr>
          <w:trHeight w:val="460"/>
        </w:trPr>
        <w:tc>
          <w:tcPr>
            <w:tcW w:w="973" w:type="pct"/>
            <w:vAlign w:val="center"/>
            <w:hideMark/>
          </w:tcPr>
          <w:p w14:paraId="00B03DA9"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Translation of Balance Sheet items</w:t>
            </w:r>
          </w:p>
        </w:tc>
        <w:tc>
          <w:tcPr>
            <w:tcW w:w="896" w:type="pct"/>
            <w:vAlign w:val="center"/>
          </w:tcPr>
          <w:p w14:paraId="043A2815"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Closing rate</w:t>
            </w:r>
          </w:p>
        </w:tc>
        <w:tc>
          <w:tcPr>
            <w:tcW w:w="899" w:type="pct"/>
            <w:vAlign w:val="center"/>
            <w:hideMark/>
          </w:tcPr>
          <w:p w14:paraId="46206ACA"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Closing rate</w:t>
            </w:r>
          </w:p>
        </w:tc>
        <w:tc>
          <w:tcPr>
            <w:tcW w:w="674" w:type="pct"/>
            <w:vAlign w:val="center"/>
            <w:hideMark/>
          </w:tcPr>
          <w:p w14:paraId="64AD9C03"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IAS 21, Para 39</w:t>
            </w:r>
          </w:p>
        </w:tc>
        <w:tc>
          <w:tcPr>
            <w:tcW w:w="1558" w:type="pct"/>
            <w:vAlign w:val="center"/>
            <w:hideMark/>
          </w:tcPr>
          <w:p w14:paraId="73471254" w14:textId="77777777" w:rsidR="003A78E6" w:rsidRPr="00E747A0" w:rsidRDefault="003A78E6" w:rsidP="005362C2">
            <w:pPr>
              <w:rPr>
                <w:rFonts w:ascii="Aptos" w:hAnsi="Aptos" w:cs="Arial"/>
                <w:color w:val="000000"/>
                <w:sz w:val="16"/>
                <w:szCs w:val="16"/>
              </w:rPr>
            </w:pPr>
            <w:r>
              <w:rPr>
                <w:rFonts w:ascii="Aptos" w:hAnsi="Aptos" w:cs="Arial"/>
                <w:color w:val="000000"/>
                <w:sz w:val="16"/>
                <w:szCs w:val="16"/>
              </w:rPr>
              <w:t>“</w:t>
            </w:r>
            <w:r w:rsidRPr="00263EC9">
              <w:rPr>
                <w:rFonts w:ascii="Aptos" w:hAnsi="Aptos" w:cs="Arial"/>
                <w:color w:val="000000"/>
                <w:sz w:val="16"/>
                <w:szCs w:val="16"/>
              </w:rPr>
              <w:t>Assets and liabilities for each statement of financial position presented (</w:t>
            </w:r>
            <w:proofErr w:type="spellStart"/>
            <w:r w:rsidRPr="00263EC9">
              <w:rPr>
                <w:rFonts w:ascii="Aptos" w:hAnsi="Aptos" w:cs="Arial"/>
                <w:color w:val="000000"/>
                <w:sz w:val="16"/>
                <w:szCs w:val="16"/>
              </w:rPr>
              <w:t>ie</w:t>
            </w:r>
            <w:proofErr w:type="spellEnd"/>
            <w:r w:rsidRPr="00263EC9">
              <w:rPr>
                <w:rFonts w:ascii="Aptos" w:hAnsi="Aptos" w:cs="Arial"/>
                <w:color w:val="000000"/>
                <w:sz w:val="16"/>
                <w:szCs w:val="16"/>
              </w:rPr>
              <w:t xml:space="preserve"> including comparatives) shall be translated at the closing rate at the date of that statement of financial position</w:t>
            </w:r>
            <w:r>
              <w:rPr>
                <w:rFonts w:ascii="Aptos" w:hAnsi="Aptos" w:cs="Arial"/>
                <w:color w:val="000000"/>
                <w:sz w:val="16"/>
                <w:szCs w:val="16"/>
              </w:rPr>
              <w:t>”</w:t>
            </w:r>
          </w:p>
        </w:tc>
      </w:tr>
      <w:tr w:rsidR="003A78E6" w:rsidRPr="001568D9" w14:paraId="78BC4AC4" w14:textId="77777777" w:rsidTr="005362C2">
        <w:trPr>
          <w:trHeight w:val="460"/>
        </w:trPr>
        <w:tc>
          <w:tcPr>
            <w:tcW w:w="973" w:type="pct"/>
            <w:vAlign w:val="center"/>
            <w:hideMark/>
          </w:tcPr>
          <w:p w14:paraId="2525EEC1"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Translation of Equity (share capital, etc.)</w:t>
            </w:r>
          </w:p>
        </w:tc>
        <w:tc>
          <w:tcPr>
            <w:tcW w:w="896" w:type="pct"/>
            <w:vAlign w:val="center"/>
          </w:tcPr>
          <w:p w14:paraId="3B451CDC"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Transaction date spot rate</w:t>
            </w:r>
          </w:p>
        </w:tc>
        <w:tc>
          <w:tcPr>
            <w:tcW w:w="899" w:type="pct"/>
            <w:vAlign w:val="center"/>
            <w:hideMark/>
          </w:tcPr>
          <w:p w14:paraId="6570E6FB"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Transaction date spot rate</w:t>
            </w:r>
          </w:p>
        </w:tc>
        <w:tc>
          <w:tcPr>
            <w:tcW w:w="674" w:type="pct"/>
            <w:vAlign w:val="center"/>
            <w:hideMark/>
          </w:tcPr>
          <w:p w14:paraId="375A1AD4"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IAS 21, Para 47</w:t>
            </w:r>
          </w:p>
        </w:tc>
        <w:tc>
          <w:tcPr>
            <w:tcW w:w="1558" w:type="pct"/>
            <w:vAlign w:val="center"/>
            <w:hideMark/>
          </w:tcPr>
          <w:p w14:paraId="16C40338" w14:textId="77777777" w:rsidR="003A78E6" w:rsidRPr="00E747A0" w:rsidRDefault="003A78E6" w:rsidP="005362C2">
            <w:pPr>
              <w:rPr>
                <w:rFonts w:ascii="Aptos" w:hAnsi="Aptos" w:cs="Arial"/>
                <w:color w:val="000000"/>
                <w:sz w:val="16"/>
                <w:szCs w:val="16"/>
              </w:rPr>
            </w:pPr>
            <w:r w:rsidRPr="00E747A0">
              <w:rPr>
                <w:rFonts w:ascii="Aptos" w:hAnsi="Aptos" w:cs="Arial"/>
                <w:color w:val="000000"/>
                <w:sz w:val="16"/>
                <w:szCs w:val="16"/>
              </w:rPr>
              <w:t>"Equity items are translated at the exchange rate at the date of the transaction."</w:t>
            </w:r>
          </w:p>
        </w:tc>
      </w:tr>
      <w:tr w:rsidR="003A78E6" w:rsidRPr="001568D9" w14:paraId="6337EBAE" w14:textId="77777777" w:rsidTr="005362C2">
        <w:trPr>
          <w:trHeight w:val="690"/>
        </w:trPr>
        <w:tc>
          <w:tcPr>
            <w:tcW w:w="973" w:type="pct"/>
            <w:vAlign w:val="center"/>
            <w:hideMark/>
          </w:tcPr>
          <w:p w14:paraId="6A8D2FB8"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Goodwill and FV Adjustments (from acquisitions)</w:t>
            </w:r>
          </w:p>
        </w:tc>
        <w:tc>
          <w:tcPr>
            <w:tcW w:w="896" w:type="pct"/>
            <w:vAlign w:val="center"/>
          </w:tcPr>
          <w:p w14:paraId="456CA30D"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Closing rate</w:t>
            </w:r>
          </w:p>
        </w:tc>
        <w:tc>
          <w:tcPr>
            <w:tcW w:w="899" w:type="pct"/>
            <w:vAlign w:val="center"/>
            <w:hideMark/>
          </w:tcPr>
          <w:p w14:paraId="73B7F134"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Closing rate</w:t>
            </w:r>
          </w:p>
        </w:tc>
        <w:tc>
          <w:tcPr>
            <w:tcW w:w="674" w:type="pct"/>
            <w:vAlign w:val="center"/>
            <w:hideMark/>
          </w:tcPr>
          <w:p w14:paraId="72AD3CAB"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IAS 21, Para 47</w:t>
            </w:r>
          </w:p>
        </w:tc>
        <w:tc>
          <w:tcPr>
            <w:tcW w:w="1558" w:type="pct"/>
            <w:vAlign w:val="center"/>
            <w:hideMark/>
          </w:tcPr>
          <w:p w14:paraId="7AFD51CC" w14:textId="77777777" w:rsidR="003A78E6" w:rsidRPr="00E747A0" w:rsidRDefault="003A78E6" w:rsidP="005362C2">
            <w:pPr>
              <w:rPr>
                <w:rFonts w:ascii="Aptos" w:hAnsi="Aptos" w:cs="Arial"/>
                <w:color w:val="000000"/>
                <w:sz w:val="16"/>
                <w:szCs w:val="16"/>
              </w:rPr>
            </w:pPr>
            <w:r w:rsidRPr="00E747A0">
              <w:rPr>
                <w:rFonts w:ascii="Aptos" w:hAnsi="Aptos" w:cs="Arial"/>
                <w:color w:val="000000"/>
                <w:sz w:val="16"/>
                <w:szCs w:val="16"/>
              </w:rPr>
              <w:t>"Goodwill arising on the acquisition of a foreign operation... is treated as an asset of the foreign operation and translated at the closing rate."</w:t>
            </w:r>
          </w:p>
        </w:tc>
      </w:tr>
      <w:tr w:rsidR="003A78E6" w:rsidRPr="00303A04" w14:paraId="11759193" w14:textId="77777777" w:rsidTr="005362C2">
        <w:trPr>
          <w:trHeight w:val="690"/>
        </w:trPr>
        <w:tc>
          <w:tcPr>
            <w:tcW w:w="973" w:type="pct"/>
            <w:vAlign w:val="center"/>
            <w:hideMark/>
          </w:tcPr>
          <w:p w14:paraId="735953B1"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IC Eliminations in Different Currencies – P&amp;L</w:t>
            </w:r>
          </w:p>
        </w:tc>
        <w:tc>
          <w:tcPr>
            <w:tcW w:w="896" w:type="pct"/>
            <w:vAlign w:val="center"/>
          </w:tcPr>
          <w:p w14:paraId="44EC9334"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Transaction date spot rate</w:t>
            </w:r>
          </w:p>
        </w:tc>
        <w:tc>
          <w:tcPr>
            <w:tcW w:w="899" w:type="pct"/>
            <w:vAlign w:val="center"/>
            <w:hideMark/>
          </w:tcPr>
          <w:p w14:paraId="42D80CEE"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Average rate or Transaction date spot rate</w:t>
            </w:r>
          </w:p>
        </w:tc>
        <w:tc>
          <w:tcPr>
            <w:tcW w:w="674" w:type="pct"/>
            <w:vMerge w:val="restart"/>
            <w:vAlign w:val="center"/>
            <w:hideMark/>
          </w:tcPr>
          <w:p w14:paraId="7574D489"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IFRS 10, IAS 21</w:t>
            </w:r>
          </w:p>
        </w:tc>
        <w:tc>
          <w:tcPr>
            <w:tcW w:w="1558" w:type="pct"/>
            <w:vMerge w:val="restart"/>
            <w:vAlign w:val="center"/>
            <w:hideMark/>
          </w:tcPr>
          <w:p w14:paraId="1E0A6FF3" w14:textId="77777777" w:rsidR="003A78E6" w:rsidRPr="00E747A0" w:rsidRDefault="003A78E6" w:rsidP="005362C2">
            <w:pPr>
              <w:rPr>
                <w:rFonts w:ascii="Aptos" w:hAnsi="Aptos" w:cs="Arial"/>
                <w:color w:val="000000"/>
                <w:sz w:val="16"/>
                <w:szCs w:val="16"/>
              </w:rPr>
            </w:pPr>
            <w:r w:rsidRPr="00E747A0">
              <w:rPr>
                <w:rFonts w:ascii="Aptos" w:hAnsi="Aptos" w:cs="Arial"/>
                <w:color w:val="000000"/>
                <w:sz w:val="16"/>
                <w:szCs w:val="16"/>
              </w:rPr>
              <w:t>"Intra-group balances and transactions... are eliminated in full. Where FX differences arise, treatment should follow IAS 21 translation or net investment rules."</w:t>
            </w:r>
          </w:p>
        </w:tc>
      </w:tr>
      <w:tr w:rsidR="003A78E6" w:rsidRPr="00303A04" w14:paraId="41AD9EBF" w14:textId="77777777" w:rsidTr="005362C2">
        <w:trPr>
          <w:trHeight w:val="690"/>
        </w:trPr>
        <w:tc>
          <w:tcPr>
            <w:tcW w:w="973" w:type="pct"/>
          </w:tcPr>
          <w:p w14:paraId="665E7523"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IC Eliminations in Different Currencies – BS</w:t>
            </w:r>
          </w:p>
        </w:tc>
        <w:tc>
          <w:tcPr>
            <w:tcW w:w="896" w:type="pct"/>
            <w:vAlign w:val="center"/>
          </w:tcPr>
          <w:p w14:paraId="50C0BD85"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Closing rate</w:t>
            </w:r>
          </w:p>
        </w:tc>
        <w:tc>
          <w:tcPr>
            <w:tcW w:w="899" w:type="pct"/>
            <w:vAlign w:val="center"/>
          </w:tcPr>
          <w:p w14:paraId="0D33702F" w14:textId="77777777" w:rsidR="003A78E6" w:rsidRPr="002757D1" w:rsidRDefault="003A78E6" w:rsidP="005362C2">
            <w:pPr>
              <w:rPr>
                <w:rFonts w:ascii="Aptos" w:hAnsi="Aptos" w:cs="Arial"/>
                <w:color w:val="000000"/>
                <w:sz w:val="20"/>
                <w:szCs w:val="20"/>
              </w:rPr>
            </w:pPr>
            <w:r w:rsidRPr="002757D1">
              <w:rPr>
                <w:rFonts w:ascii="Aptos" w:hAnsi="Aptos" w:cs="Arial"/>
                <w:color w:val="000000"/>
                <w:sz w:val="20"/>
                <w:szCs w:val="20"/>
              </w:rPr>
              <w:t>Closing rate</w:t>
            </w:r>
          </w:p>
        </w:tc>
        <w:tc>
          <w:tcPr>
            <w:tcW w:w="674" w:type="pct"/>
            <w:vMerge/>
          </w:tcPr>
          <w:p w14:paraId="09637EE3" w14:textId="77777777" w:rsidR="003A78E6" w:rsidRPr="00E747A0" w:rsidRDefault="003A78E6" w:rsidP="005362C2">
            <w:pPr>
              <w:rPr>
                <w:rFonts w:ascii="Aptos" w:hAnsi="Aptos" w:cs="Arial"/>
                <w:color w:val="000000"/>
                <w:sz w:val="16"/>
                <w:szCs w:val="16"/>
              </w:rPr>
            </w:pPr>
          </w:p>
        </w:tc>
        <w:tc>
          <w:tcPr>
            <w:tcW w:w="1558" w:type="pct"/>
            <w:vMerge/>
          </w:tcPr>
          <w:p w14:paraId="49078CB4" w14:textId="77777777" w:rsidR="003A78E6" w:rsidRPr="00E747A0" w:rsidRDefault="003A78E6" w:rsidP="005362C2">
            <w:pPr>
              <w:rPr>
                <w:rFonts w:ascii="Aptos" w:hAnsi="Aptos" w:cs="Arial"/>
                <w:color w:val="000000"/>
                <w:sz w:val="16"/>
                <w:szCs w:val="16"/>
              </w:rPr>
            </w:pPr>
          </w:p>
        </w:tc>
      </w:tr>
    </w:tbl>
    <w:p w14:paraId="3CAFD88F" w14:textId="77777777" w:rsidR="003A78E6" w:rsidRPr="00E747A0" w:rsidRDefault="003A78E6" w:rsidP="003A78E6">
      <w:pPr>
        <w:autoSpaceDE w:val="0"/>
        <w:autoSpaceDN w:val="0"/>
        <w:adjustRightInd w:val="0"/>
        <w:spacing w:before="60" w:afterLines="60" w:after="144"/>
        <w:jc w:val="both"/>
        <w:rPr>
          <w:rFonts w:ascii="Aptos" w:eastAsiaTheme="minorEastAsia" w:hAnsi="Aptos" w:cstheme="minorBidi"/>
          <w:sz w:val="22"/>
          <w:szCs w:val="22"/>
        </w:rPr>
      </w:pPr>
    </w:p>
    <w:p w14:paraId="4113B141" w14:textId="77777777" w:rsidR="003A78E6" w:rsidRPr="00810188" w:rsidRDefault="003A78E6" w:rsidP="003A78E6">
      <w:pPr>
        <w:pStyle w:val="ListParagraph"/>
        <w:numPr>
          <w:ilvl w:val="2"/>
          <w:numId w:val="2"/>
        </w:numPr>
        <w:autoSpaceDE w:val="0"/>
        <w:autoSpaceDN w:val="0"/>
        <w:adjustRightInd w:val="0"/>
        <w:spacing w:before="60" w:afterLines="60" w:after="144"/>
        <w:ind w:left="1701" w:hanging="839"/>
        <w:contextualSpacing w:val="0"/>
        <w:rPr>
          <w:rFonts w:ascii="Aptos" w:eastAsiaTheme="minorEastAsia" w:hAnsi="Aptos" w:cstheme="minorBidi"/>
          <w:sz w:val="22"/>
          <w:szCs w:val="22"/>
        </w:rPr>
      </w:pPr>
      <w:r w:rsidRPr="00810188">
        <w:rPr>
          <w:rFonts w:ascii="Aptos" w:hAnsi="Aptos"/>
          <w:b/>
          <w:bCs/>
          <w:sz w:val="22"/>
          <w:szCs w:val="22"/>
        </w:rPr>
        <w:t xml:space="preserve">Reclassification of </w:t>
      </w:r>
      <w:r>
        <w:rPr>
          <w:rFonts w:ascii="Aptos" w:hAnsi="Aptos"/>
          <w:b/>
          <w:bCs/>
          <w:sz w:val="22"/>
          <w:szCs w:val="22"/>
        </w:rPr>
        <w:t>Cumulative Translation Adjustment (</w:t>
      </w:r>
      <w:r w:rsidRPr="00810188">
        <w:rPr>
          <w:rFonts w:ascii="Aptos" w:hAnsi="Aptos"/>
          <w:b/>
          <w:bCs/>
          <w:sz w:val="22"/>
          <w:szCs w:val="22"/>
        </w:rPr>
        <w:t>CTA</w:t>
      </w:r>
      <w:r>
        <w:rPr>
          <w:rFonts w:ascii="Aptos" w:hAnsi="Aptos"/>
          <w:b/>
          <w:bCs/>
          <w:sz w:val="22"/>
          <w:szCs w:val="22"/>
        </w:rPr>
        <w:t>)</w:t>
      </w:r>
      <w:r w:rsidRPr="00810188">
        <w:rPr>
          <w:rFonts w:ascii="Aptos" w:hAnsi="Aptos"/>
          <w:b/>
          <w:bCs/>
          <w:sz w:val="22"/>
          <w:szCs w:val="22"/>
        </w:rPr>
        <w:t xml:space="preserve"> Reserve</w:t>
      </w:r>
      <w:r w:rsidRPr="00810188">
        <w:rPr>
          <w:rFonts w:ascii="Aptos" w:hAnsi="Aptos"/>
          <w:sz w:val="22"/>
          <w:szCs w:val="22"/>
        </w:rPr>
        <w:t xml:space="preserve">: </w:t>
      </w:r>
    </w:p>
    <w:p w14:paraId="2B83D325" w14:textId="77777777" w:rsidR="003A78E6" w:rsidRPr="00810188" w:rsidRDefault="003A78E6" w:rsidP="003A78E6">
      <w:pPr>
        <w:pStyle w:val="ListParagraph"/>
        <w:numPr>
          <w:ilvl w:val="3"/>
          <w:numId w:val="2"/>
        </w:numPr>
        <w:autoSpaceDE w:val="0"/>
        <w:autoSpaceDN w:val="0"/>
        <w:adjustRightInd w:val="0"/>
        <w:spacing w:before="60" w:afterLines="60" w:after="144"/>
        <w:ind w:left="2127"/>
        <w:contextualSpacing w:val="0"/>
        <w:rPr>
          <w:rFonts w:ascii="Aptos" w:eastAsiaTheme="minorEastAsia" w:hAnsi="Aptos" w:cstheme="minorBidi"/>
          <w:sz w:val="22"/>
          <w:szCs w:val="22"/>
        </w:rPr>
      </w:pPr>
      <w:r w:rsidRPr="00810188">
        <w:rPr>
          <w:rFonts w:ascii="Aptos" w:hAnsi="Aptos"/>
          <w:sz w:val="22"/>
          <w:szCs w:val="22"/>
        </w:rPr>
        <w:t xml:space="preserve">Translation adjustments accumulated in the CTA reserve are generally not reclassified to the income statement. This treatment ensures that FX fluctuations arising from the translation of financial statements do not distort operating performance unless the Group’s exposure to the underlying foreign operation has materially changed. </w:t>
      </w:r>
    </w:p>
    <w:p w14:paraId="7B4805AF" w14:textId="77777777" w:rsidR="003A78E6" w:rsidRPr="00810188" w:rsidRDefault="003A78E6" w:rsidP="003A78E6">
      <w:pPr>
        <w:pStyle w:val="ListParagraph"/>
        <w:numPr>
          <w:ilvl w:val="3"/>
          <w:numId w:val="2"/>
        </w:numPr>
        <w:autoSpaceDE w:val="0"/>
        <w:autoSpaceDN w:val="0"/>
        <w:adjustRightInd w:val="0"/>
        <w:spacing w:before="60" w:afterLines="60" w:after="144"/>
        <w:ind w:left="2127"/>
        <w:contextualSpacing w:val="0"/>
        <w:rPr>
          <w:rFonts w:ascii="Aptos" w:eastAsiaTheme="minorEastAsia" w:hAnsi="Aptos" w:cstheme="minorBidi"/>
          <w:sz w:val="22"/>
          <w:szCs w:val="22"/>
        </w:rPr>
      </w:pPr>
      <w:r w:rsidRPr="00810188">
        <w:rPr>
          <w:rFonts w:ascii="Aptos" w:hAnsi="Aptos"/>
          <w:sz w:val="22"/>
          <w:szCs w:val="22"/>
        </w:rPr>
        <w:t>In accordance with IAS 21, the translation differences may be reclassified (or 'recycled') to profit or loss only upon:</w:t>
      </w:r>
    </w:p>
    <w:p w14:paraId="150F0336" w14:textId="77777777" w:rsidR="003A78E6" w:rsidRPr="00810188" w:rsidRDefault="003A78E6" w:rsidP="003A78E6">
      <w:pPr>
        <w:pStyle w:val="ListParagraph"/>
        <w:numPr>
          <w:ilvl w:val="6"/>
          <w:numId w:val="11"/>
        </w:numPr>
        <w:autoSpaceDE w:val="0"/>
        <w:autoSpaceDN w:val="0"/>
        <w:adjustRightInd w:val="0"/>
        <w:spacing w:before="60" w:afterLines="60" w:after="144"/>
        <w:contextualSpacing w:val="0"/>
        <w:rPr>
          <w:rFonts w:ascii="Aptos" w:hAnsi="Aptos"/>
          <w:sz w:val="22"/>
          <w:szCs w:val="22"/>
        </w:rPr>
      </w:pPr>
      <w:r w:rsidRPr="00810188">
        <w:rPr>
          <w:rFonts w:ascii="Aptos" w:hAnsi="Aptos"/>
          <w:b/>
          <w:bCs/>
          <w:sz w:val="22"/>
          <w:szCs w:val="22"/>
        </w:rPr>
        <w:t>Full disposal</w:t>
      </w:r>
      <w:r w:rsidRPr="00810188">
        <w:rPr>
          <w:rFonts w:ascii="Aptos" w:hAnsi="Aptos"/>
          <w:sz w:val="22"/>
          <w:szCs w:val="22"/>
        </w:rPr>
        <w:t xml:space="preserve"> of the foreign operation, including the sale of the subsidiary or permanent cessation of its activities.</w:t>
      </w:r>
    </w:p>
    <w:p w14:paraId="7BFAF32C" w14:textId="77777777" w:rsidR="003A78E6" w:rsidRPr="00810188" w:rsidRDefault="003A78E6" w:rsidP="003A78E6">
      <w:pPr>
        <w:pStyle w:val="ListParagraph"/>
        <w:numPr>
          <w:ilvl w:val="6"/>
          <w:numId w:val="11"/>
        </w:numPr>
        <w:autoSpaceDE w:val="0"/>
        <w:autoSpaceDN w:val="0"/>
        <w:adjustRightInd w:val="0"/>
        <w:spacing w:before="60" w:afterLines="60" w:after="144"/>
        <w:contextualSpacing w:val="0"/>
        <w:rPr>
          <w:rFonts w:ascii="Aptos" w:hAnsi="Aptos"/>
          <w:sz w:val="22"/>
          <w:szCs w:val="22"/>
        </w:rPr>
      </w:pPr>
      <w:r w:rsidRPr="00810188">
        <w:rPr>
          <w:rFonts w:ascii="Aptos" w:hAnsi="Aptos"/>
          <w:b/>
          <w:bCs/>
          <w:sz w:val="22"/>
          <w:szCs w:val="22"/>
        </w:rPr>
        <w:lastRenderedPageBreak/>
        <w:t>Partial disposal</w:t>
      </w:r>
      <w:r w:rsidRPr="00810188">
        <w:rPr>
          <w:rFonts w:ascii="Aptos" w:hAnsi="Aptos"/>
          <w:sz w:val="22"/>
          <w:szCs w:val="22"/>
        </w:rPr>
        <w:t xml:space="preserve"> that results in the loss of control (subsidiary), joint control (joint venture), or significant influence (associate)</w:t>
      </w:r>
    </w:p>
    <w:p w14:paraId="654FE6E7" w14:textId="77777777" w:rsidR="003A78E6" w:rsidRPr="00810188" w:rsidRDefault="003A78E6" w:rsidP="003A78E6">
      <w:pPr>
        <w:pStyle w:val="ListParagraph"/>
        <w:numPr>
          <w:ilvl w:val="6"/>
          <w:numId w:val="11"/>
        </w:numPr>
        <w:autoSpaceDE w:val="0"/>
        <w:autoSpaceDN w:val="0"/>
        <w:adjustRightInd w:val="0"/>
        <w:spacing w:before="60" w:afterLines="60" w:after="144"/>
        <w:contextualSpacing w:val="0"/>
        <w:rPr>
          <w:rFonts w:ascii="Aptos" w:hAnsi="Aptos"/>
          <w:sz w:val="22"/>
          <w:szCs w:val="22"/>
        </w:rPr>
      </w:pPr>
      <w:r w:rsidRPr="00810188">
        <w:rPr>
          <w:rFonts w:ascii="Aptos" w:hAnsi="Aptos"/>
          <w:sz w:val="22"/>
          <w:szCs w:val="22"/>
        </w:rPr>
        <w:t>If the Group retains control after a partial disposal, no recycling is performed. Instead, the proportionate share of CTA related to the non-controlling interest is derecogni</w:t>
      </w:r>
      <w:r>
        <w:rPr>
          <w:rFonts w:ascii="Aptos" w:hAnsi="Aptos"/>
          <w:sz w:val="22"/>
          <w:szCs w:val="22"/>
        </w:rPr>
        <w:t>s</w:t>
      </w:r>
      <w:r w:rsidRPr="00810188">
        <w:rPr>
          <w:rFonts w:ascii="Aptos" w:hAnsi="Aptos"/>
          <w:sz w:val="22"/>
          <w:szCs w:val="22"/>
        </w:rPr>
        <w:t xml:space="preserve">ed directly in equity. </w:t>
      </w:r>
    </w:p>
    <w:p w14:paraId="455A18F0" w14:textId="77777777" w:rsidR="003A78E6" w:rsidRPr="00810188" w:rsidRDefault="003A78E6" w:rsidP="003A78E6">
      <w:pPr>
        <w:pStyle w:val="ListParagraph"/>
        <w:numPr>
          <w:ilvl w:val="6"/>
          <w:numId w:val="11"/>
        </w:numPr>
        <w:autoSpaceDE w:val="0"/>
        <w:autoSpaceDN w:val="0"/>
        <w:adjustRightInd w:val="0"/>
        <w:spacing w:before="60" w:afterLines="60" w:after="144"/>
        <w:contextualSpacing w:val="0"/>
        <w:rPr>
          <w:rFonts w:ascii="Aptos" w:hAnsi="Aptos"/>
          <w:sz w:val="22"/>
          <w:szCs w:val="22"/>
        </w:rPr>
      </w:pPr>
      <w:r w:rsidRPr="00810188">
        <w:rPr>
          <w:rFonts w:ascii="Aptos" w:hAnsi="Aptos"/>
          <w:b/>
          <w:bCs/>
          <w:sz w:val="22"/>
          <w:szCs w:val="22"/>
        </w:rPr>
        <w:t>Documentation:</w:t>
      </w:r>
      <w:r w:rsidRPr="00810188">
        <w:rPr>
          <w:rFonts w:ascii="Aptos" w:hAnsi="Aptos"/>
          <w:sz w:val="22"/>
          <w:szCs w:val="22"/>
        </w:rPr>
        <w:t xml:space="preserve"> All such events must be clearly documented, supported by transaction evidence, and reviewed by the Global Consolidation team prior to CTA reclassification.</w:t>
      </w:r>
    </w:p>
    <w:p w14:paraId="2C7B940B" w14:textId="77777777" w:rsidR="003A78E6" w:rsidRPr="00810188" w:rsidRDefault="003A78E6" w:rsidP="003A78E6">
      <w:pPr>
        <w:pStyle w:val="ListParagraph"/>
        <w:numPr>
          <w:ilvl w:val="1"/>
          <w:numId w:val="2"/>
        </w:numPr>
        <w:autoSpaceDE w:val="0"/>
        <w:autoSpaceDN w:val="0"/>
        <w:adjustRightInd w:val="0"/>
        <w:spacing w:before="120" w:after="120"/>
        <w:contextualSpacing w:val="0"/>
        <w:rPr>
          <w:rFonts w:ascii="Aptos" w:eastAsiaTheme="minorEastAsia" w:hAnsi="Aptos" w:cstheme="minorBidi"/>
          <w:b/>
          <w:bCs/>
          <w:sz w:val="22"/>
          <w:szCs w:val="22"/>
        </w:rPr>
      </w:pPr>
      <w:r w:rsidRPr="00810188">
        <w:rPr>
          <w:rFonts w:ascii="Aptos" w:eastAsiaTheme="minorEastAsia" w:hAnsi="Aptos" w:cstheme="minorBidi"/>
          <w:b/>
          <w:bCs/>
          <w:sz w:val="22"/>
          <w:szCs w:val="22"/>
        </w:rPr>
        <w:t xml:space="preserve">Revaluation </w:t>
      </w:r>
    </w:p>
    <w:p w14:paraId="1BEB3035" w14:textId="77777777" w:rsidR="003A78E6" w:rsidRPr="00810188"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cstheme="minorBidi"/>
          <w:sz w:val="22"/>
          <w:szCs w:val="22"/>
        </w:rPr>
      </w:pPr>
      <w:r w:rsidRPr="00810188">
        <w:rPr>
          <w:rFonts w:ascii="Aptos" w:hAnsi="Aptos"/>
          <w:b/>
          <w:bCs/>
          <w:sz w:val="22"/>
          <w:szCs w:val="22"/>
        </w:rPr>
        <w:t>Monetary assets and liabilities</w:t>
      </w:r>
      <w:r w:rsidRPr="00810188">
        <w:rPr>
          <w:rFonts w:ascii="Aptos" w:hAnsi="Aptos"/>
          <w:sz w:val="22"/>
          <w:szCs w:val="22"/>
        </w:rPr>
        <w:t xml:space="preserve"> denominated in a foreign currency must be revalued at each reporting date using the closing exchange rate. The resulting foreign exchange differences are recorded in the </w:t>
      </w:r>
      <w:r w:rsidRPr="00810188">
        <w:rPr>
          <w:rStyle w:val="Strong"/>
          <w:rFonts w:ascii="Aptos" w:hAnsi="Aptos"/>
          <w:sz w:val="22"/>
          <w:szCs w:val="22"/>
        </w:rPr>
        <w:t>profit or loss</w:t>
      </w:r>
      <w:r w:rsidRPr="00810188">
        <w:rPr>
          <w:rFonts w:ascii="Aptos" w:hAnsi="Aptos"/>
          <w:sz w:val="22"/>
          <w:szCs w:val="22"/>
        </w:rPr>
        <w:t xml:space="preserve"> for the period.</w:t>
      </w:r>
    </w:p>
    <w:p w14:paraId="28A51C4D" w14:textId="77777777" w:rsidR="003A78E6" w:rsidRPr="00810188"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cstheme="minorBidi"/>
          <w:sz w:val="22"/>
          <w:szCs w:val="22"/>
        </w:rPr>
      </w:pPr>
      <w:r w:rsidRPr="00810188">
        <w:rPr>
          <w:rStyle w:val="Strong"/>
          <w:rFonts w:ascii="Aptos" w:hAnsi="Aptos"/>
          <w:sz w:val="22"/>
          <w:szCs w:val="22"/>
        </w:rPr>
        <w:t>Non-monetary items: N</w:t>
      </w:r>
      <w:r w:rsidRPr="00810188">
        <w:rPr>
          <w:rFonts w:ascii="Aptos" w:hAnsi="Aptos"/>
          <w:sz w:val="22"/>
          <w:szCs w:val="22"/>
        </w:rPr>
        <w:t>ot revalued unless they are carried at fair value (e.g., revalued PPE), in which case the fair value is translated at the rate on the valuation date.</w:t>
      </w:r>
    </w:p>
    <w:p w14:paraId="613B6E8B" w14:textId="77777777" w:rsidR="003A78E6" w:rsidRPr="00810188"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cstheme="minorBidi"/>
          <w:sz w:val="22"/>
          <w:szCs w:val="22"/>
        </w:rPr>
      </w:pPr>
      <w:r w:rsidRPr="00810188">
        <w:rPr>
          <w:rFonts w:ascii="Aptos" w:hAnsi="Aptos"/>
          <w:sz w:val="22"/>
          <w:szCs w:val="22"/>
        </w:rPr>
        <w:t xml:space="preserve">When monetary items form part of a </w:t>
      </w:r>
      <w:r w:rsidRPr="00810188">
        <w:rPr>
          <w:rStyle w:val="Strong"/>
          <w:rFonts w:ascii="Aptos" w:hAnsi="Aptos"/>
          <w:sz w:val="22"/>
          <w:szCs w:val="22"/>
        </w:rPr>
        <w:t>net investment in a foreign operation</w:t>
      </w:r>
      <w:r w:rsidRPr="00810188">
        <w:rPr>
          <w:rFonts w:ascii="Aptos" w:hAnsi="Aptos"/>
          <w:sz w:val="22"/>
          <w:szCs w:val="22"/>
        </w:rPr>
        <w:t>, the associated FX gain or loss is recogni</w:t>
      </w:r>
      <w:r>
        <w:rPr>
          <w:rFonts w:ascii="Aptos" w:hAnsi="Aptos"/>
          <w:sz w:val="22"/>
          <w:szCs w:val="22"/>
        </w:rPr>
        <w:t>s</w:t>
      </w:r>
      <w:r w:rsidRPr="00810188">
        <w:rPr>
          <w:rFonts w:ascii="Aptos" w:hAnsi="Aptos"/>
          <w:sz w:val="22"/>
          <w:szCs w:val="22"/>
        </w:rPr>
        <w:t xml:space="preserve">ed in </w:t>
      </w:r>
      <w:r w:rsidRPr="00810188">
        <w:rPr>
          <w:rStyle w:val="Strong"/>
          <w:rFonts w:ascii="Aptos" w:hAnsi="Aptos"/>
          <w:sz w:val="22"/>
          <w:szCs w:val="22"/>
        </w:rPr>
        <w:t>OCI</w:t>
      </w:r>
      <w:r w:rsidRPr="00810188">
        <w:rPr>
          <w:rFonts w:ascii="Aptos" w:hAnsi="Aptos"/>
          <w:sz w:val="22"/>
          <w:szCs w:val="22"/>
        </w:rPr>
        <w:t>, not P&amp;L, in line with IAS 21.</w:t>
      </w:r>
    </w:p>
    <w:p w14:paraId="400CA9A8" w14:textId="77777777" w:rsidR="003A78E6" w:rsidRPr="00810188" w:rsidRDefault="003A78E6" w:rsidP="003A78E6">
      <w:pPr>
        <w:pStyle w:val="ListParagraph"/>
        <w:numPr>
          <w:ilvl w:val="1"/>
          <w:numId w:val="2"/>
        </w:numPr>
        <w:autoSpaceDE w:val="0"/>
        <w:autoSpaceDN w:val="0"/>
        <w:adjustRightInd w:val="0"/>
        <w:spacing w:before="120" w:after="120"/>
        <w:contextualSpacing w:val="0"/>
        <w:rPr>
          <w:rFonts w:ascii="Aptos" w:eastAsiaTheme="minorEastAsia" w:hAnsi="Aptos" w:cstheme="minorBidi"/>
          <w:b/>
          <w:bCs/>
          <w:sz w:val="22"/>
          <w:szCs w:val="22"/>
        </w:rPr>
      </w:pPr>
      <w:r w:rsidRPr="00810188">
        <w:rPr>
          <w:rFonts w:ascii="Aptos" w:hAnsi="Aptos"/>
          <w:b/>
          <w:bCs/>
          <w:sz w:val="22"/>
          <w:szCs w:val="22"/>
        </w:rPr>
        <w:t>CTA Reserve Management</w:t>
      </w:r>
    </w:p>
    <w:p w14:paraId="40D55FBB" w14:textId="77777777" w:rsidR="003A78E6" w:rsidRPr="00810188" w:rsidRDefault="003A78E6" w:rsidP="003A78E6">
      <w:pPr>
        <w:pStyle w:val="ListParagraph"/>
        <w:numPr>
          <w:ilvl w:val="2"/>
          <w:numId w:val="2"/>
        </w:numPr>
        <w:autoSpaceDE w:val="0"/>
        <w:autoSpaceDN w:val="0"/>
        <w:adjustRightInd w:val="0"/>
        <w:spacing w:before="120" w:after="120"/>
        <w:ind w:left="1701" w:hanging="839"/>
        <w:contextualSpacing w:val="0"/>
        <w:rPr>
          <w:rFonts w:ascii="Aptos" w:hAnsi="Aptos"/>
          <w:sz w:val="22"/>
          <w:szCs w:val="22"/>
        </w:rPr>
      </w:pPr>
      <w:r w:rsidRPr="00810188">
        <w:rPr>
          <w:rFonts w:ascii="Aptos" w:hAnsi="Aptos"/>
          <w:sz w:val="22"/>
          <w:szCs w:val="22"/>
        </w:rPr>
        <w:t>The Cumulative Translation Adjustment reserve reflects all FX differences from the translation of financial statements of foreign operations.</w:t>
      </w:r>
    </w:p>
    <w:p w14:paraId="54C670A2" w14:textId="77777777" w:rsidR="003A78E6" w:rsidRPr="00810188" w:rsidRDefault="003A78E6" w:rsidP="003A78E6">
      <w:pPr>
        <w:pStyle w:val="ListParagraph"/>
        <w:numPr>
          <w:ilvl w:val="2"/>
          <w:numId w:val="2"/>
        </w:numPr>
        <w:autoSpaceDE w:val="0"/>
        <w:autoSpaceDN w:val="0"/>
        <w:adjustRightInd w:val="0"/>
        <w:spacing w:before="120" w:after="120"/>
        <w:ind w:left="1701" w:hanging="839"/>
        <w:contextualSpacing w:val="0"/>
        <w:rPr>
          <w:rFonts w:ascii="Aptos" w:hAnsi="Aptos"/>
          <w:sz w:val="22"/>
          <w:szCs w:val="22"/>
        </w:rPr>
      </w:pPr>
      <w:r w:rsidRPr="00810188">
        <w:rPr>
          <w:rFonts w:ascii="Aptos" w:hAnsi="Aptos"/>
          <w:sz w:val="22"/>
          <w:szCs w:val="22"/>
        </w:rPr>
        <w:t>CTA is recorded in Other Comprehensive Income (OCI) and accumulated in a separate component of equity.</w:t>
      </w:r>
    </w:p>
    <w:p w14:paraId="5BDBDFAD" w14:textId="77777777" w:rsidR="003A78E6" w:rsidRPr="00810188" w:rsidRDefault="003A78E6" w:rsidP="003A78E6">
      <w:pPr>
        <w:pStyle w:val="ListParagraph"/>
        <w:numPr>
          <w:ilvl w:val="2"/>
          <w:numId w:val="2"/>
        </w:numPr>
        <w:autoSpaceDE w:val="0"/>
        <w:autoSpaceDN w:val="0"/>
        <w:adjustRightInd w:val="0"/>
        <w:spacing w:before="120" w:after="120"/>
        <w:ind w:left="1701" w:hanging="839"/>
        <w:contextualSpacing w:val="0"/>
        <w:rPr>
          <w:rFonts w:ascii="Aptos" w:hAnsi="Aptos"/>
          <w:sz w:val="22"/>
          <w:szCs w:val="22"/>
        </w:rPr>
      </w:pPr>
      <w:r w:rsidRPr="00810188">
        <w:rPr>
          <w:rFonts w:ascii="Aptos" w:hAnsi="Aptos"/>
          <w:sz w:val="22"/>
          <w:szCs w:val="22"/>
        </w:rPr>
        <w:t xml:space="preserve">CTA is maintained by </w:t>
      </w:r>
      <w:r>
        <w:rPr>
          <w:rFonts w:ascii="Aptos" w:hAnsi="Aptos"/>
          <w:sz w:val="22"/>
          <w:szCs w:val="22"/>
        </w:rPr>
        <w:t xml:space="preserve">Global consolidation team </w:t>
      </w:r>
      <w:r w:rsidRPr="00810188">
        <w:rPr>
          <w:rFonts w:ascii="Aptos" w:hAnsi="Aptos"/>
          <w:sz w:val="22"/>
          <w:szCs w:val="22"/>
        </w:rPr>
        <w:t xml:space="preserve">and reconciled monthly </w:t>
      </w:r>
    </w:p>
    <w:p w14:paraId="1D20CE1C" w14:textId="77777777" w:rsidR="003A78E6" w:rsidRPr="00810188" w:rsidRDefault="003A78E6" w:rsidP="003A78E6">
      <w:pPr>
        <w:pStyle w:val="ListParagraph"/>
        <w:numPr>
          <w:ilvl w:val="1"/>
          <w:numId w:val="2"/>
        </w:numPr>
        <w:autoSpaceDE w:val="0"/>
        <w:autoSpaceDN w:val="0"/>
        <w:adjustRightInd w:val="0"/>
        <w:spacing w:before="120" w:after="120"/>
        <w:ind w:left="788" w:hanging="431"/>
        <w:contextualSpacing w:val="0"/>
        <w:rPr>
          <w:rFonts w:ascii="Aptos" w:eastAsiaTheme="minorEastAsia" w:hAnsi="Aptos" w:cstheme="minorBidi"/>
          <w:b/>
          <w:bCs/>
          <w:sz w:val="22"/>
          <w:szCs w:val="22"/>
        </w:rPr>
      </w:pPr>
      <w:r w:rsidRPr="00810188">
        <w:rPr>
          <w:rFonts w:ascii="Aptos" w:eastAsiaTheme="minorEastAsia" w:hAnsi="Aptos" w:cstheme="minorBidi"/>
          <w:b/>
          <w:bCs/>
          <w:sz w:val="22"/>
          <w:szCs w:val="22"/>
        </w:rPr>
        <w:t>Compliance and Audit Requirements</w:t>
      </w:r>
    </w:p>
    <w:p w14:paraId="0E8FCEFC" w14:textId="77777777" w:rsidR="003A78E6" w:rsidRPr="00BA193C"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sz w:val="22"/>
          <w:szCs w:val="22"/>
        </w:rPr>
      </w:pPr>
      <w:r w:rsidRPr="00BA193C">
        <w:rPr>
          <w:rFonts w:ascii="Aptos" w:eastAsiaTheme="minorEastAsia" w:hAnsi="Aptos"/>
          <w:sz w:val="22"/>
          <w:szCs w:val="22"/>
        </w:rPr>
        <w:t>Regional finance teams are responsible for ensuring all local eliminations, FX translations, and reporting are compliant with this policy.</w:t>
      </w:r>
    </w:p>
    <w:p w14:paraId="3E043F9C" w14:textId="77777777" w:rsidR="003A78E6" w:rsidRPr="00BA193C"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sz w:val="22"/>
          <w:szCs w:val="22"/>
        </w:rPr>
      </w:pPr>
      <w:r w:rsidRPr="00BA193C">
        <w:rPr>
          <w:rFonts w:ascii="Aptos" w:eastAsiaTheme="minorEastAsia" w:hAnsi="Aptos"/>
          <w:sz w:val="22"/>
          <w:szCs w:val="22"/>
        </w:rPr>
        <w:t>Quarterly reviews to be performed to identify mismatches or revaluation gaps.</w:t>
      </w:r>
    </w:p>
    <w:p w14:paraId="44092800" w14:textId="77777777" w:rsidR="003A78E6" w:rsidRPr="00DA62C0" w:rsidRDefault="003A78E6" w:rsidP="003A78E6">
      <w:pPr>
        <w:pStyle w:val="ListParagraph"/>
        <w:numPr>
          <w:ilvl w:val="2"/>
          <w:numId w:val="2"/>
        </w:numPr>
        <w:autoSpaceDE w:val="0"/>
        <w:autoSpaceDN w:val="0"/>
        <w:adjustRightInd w:val="0"/>
        <w:spacing w:before="120" w:after="120"/>
        <w:ind w:left="1701" w:hanging="839"/>
        <w:contextualSpacing w:val="0"/>
        <w:rPr>
          <w:rFonts w:ascii="Aptos" w:eastAsiaTheme="minorEastAsia" w:hAnsi="Aptos"/>
          <w:sz w:val="22"/>
          <w:szCs w:val="22"/>
        </w:rPr>
      </w:pPr>
      <w:r w:rsidRPr="00BA193C">
        <w:rPr>
          <w:rFonts w:ascii="Aptos" w:eastAsiaTheme="minorEastAsia" w:hAnsi="Aptos"/>
          <w:sz w:val="22"/>
          <w:szCs w:val="22"/>
        </w:rPr>
        <w:t>Annual consolidation audit will review elimination logic, URP application, and FX treatment.</w:t>
      </w:r>
    </w:p>
    <w:p w14:paraId="2E506A28" w14:textId="77777777" w:rsidR="003A78E6" w:rsidRPr="00561185"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r w:rsidRPr="00561185">
        <w:rPr>
          <w:rFonts w:ascii="Aptos" w:hAnsi="Aptos" w:cstheme="minorBidi"/>
          <w:b/>
          <w:color w:val="0F4761" w:themeColor="accent1" w:themeShade="BF"/>
          <w:sz w:val="28"/>
          <w:szCs w:val="28"/>
        </w:rPr>
        <w:t>Related Policies &amp; Documents</w:t>
      </w:r>
      <w:bookmarkStart w:id="3" w:name="_Toc394409646"/>
      <w:bookmarkStart w:id="4" w:name="_Toc395695443"/>
    </w:p>
    <w:tbl>
      <w:tblPr>
        <w:tblStyle w:val="TableGrid"/>
        <w:tblW w:w="9786" w:type="dxa"/>
        <w:tblLook w:val="04A0" w:firstRow="1" w:lastRow="0" w:firstColumn="1" w:lastColumn="0" w:noHBand="0" w:noVBand="1"/>
      </w:tblPr>
      <w:tblGrid>
        <w:gridCol w:w="1838"/>
        <w:gridCol w:w="5104"/>
        <w:gridCol w:w="2844"/>
      </w:tblGrid>
      <w:tr w:rsidR="003A78E6" w:rsidRPr="00810188" w14:paraId="756F122E" w14:textId="77777777" w:rsidTr="005362C2">
        <w:trPr>
          <w:trHeight w:val="590"/>
        </w:trPr>
        <w:tc>
          <w:tcPr>
            <w:tcW w:w="1838" w:type="dxa"/>
            <w:shd w:val="clear" w:color="auto" w:fill="595959" w:themeFill="text1" w:themeFillTint="A6"/>
            <w:vAlign w:val="center"/>
          </w:tcPr>
          <w:p w14:paraId="5E05586C" w14:textId="77777777" w:rsidR="003A78E6" w:rsidRPr="00810188" w:rsidRDefault="003A78E6" w:rsidP="005362C2">
            <w:pPr>
              <w:rPr>
                <w:rFonts w:ascii="Aptos" w:hAnsi="Aptos" w:cstheme="minorHAnsi"/>
                <w:b/>
                <w:color w:val="FFFFFF" w:themeColor="background1"/>
              </w:rPr>
            </w:pPr>
            <w:r w:rsidRPr="00810188">
              <w:rPr>
                <w:rFonts w:ascii="Aptos" w:hAnsi="Aptos" w:cstheme="minorHAnsi"/>
                <w:b/>
                <w:color w:val="FFFFFF" w:themeColor="background1"/>
              </w:rPr>
              <w:t>Document</w:t>
            </w:r>
          </w:p>
        </w:tc>
        <w:tc>
          <w:tcPr>
            <w:tcW w:w="5104" w:type="dxa"/>
            <w:shd w:val="clear" w:color="auto" w:fill="595959" w:themeFill="text1" w:themeFillTint="A6"/>
            <w:vAlign w:val="center"/>
          </w:tcPr>
          <w:p w14:paraId="0E1E038D" w14:textId="77777777" w:rsidR="003A78E6" w:rsidRPr="00810188" w:rsidRDefault="003A78E6" w:rsidP="005362C2">
            <w:pPr>
              <w:rPr>
                <w:rFonts w:ascii="Aptos" w:hAnsi="Aptos" w:cstheme="minorHAnsi"/>
                <w:b/>
                <w:color w:val="FFFFFF" w:themeColor="background1"/>
              </w:rPr>
            </w:pPr>
            <w:r w:rsidRPr="00810188">
              <w:rPr>
                <w:rFonts w:ascii="Aptos" w:hAnsi="Aptos" w:cstheme="minorHAnsi"/>
                <w:b/>
                <w:color w:val="FFFFFF" w:themeColor="background1"/>
              </w:rPr>
              <w:t>Purpose</w:t>
            </w:r>
          </w:p>
        </w:tc>
        <w:tc>
          <w:tcPr>
            <w:tcW w:w="2844" w:type="dxa"/>
            <w:shd w:val="clear" w:color="auto" w:fill="595959" w:themeFill="text1" w:themeFillTint="A6"/>
            <w:vAlign w:val="center"/>
          </w:tcPr>
          <w:p w14:paraId="307AE34F" w14:textId="77777777" w:rsidR="003A78E6" w:rsidRPr="00810188" w:rsidRDefault="003A78E6" w:rsidP="005362C2">
            <w:pPr>
              <w:rPr>
                <w:rFonts w:ascii="Aptos" w:hAnsi="Aptos" w:cstheme="minorHAnsi"/>
                <w:b/>
                <w:color w:val="FFFFFF" w:themeColor="background1"/>
              </w:rPr>
            </w:pPr>
            <w:r w:rsidRPr="00810188">
              <w:rPr>
                <w:rFonts w:ascii="Aptos" w:hAnsi="Aptos" w:cstheme="minorHAnsi"/>
                <w:b/>
                <w:color w:val="FFFFFF" w:themeColor="background1"/>
              </w:rPr>
              <w:t>Document link</w:t>
            </w:r>
          </w:p>
        </w:tc>
      </w:tr>
      <w:tr w:rsidR="003A78E6" w:rsidRPr="00810188" w14:paraId="6C72C216" w14:textId="77777777" w:rsidTr="005362C2">
        <w:trPr>
          <w:trHeight w:val="877"/>
        </w:trPr>
        <w:tc>
          <w:tcPr>
            <w:tcW w:w="1838" w:type="dxa"/>
          </w:tcPr>
          <w:p w14:paraId="41196FAA" w14:textId="77777777" w:rsidR="003A78E6" w:rsidRPr="00302250" w:rsidRDefault="003A78E6" w:rsidP="005362C2">
            <w:pPr>
              <w:rPr>
                <w:rFonts w:ascii="Aptos" w:hAnsi="Aptos" w:cs="Calibri"/>
                <w:b/>
                <w:bCs/>
                <w:color w:val="000000"/>
                <w:sz w:val="20"/>
                <w:szCs w:val="20"/>
              </w:rPr>
            </w:pPr>
            <w:r w:rsidRPr="00302250">
              <w:rPr>
                <w:rFonts w:ascii="Aptos" w:hAnsi="Aptos" w:cstheme="minorHAnsi"/>
                <w:b/>
                <w:sz w:val="20"/>
                <w:szCs w:val="20"/>
              </w:rPr>
              <w:t>Steering committee decision (slides)</w:t>
            </w:r>
          </w:p>
        </w:tc>
        <w:tc>
          <w:tcPr>
            <w:tcW w:w="5104" w:type="dxa"/>
          </w:tcPr>
          <w:p w14:paraId="07DD9777" w14:textId="77777777" w:rsidR="003A78E6" w:rsidRPr="00302250" w:rsidRDefault="003A78E6" w:rsidP="005362C2">
            <w:pPr>
              <w:rPr>
                <w:rFonts w:ascii="Aptos" w:hAnsi="Aptos" w:cs="Calibri"/>
                <w:color w:val="000000"/>
                <w:sz w:val="20"/>
                <w:szCs w:val="20"/>
              </w:rPr>
            </w:pPr>
            <w:r w:rsidRPr="00302250">
              <w:rPr>
                <w:rFonts w:ascii="Aptos" w:hAnsi="Aptos" w:cstheme="minorHAnsi"/>
                <w:bCs/>
                <w:sz w:val="20"/>
                <w:szCs w:val="20"/>
              </w:rPr>
              <w:t>Overview</w:t>
            </w:r>
            <w:r>
              <w:rPr>
                <w:rFonts w:ascii="Aptos" w:hAnsi="Aptos" w:cstheme="minorHAnsi"/>
                <w:bCs/>
                <w:sz w:val="20"/>
                <w:szCs w:val="20"/>
              </w:rPr>
              <w:t xml:space="preserve">, </w:t>
            </w:r>
            <w:r w:rsidRPr="00302250">
              <w:rPr>
                <w:rFonts w:ascii="Aptos" w:hAnsi="Aptos" w:cstheme="minorHAnsi"/>
                <w:bCs/>
                <w:sz w:val="20"/>
                <w:szCs w:val="20"/>
              </w:rPr>
              <w:t xml:space="preserve">approach </w:t>
            </w:r>
            <w:r>
              <w:rPr>
                <w:rFonts w:ascii="Aptos" w:hAnsi="Aptos" w:cstheme="minorHAnsi"/>
                <w:bCs/>
                <w:sz w:val="20"/>
                <w:szCs w:val="20"/>
              </w:rPr>
              <w:t>and</w:t>
            </w:r>
            <w:r w:rsidRPr="00302250">
              <w:rPr>
                <w:rFonts w:ascii="Aptos" w:hAnsi="Aptos" w:cstheme="minorHAnsi"/>
                <w:bCs/>
                <w:sz w:val="20"/>
                <w:szCs w:val="20"/>
              </w:rPr>
              <w:t xml:space="preserve"> </w:t>
            </w:r>
            <w:r>
              <w:rPr>
                <w:rFonts w:ascii="Aptos" w:hAnsi="Aptos" w:cstheme="minorHAnsi"/>
                <w:bCs/>
                <w:sz w:val="20"/>
                <w:szCs w:val="20"/>
              </w:rPr>
              <w:t xml:space="preserve">timing decisions for this </w:t>
            </w:r>
            <w:r w:rsidRPr="00302250">
              <w:rPr>
                <w:rFonts w:ascii="Aptos" w:hAnsi="Aptos" w:cstheme="minorHAnsi"/>
                <w:bCs/>
                <w:sz w:val="20"/>
                <w:szCs w:val="20"/>
              </w:rPr>
              <w:t>policy and governance</w:t>
            </w:r>
            <w:r>
              <w:rPr>
                <w:rFonts w:ascii="Aptos" w:hAnsi="Aptos" w:cstheme="minorHAnsi"/>
                <w:bCs/>
                <w:sz w:val="20"/>
                <w:szCs w:val="20"/>
              </w:rPr>
              <w:t>.</w:t>
            </w:r>
          </w:p>
        </w:tc>
        <w:tc>
          <w:tcPr>
            <w:tcW w:w="2844" w:type="dxa"/>
          </w:tcPr>
          <w:p w14:paraId="5B086760" w14:textId="77777777" w:rsidR="003A78E6" w:rsidRDefault="003A78E6" w:rsidP="005362C2">
            <w:pPr>
              <w:rPr>
                <w:rFonts w:ascii="Aptos" w:hAnsi="Aptos" w:cstheme="minorHAnsi"/>
                <w:b/>
                <w:color w:val="FF0000"/>
              </w:rPr>
            </w:pPr>
            <w:r w:rsidRPr="00A11512">
              <w:rPr>
                <w:rFonts w:ascii="Aptos" w:hAnsi="Aptos" w:cstheme="minorBidi"/>
                <w:highlight w:val="yellow"/>
              </w:rPr>
              <w:t>--</w:t>
            </w:r>
          </w:p>
        </w:tc>
      </w:tr>
      <w:tr w:rsidR="003A78E6" w:rsidRPr="00810188" w14:paraId="3F7ED1EB" w14:textId="77777777" w:rsidTr="005362C2">
        <w:trPr>
          <w:trHeight w:val="877"/>
        </w:trPr>
        <w:tc>
          <w:tcPr>
            <w:tcW w:w="1838" w:type="dxa"/>
            <w:vAlign w:val="center"/>
          </w:tcPr>
          <w:p w14:paraId="098CBBA2"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t>IFRS 10 - Consolidated Financial Statements</w:t>
            </w:r>
          </w:p>
        </w:tc>
        <w:tc>
          <w:tcPr>
            <w:tcW w:w="5104" w:type="dxa"/>
            <w:vAlign w:val="center"/>
          </w:tcPr>
          <w:p w14:paraId="7706F038"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 xml:space="preserve">Defines the principles of control, mandates full consolidation methodology, and requires elimination of intercompany transactions and balances. </w:t>
            </w:r>
          </w:p>
        </w:tc>
        <w:tc>
          <w:tcPr>
            <w:tcW w:w="2844" w:type="dxa"/>
          </w:tcPr>
          <w:p w14:paraId="603A814A" w14:textId="77777777" w:rsidR="003A78E6" w:rsidRPr="00302250" w:rsidRDefault="003A78E6" w:rsidP="005362C2">
            <w:pPr>
              <w:rPr>
                <w:rFonts w:ascii="Aptos" w:hAnsi="Aptos" w:cstheme="minorHAnsi"/>
                <w:bCs/>
                <w:color w:val="FF0000"/>
              </w:rPr>
            </w:pPr>
            <w:r w:rsidRPr="00A11512">
              <w:rPr>
                <w:rFonts w:ascii="Aptos" w:hAnsi="Aptos" w:cstheme="minorBidi"/>
                <w:highlight w:val="yellow"/>
              </w:rPr>
              <w:t>--</w:t>
            </w:r>
          </w:p>
        </w:tc>
      </w:tr>
      <w:tr w:rsidR="003A78E6" w:rsidRPr="00810188" w14:paraId="5A71AE44" w14:textId="77777777" w:rsidTr="005362C2">
        <w:trPr>
          <w:trHeight w:val="877"/>
        </w:trPr>
        <w:tc>
          <w:tcPr>
            <w:tcW w:w="1838" w:type="dxa"/>
            <w:vAlign w:val="center"/>
          </w:tcPr>
          <w:p w14:paraId="7F47FCA2"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lastRenderedPageBreak/>
              <w:t>IFRS 3 - Business Combinations</w:t>
            </w:r>
          </w:p>
        </w:tc>
        <w:tc>
          <w:tcPr>
            <w:tcW w:w="5104" w:type="dxa"/>
            <w:vAlign w:val="center"/>
          </w:tcPr>
          <w:p w14:paraId="07B3D202"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 xml:space="preserve">Guides recognition of goodwill and acquisition-related adjustments during consolidation of newly acquired subsidiaries. </w:t>
            </w:r>
          </w:p>
        </w:tc>
        <w:tc>
          <w:tcPr>
            <w:tcW w:w="2844" w:type="dxa"/>
          </w:tcPr>
          <w:p w14:paraId="188C53A5" w14:textId="77777777" w:rsidR="003A78E6" w:rsidRPr="00810188" w:rsidRDefault="003A78E6" w:rsidP="005362C2">
            <w:pPr>
              <w:rPr>
                <w:rFonts w:ascii="Aptos" w:hAnsi="Aptos" w:cstheme="minorHAnsi"/>
                <w:b/>
                <w:color w:val="FF0000"/>
              </w:rPr>
            </w:pPr>
            <w:r w:rsidRPr="00A11512">
              <w:rPr>
                <w:rFonts w:ascii="Aptos" w:hAnsi="Aptos" w:cstheme="minorBidi"/>
                <w:highlight w:val="yellow"/>
              </w:rPr>
              <w:t>--</w:t>
            </w:r>
          </w:p>
        </w:tc>
      </w:tr>
      <w:tr w:rsidR="003A78E6" w:rsidRPr="00810188" w14:paraId="6367C55B" w14:textId="77777777" w:rsidTr="005362C2">
        <w:trPr>
          <w:trHeight w:val="877"/>
        </w:trPr>
        <w:tc>
          <w:tcPr>
            <w:tcW w:w="1838" w:type="dxa"/>
            <w:vAlign w:val="center"/>
          </w:tcPr>
          <w:p w14:paraId="563751ED"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t>IFRS 9 - Financial Instruments</w:t>
            </w:r>
          </w:p>
        </w:tc>
        <w:tc>
          <w:tcPr>
            <w:tcW w:w="5104" w:type="dxa"/>
            <w:vAlign w:val="center"/>
          </w:tcPr>
          <w:p w14:paraId="234EC82B"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Establishes rules for hedge accounting and FX risk management.</w:t>
            </w:r>
          </w:p>
        </w:tc>
        <w:tc>
          <w:tcPr>
            <w:tcW w:w="2844" w:type="dxa"/>
          </w:tcPr>
          <w:p w14:paraId="2061CFA6" w14:textId="77777777" w:rsidR="003A78E6" w:rsidRPr="00810188" w:rsidRDefault="003A78E6" w:rsidP="005362C2">
            <w:pPr>
              <w:rPr>
                <w:rFonts w:ascii="Aptos" w:hAnsi="Aptos" w:cstheme="minorHAnsi"/>
                <w:b/>
                <w:color w:val="FF0000"/>
              </w:rPr>
            </w:pPr>
            <w:r w:rsidRPr="00A11512">
              <w:rPr>
                <w:rFonts w:ascii="Aptos" w:hAnsi="Aptos" w:cstheme="minorBidi"/>
                <w:highlight w:val="yellow"/>
              </w:rPr>
              <w:t>--</w:t>
            </w:r>
          </w:p>
        </w:tc>
      </w:tr>
      <w:tr w:rsidR="003A78E6" w:rsidRPr="00810188" w14:paraId="081813F9" w14:textId="77777777" w:rsidTr="005362C2">
        <w:trPr>
          <w:trHeight w:val="877"/>
        </w:trPr>
        <w:tc>
          <w:tcPr>
            <w:tcW w:w="1838" w:type="dxa"/>
            <w:vAlign w:val="center"/>
          </w:tcPr>
          <w:p w14:paraId="1F0B1ACA"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t>IFRS 11 - Joint Arrangements</w:t>
            </w:r>
          </w:p>
        </w:tc>
        <w:tc>
          <w:tcPr>
            <w:tcW w:w="5104" w:type="dxa"/>
            <w:vAlign w:val="center"/>
          </w:tcPr>
          <w:p w14:paraId="080F6BFC"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 xml:space="preserve">Clarifies treatment of joint ventures and joint operations, prohibits proportional consolidation. </w:t>
            </w:r>
          </w:p>
        </w:tc>
        <w:tc>
          <w:tcPr>
            <w:tcW w:w="2844" w:type="dxa"/>
          </w:tcPr>
          <w:p w14:paraId="52AE69A7" w14:textId="77777777" w:rsidR="003A78E6" w:rsidRPr="00810188" w:rsidRDefault="003A78E6" w:rsidP="005362C2">
            <w:pPr>
              <w:rPr>
                <w:rFonts w:ascii="Aptos" w:hAnsi="Aptos" w:cstheme="minorHAnsi"/>
                <w:b/>
                <w:color w:val="FF0000"/>
              </w:rPr>
            </w:pPr>
            <w:r w:rsidRPr="00A11512">
              <w:rPr>
                <w:rFonts w:ascii="Aptos" w:hAnsi="Aptos" w:cstheme="minorBidi"/>
                <w:highlight w:val="yellow"/>
              </w:rPr>
              <w:t>--</w:t>
            </w:r>
          </w:p>
        </w:tc>
      </w:tr>
      <w:tr w:rsidR="003A78E6" w:rsidRPr="00810188" w14:paraId="06AA7A0D" w14:textId="77777777" w:rsidTr="005362C2">
        <w:trPr>
          <w:trHeight w:val="877"/>
        </w:trPr>
        <w:tc>
          <w:tcPr>
            <w:tcW w:w="1838" w:type="dxa"/>
            <w:vAlign w:val="center"/>
          </w:tcPr>
          <w:p w14:paraId="1EC2E4F1"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t>IAS 21 - The Effects of Changes in Foreign Exchange Rates</w:t>
            </w:r>
          </w:p>
        </w:tc>
        <w:tc>
          <w:tcPr>
            <w:tcW w:w="5104" w:type="dxa"/>
            <w:vAlign w:val="center"/>
          </w:tcPr>
          <w:p w14:paraId="35D5AED8"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 xml:space="preserve">Governs FX translation and revaluation methodology, including functional/presentation currency, CTA treatment, and net investment FX gains/losses. </w:t>
            </w:r>
          </w:p>
        </w:tc>
        <w:tc>
          <w:tcPr>
            <w:tcW w:w="2844" w:type="dxa"/>
          </w:tcPr>
          <w:p w14:paraId="61A15E45" w14:textId="77777777" w:rsidR="003A78E6" w:rsidRPr="001B6940" w:rsidRDefault="003A78E6" w:rsidP="005362C2">
            <w:pPr>
              <w:rPr>
                <w:rFonts w:ascii="Aptos" w:hAnsi="Aptos" w:cstheme="minorHAnsi"/>
              </w:rPr>
            </w:pPr>
            <w:r w:rsidRPr="00A11512">
              <w:rPr>
                <w:rFonts w:ascii="Aptos" w:hAnsi="Aptos" w:cstheme="minorBidi"/>
                <w:highlight w:val="yellow"/>
              </w:rPr>
              <w:t>--</w:t>
            </w:r>
          </w:p>
        </w:tc>
      </w:tr>
      <w:tr w:rsidR="003A78E6" w:rsidRPr="00810188" w14:paraId="50072A2A" w14:textId="77777777" w:rsidTr="005362C2">
        <w:trPr>
          <w:trHeight w:val="877"/>
        </w:trPr>
        <w:tc>
          <w:tcPr>
            <w:tcW w:w="1838" w:type="dxa"/>
            <w:vAlign w:val="center"/>
          </w:tcPr>
          <w:p w14:paraId="5518F74C"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t>IAS 28 - Investments in Associates and Joint Ventures</w:t>
            </w:r>
          </w:p>
        </w:tc>
        <w:tc>
          <w:tcPr>
            <w:tcW w:w="5104" w:type="dxa"/>
            <w:vAlign w:val="center"/>
          </w:tcPr>
          <w:p w14:paraId="39D40FC0"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 xml:space="preserve">Provides equity method guidance for associates and joint ventures. </w:t>
            </w:r>
          </w:p>
        </w:tc>
        <w:tc>
          <w:tcPr>
            <w:tcW w:w="2844" w:type="dxa"/>
          </w:tcPr>
          <w:p w14:paraId="176D1D3B" w14:textId="77777777" w:rsidR="003A78E6" w:rsidRPr="00810188" w:rsidRDefault="003A78E6" w:rsidP="005362C2">
            <w:pPr>
              <w:rPr>
                <w:rFonts w:ascii="Aptos" w:hAnsi="Aptos" w:cstheme="minorHAnsi"/>
                <w:b/>
                <w:color w:val="FF0000"/>
              </w:rPr>
            </w:pPr>
            <w:r w:rsidRPr="00A11512">
              <w:rPr>
                <w:rFonts w:ascii="Aptos" w:hAnsi="Aptos" w:cstheme="minorBidi"/>
                <w:highlight w:val="yellow"/>
              </w:rPr>
              <w:t>--</w:t>
            </w:r>
          </w:p>
        </w:tc>
      </w:tr>
      <w:tr w:rsidR="003A78E6" w:rsidRPr="00810188" w14:paraId="49582B83" w14:textId="77777777" w:rsidTr="005362C2">
        <w:trPr>
          <w:trHeight w:val="877"/>
        </w:trPr>
        <w:tc>
          <w:tcPr>
            <w:tcW w:w="1838" w:type="dxa"/>
            <w:vAlign w:val="center"/>
          </w:tcPr>
          <w:p w14:paraId="3DE95CE8"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t>IAS 2 - Inventories</w:t>
            </w:r>
          </w:p>
        </w:tc>
        <w:tc>
          <w:tcPr>
            <w:tcW w:w="5104" w:type="dxa"/>
            <w:vAlign w:val="center"/>
          </w:tcPr>
          <w:p w14:paraId="3C9E0D58"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 xml:space="preserve">Guides valuation and treatment of inventory URP. </w:t>
            </w:r>
          </w:p>
        </w:tc>
        <w:tc>
          <w:tcPr>
            <w:tcW w:w="2844" w:type="dxa"/>
          </w:tcPr>
          <w:p w14:paraId="1672B360" w14:textId="77777777" w:rsidR="003A78E6" w:rsidRPr="00810188" w:rsidRDefault="003A78E6" w:rsidP="005362C2">
            <w:pPr>
              <w:rPr>
                <w:rFonts w:ascii="Aptos" w:hAnsi="Aptos" w:cstheme="minorHAnsi"/>
                <w:b/>
                <w:color w:val="FF0000"/>
              </w:rPr>
            </w:pPr>
            <w:r w:rsidRPr="00A11512">
              <w:rPr>
                <w:rFonts w:ascii="Aptos" w:hAnsi="Aptos" w:cstheme="minorBidi"/>
                <w:highlight w:val="yellow"/>
              </w:rPr>
              <w:t>--</w:t>
            </w:r>
          </w:p>
        </w:tc>
      </w:tr>
      <w:tr w:rsidR="003A78E6" w:rsidRPr="00810188" w14:paraId="22127BEB" w14:textId="77777777" w:rsidTr="005362C2">
        <w:trPr>
          <w:trHeight w:val="877"/>
        </w:trPr>
        <w:tc>
          <w:tcPr>
            <w:tcW w:w="1838" w:type="dxa"/>
            <w:vAlign w:val="center"/>
          </w:tcPr>
          <w:p w14:paraId="568A1EEC" w14:textId="77777777" w:rsidR="003A78E6" w:rsidRPr="00302250" w:rsidRDefault="003A78E6" w:rsidP="005362C2">
            <w:pPr>
              <w:rPr>
                <w:rFonts w:ascii="Aptos" w:hAnsi="Aptos" w:cstheme="minorHAnsi"/>
                <w:b/>
                <w:color w:val="FF0000"/>
                <w:sz w:val="20"/>
                <w:szCs w:val="20"/>
              </w:rPr>
            </w:pPr>
            <w:r w:rsidRPr="00302250">
              <w:rPr>
                <w:rFonts w:ascii="Aptos" w:hAnsi="Aptos" w:cs="Calibri"/>
                <w:b/>
                <w:bCs/>
                <w:color w:val="000000"/>
                <w:sz w:val="20"/>
                <w:szCs w:val="20"/>
              </w:rPr>
              <w:t>IAS 16 - Property, Plant and Equipment</w:t>
            </w:r>
          </w:p>
        </w:tc>
        <w:tc>
          <w:tcPr>
            <w:tcW w:w="5104" w:type="dxa"/>
            <w:vAlign w:val="center"/>
          </w:tcPr>
          <w:p w14:paraId="0BD137E0" w14:textId="77777777" w:rsidR="003A78E6" w:rsidRPr="00302250" w:rsidRDefault="003A78E6" w:rsidP="005362C2">
            <w:pPr>
              <w:rPr>
                <w:rFonts w:ascii="Aptos" w:hAnsi="Aptos" w:cstheme="minorHAnsi"/>
                <w:bCs/>
                <w:color w:val="FF0000"/>
                <w:sz w:val="20"/>
                <w:szCs w:val="20"/>
              </w:rPr>
            </w:pPr>
            <w:r w:rsidRPr="00302250">
              <w:rPr>
                <w:rFonts w:ascii="Aptos" w:hAnsi="Aptos" w:cs="Calibri"/>
                <w:color w:val="000000"/>
                <w:sz w:val="20"/>
                <w:szCs w:val="20"/>
              </w:rPr>
              <w:t>Governs treatment of fixed asset transfers and markup amorti</w:t>
            </w:r>
            <w:r>
              <w:rPr>
                <w:rFonts w:ascii="Aptos" w:hAnsi="Aptos" w:cs="Calibri"/>
                <w:color w:val="000000"/>
                <w:sz w:val="20"/>
                <w:szCs w:val="20"/>
              </w:rPr>
              <w:t>s</w:t>
            </w:r>
            <w:r w:rsidRPr="00302250">
              <w:rPr>
                <w:rFonts w:ascii="Aptos" w:hAnsi="Aptos" w:cs="Calibri"/>
                <w:color w:val="000000"/>
                <w:sz w:val="20"/>
                <w:szCs w:val="20"/>
              </w:rPr>
              <w:t xml:space="preserve">ation in URP scenarios. </w:t>
            </w:r>
          </w:p>
        </w:tc>
        <w:tc>
          <w:tcPr>
            <w:tcW w:w="2844" w:type="dxa"/>
          </w:tcPr>
          <w:p w14:paraId="745954AE" w14:textId="77777777" w:rsidR="003A78E6" w:rsidRPr="00810188" w:rsidRDefault="003A78E6" w:rsidP="005362C2">
            <w:pPr>
              <w:rPr>
                <w:rFonts w:ascii="Aptos" w:hAnsi="Aptos" w:cstheme="minorHAnsi"/>
                <w:b/>
                <w:color w:val="FF0000"/>
              </w:rPr>
            </w:pPr>
            <w:r w:rsidRPr="00A11512">
              <w:rPr>
                <w:rFonts w:ascii="Aptos" w:hAnsi="Aptos" w:cstheme="minorBidi"/>
                <w:highlight w:val="yellow"/>
              </w:rPr>
              <w:t>--</w:t>
            </w:r>
          </w:p>
        </w:tc>
      </w:tr>
    </w:tbl>
    <w:p w14:paraId="3A289EA5" w14:textId="77777777" w:rsidR="003A78E6" w:rsidRDefault="003A78E6" w:rsidP="003A78E6">
      <w:pPr>
        <w:pStyle w:val="ListParagraph"/>
        <w:spacing w:after="200" w:line="276" w:lineRule="auto"/>
        <w:ind w:left="360" w:right="70"/>
        <w:rPr>
          <w:rFonts w:ascii="Aptos" w:hAnsi="Aptos" w:cstheme="minorBidi"/>
          <w:b/>
          <w:color w:val="0F4761" w:themeColor="accent1" w:themeShade="BF"/>
          <w:sz w:val="28"/>
          <w:szCs w:val="28"/>
        </w:rPr>
      </w:pPr>
      <w:bookmarkStart w:id="5" w:name="_Toc394409648"/>
      <w:bookmarkStart w:id="6" w:name="_Toc394932718"/>
      <w:bookmarkStart w:id="7" w:name="_Toc395695445"/>
      <w:bookmarkEnd w:id="3"/>
      <w:bookmarkEnd w:id="4"/>
    </w:p>
    <w:p w14:paraId="435AE33A" w14:textId="77777777" w:rsidR="003A78E6" w:rsidRPr="00561185"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r w:rsidRPr="00561185">
        <w:rPr>
          <w:rFonts w:ascii="Aptos" w:hAnsi="Aptos" w:cstheme="minorBidi"/>
          <w:b/>
          <w:color w:val="0F4761" w:themeColor="accent1" w:themeShade="BF"/>
          <w:sz w:val="28"/>
          <w:szCs w:val="28"/>
        </w:rPr>
        <w:t>Version History</w:t>
      </w:r>
      <w:bookmarkEnd w:id="5"/>
      <w:bookmarkEnd w:id="6"/>
      <w:bookmarkEnd w:id="7"/>
    </w:p>
    <w:p w14:paraId="10CC0642" w14:textId="77777777" w:rsidR="003A78E6" w:rsidRPr="00810188" w:rsidRDefault="003A78E6" w:rsidP="003A78E6">
      <w:pPr>
        <w:spacing w:after="120"/>
        <w:rPr>
          <w:rFonts w:ascii="Aptos" w:eastAsia="Calibri" w:hAnsi="Aptos" w:cs="Calibri"/>
          <w:sz w:val="22"/>
          <w:szCs w:val="22"/>
        </w:rPr>
      </w:pPr>
      <w:r w:rsidRPr="00810188">
        <w:rPr>
          <w:rFonts w:ascii="Aptos" w:eastAsia="Calibri" w:hAnsi="Aptos" w:cs="Calibri"/>
          <w:color w:val="000000" w:themeColor="text1"/>
          <w:sz w:val="22"/>
          <w:szCs w:val="22"/>
        </w:rPr>
        <w:t>The history of the policy being created and previous versions is listed below. (Note: As updates occur to the policy you simply copy &amp; paste this information from the Current Status section table above into the first row of the table below. Keep history only of the 3 most recent versions)</w:t>
      </w:r>
    </w:p>
    <w:tbl>
      <w:tblPr>
        <w:tblStyle w:val="TableGrid"/>
        <w:tblW w:w="9776" w:type="dxa"/>
        <w:tblLook w:val="04A0" w:firstRow="1" w:lastRow="0" w:firstColumn="1" w:lastColumn="0" w:noHBand="0" w:noVBand="1"/>
      </w:tblPr>
      <w:tblGrid>
        <w:gridCol w:w="2521"/>
        <w:gridCol w:w="2632"/>
        <w:gridCol w:w="2111"/>
        <w:gridCol w:w="2512"/>
      </w:tblGrid>
      <w:tr w:rsidR="003A78E6" w:rsidRPr="00810188" w14:paraId="0670682E" w14:textId="77777777" w:rsidTr="005362C2">
        <w:trPr>
          <w:trHeight w:val="570"/>
        </w:trPr>
        <w:tc>
          <w:tcPr>
            <w:tcW w:w="2521" w:type="dxa"/>
            <w:shd w:val="clear" w:color="auto" w:fill="595959" w:themeFill="text1" w:themeFillTint="A6"/>
            <w:vAlign w:val="center"/>
          </w:tcPr>
          <w:p w14:paraId="7E18D1D0" w14:textId="77777777" w:rsidR="003A78E6" w:rsidRPr="00810188" w:rsidRDefault="003A78E6" w:rsidP="005362C2">
            <w:pPr>
              <w:rPr>
                <w:rFonts w:ascii="Aptos" w:hAnsi="Aptos" w:cstheme="minorHAnsi"/>
                <w:b/>
                <w:color w:val="FFFFFF" w:themeColor="background1"/>
              </w:rPr>
            </w:pPr>
            <w:r w:rsidRPr="00810188">
              <w:rPr>
                <w:rFonts w:ascii="Aptos" w:hAnsi="Aptos" w:cstheme="minorHAnsi"/>
                <w:b/>
                <w:color w:val="FFFFFF" w:themeColor="background1"/>
              </w:rPr>
              <w:t>Version</w:t>
            </w:r>
          </w:p>
        </w:tc>
        <w:tc>
          <w:tcPr>
            <w:tcW w:w="2632" w:type="dxa"/>
            <w:shd w:val="clear" w:color="auto" w:fill="595959" w:themeFill="text1" w:themeFillTint="A6"/>
            <w:vAlign w:val="center"/>
          </w:tcPr>
          <w:p w14:paraId="19360F7A" w14:textId="77777777" w:rsidR="003A78E6" w:rsidRPr="00810188" w:rsidRDefault="003A78E6" w:rsidP="005362C2">
            <w:pPr>
              <w:rPr>
                <w:rFonts w:ascii="Aptos" w:hAnsi="Aptos" w:cstheme="minorHAnsi"/>
                <w:b/>
                <w:color w:val="FFFFFF" w:themeColor="background1"/>
              </w:rPr>
            </w:pPr>
            <w:r w:rsidRPr="00810188">
              <w:rPr>
                <w:rFonts w:ascii="Aptos" w:hAnsi="Aptos" w:cstheme="minorHAnsi"/>
                <w:b/>
                <w:color w:val="FFFFFF" w:themeColor="background1"/>
              </w:rPr>
              <w:t>Summary of Changes</w:t>
            </w:r>
          </w:p>
        </w:tc>
        <w:tc>
          <w:tcPr>
            <w:tcW w:w="2111" w:type="dxa"/>
            <w:shd w:val="clear" w:color="auto" w:fill="595959" w:themeFill="text1" w:themeFillTint="A6"/>
            <w:vAlign w:val="center"/>
          </w:tcPr>
          <w:p w14:paraId="49FC78FC" w14:textId="77777777" w:rsidR="003A78E6" w:rsidRPr="00810188" w:rsidRDefault="003A78E6" w:rsidP="005362C2">
            <w:pPr>
              <w:rPr>
                <w:rFonts w:ascii="Aptos" w:hAnsi="Aptos" w:cstheme="minorHAnsi"/>
                <w:b/>
                <w:color w:val="FFFFFF" w:themeColor="background1"/>
              </w:rPr>
            </w:pPr>
            <w:r w:rsidRPr="00810188">
              <w:rPr>
                <w:rFonts w:ascii="Aptos" w:hAnsi="Aptos" w:cstheme="minorHAnsi"/>
                <w:b/>
                <w:color w:val="FFFFFF" w:themeColor="background1"/>
              </w:rPr>
              <w:t>Approved By</w:t>
            </w:r>
          </w:p>
        </w:tc>
        <w:tc>
          <w:tcPr>
            <w:tcW w:w="2512" w:type="dxa"/>
            <w:shd w:val="clear" w:color="auto" w:fill="595959" w:themeFill="text1" w:themeFillTint="A6"/>
            <w:vAlign w:val="center"/>
          </w:tcPr>
          <w:p w14:paraId="75BA4831" w14:textId="77777777" w:rsidR="003A78E6" w:rsidRPr="00810188" w:rsidRDefault="003A78E6" w:rsidP="005362C2">
            <w:pPr>
              <w:rPr>
                <w:rFonts w:ascii="Aptos" w:hAnsi="Aptos" w:cstheme="minorHAnsi"/>
                <w:b/>
                <w:color w:val="FFFFFF" w:themeColor="background1"/>
              </w:rPr>
            </w:pPr>
            <w:r w:rsidRPr="00810188">
              <w:rPr>
                <w:rFonts w:ascii="Aptos" w:hAnsi="Aptos" w:cstheme="minorHAnsi"/>
                <w:b/>
                <w:color w:val="FFFFFF" w:themeColor="background1"/>
              </w:rPr>
              <w:t>Approval Date</w:t>
            </w:r>
          </w:p>
        </w:tc>
      </w:tr>
      <w:tr w:rsidR="003A78E6" w:rsidRPr="00810188" w14:paraId="4ACDCCEC" w14:textId="77777777" w:rsidTr="005362C2">
        <w:trPr>
          <w:trHeight w:val="847"/>
        </w:trPr>
        <w:tc>
          <w:tcPr>
            <w:tcW w:w="2521" w:type="dxa"/>
          </w:tcPr>
          <w:p w14:paraId="2159613D" w14:textId="77777777" w:rsidR="003A78E6" w:rsidRPr="00810188" w:rsidRDefault="003A78E6" w:rsidP="005362C2">
            <w:pPr>
              <w:rPr>
                <w:rFonts w:ascii="Aptos" w:eastAsia="Calibri" w:hAnsi="Aptos" w:cs="Calibri"/>
                <w:color w:val="000000" w:themeColor="text1"/>
              </w:rPr>
            </w:pPr>
            <w:r w:rsidRPr="00810188">
              <w:rPr>
                <w:rFonts w:ascii="Aptos" w:eastAsia="Calibri" w:hAnsi="Aptos" w:cs="Calibri"/>
                <w:color w:val="000000" w:themeColor="text1"/>
              </w:rPr>
              <w:t>1.0</w:t>
            </w:r>
          </w:p>
        </w:tc>
        <w:tc>
          <w:tcPr>
            <w:tcW w:w="2632" w:type="dxa"/>
          </w:tcPr>
          <w:p w14:paraId="7CF4214C" w14:textId="77777777" w:rsidR="003A78E6" w:rsidRPr="00810188" w:rsidRDefault="003A78E6" w:rsidP="005362C2">
            <w:pPr>
              <w:rPr>
                <w:rFonts w:ascii="Aptos" w:eastAsia="Calibri" w:hAnsi="Aptos" w:cs="Calibri"/>
                <w:color w:val="000000" w:themeColor="text1"/>
              </w:rPr>
            </w:pPr>
            <w:r w:rsidRPr="00810188">
              <w:rPr>
                <w:rFonts w:ascii="Aptos" w:eastAsia="Calibri" w:hAnsi="Aptos" w:cs="Calibri"/>
                <w:color w:val="000000" w:themeColor="text1"/>
              </w:rPr>
              <w:t>Creation of Policy</w:t>
            </w:r>
          </w:p>
        </w:tc>
        <w:tc>
          <w:tcPr>
            <w:tcW w:w="2111" w:type="dxa"/>
          </w:tcPr>
          <w:p w14:paraId="3CAE4D08" w14:textId="77777777" w:rsidR="003A78E6" w:rsidRPr="00E32852" w:rsidRDefault="003A78E6" w:rsidP="005362C2">
            <w:pPr>
              <w:rPr>
                <w:rFonts w:ascii="Aptos" w:hAnsi="Aptos" w:cstheme="minorHAnsi"/>
                <w:highlight w:val="yellow"/>
              </w:rPr>
            </w:pPr>
            <w:r w:rsidRPr="00E32852">
              <w:rPr>
                <w:rFonts w:ascii="Aptos" w:hAnsi="Aptos" w:cstheme="minorHAnsi"/>
                <w:highlight w:val="yellow"/>
              </w:rPr>
              <w:t>Insert Name &amp; Position of Approver</w:t>
            </w:r>
          </w:p>
        </w:tc>
        <w:tc>
          <w:tcPr>
            <w:tcW w:w="2512" w:type="dxa"/>
          </w:tcPr>
          <w:p w14:paraId="05CDFF75" w14:textId="77777777" w:rsidR="003A78E6" w:rsidRPr="00E32852" w:rsidRDefault="003A78E6" w:rsidP="005362C2">
            <w:pPr>
              <w:rPr>
                <w:rFonts w:ascii="Aptos" w:hAnsi="Aptos" w:cstheme="minorHAnsi"/>
                <w:highlight w:val="yellow"/>
              </w:rPr>
            </w:pPr>
            <w:r w:rsidRPr="00E32852">
              <w:rPr>
                <w:rFonts w:ascii="Aptos" w:hAnsi="Aptos" w:cstheme="minorHAnsi"/>
                <w:highlight w:val="yellow"/>
              </w:rPr>
              <w:t>Date of Approval</w:t>
            </w:r>
          </w:p>
        </w:tc>
      </w:tr>
      <w:tr w:rsidR="003A78E6" w:rsidRPr="00810188" w14:paraId="6F08D1ED" w14:textId="77777777" w:rsidTr="005362C2">
        <w:trPr>
          <w:trHeight w:val="847"/>
        </w:trPr>
        <w:tc>
          <w:tcPr>
            <w:tcW w:w="2521" w:type="dxa"/>
          </w:tcPr>
          <w:p w14:paraId="543B5406" w14:textId="77777777" w:rsidR="003A78E6" w:rsidRPr="00810188" w:rsidRDefault="003A78E6" w:rsidP="005362C2">
            <w:pPr>
              <w:rPr>
                <w:rFonts w:ascii="Aptos" w:hAnsi="Aptos"/>
              </w:rPr>
            </w:pPr>
            <w:r w:rsidRPr="00810188">
              <w:rPr>
                <w:rFonts w:ascii="Aptos" w:hAnsi="Aptos" w:cstheme="minorHAnsi"/>
              </w:rPr>
              <w:t>Insert Previous Policy Reference No.</w:t>
            </w:r>
          </w:p>
        </w:tc>
        <w:tc>
          <w:tcPr>
            <w:tcW w:w="2632" w:type="dxa"/>
          </w:tcPr>
          <w:p w14:paraId="03133F4D" w14:textId="77777777" w:rsidR="003A78E6" w:rsidRPr="00810188" w:rsidRDefault="003A78E6" w:rsidP="005362C2">
            <w:pPr>
              <w:rPr>
                <w:rFonts w:ascii="Aptos" w:hAnsi="Aptos" w:cstheme="minorBidi"/>
              </w:rPr>
            </w:pPr>
            <w:r w:rsidRPr="00810188">
              <w:rPr>
                <w:rFonts w:ascii="Aptos" w:hAnsi="Aptos" w:cstheme="minorBidi"/>
              </w:rPr>
              <w:t>List Changes made from the previous version</w:t>
            </w:r>
          </w:p>
        </w:tc>
        <w:tc>
          <w:tcPr>
            <w:tcW w:w="2111" w:type="dxa"/>
          </w:tcPr>
          <w:p w14:paraId="14702DA4" w14:textId="77777777" w:rsidR="003A78E6" w:rsidRPr="00810188" w:rsidRDefault="003A78E6" w:rsidP="005362C2">
            <w:pPr>
              <w:rPr>
                <w:rFonts w:ascii="Aptos" w:hAnsi="Aptos" w:cstheme="minorHAnsi"/>
              </w:rPr>
            </w:pPr>
            <w:r w:rsidRPr="00810188">
              <w:rPr>
                <w:rFonts w:ascii="Aptos" w:hAnsi="Aptos" w:cstheme="minorHAnsi"/>
              </w:rPr>
              <w:t>Insert Name &amp; Position of Approver</w:t>
            </w:r>
          </w:p>
        </w:tc>
        <w:tc>
          <w:tcPr>
            <w:tcW w:w="2512" w:type="dxa"/>
          </w:tcPr>
          <w:p w14:paraId="2E9396B1" w14:textId="77777777" w:rsidR="003A78E6" w:rsidRPr="00810188" w:rsidRDefault="003A78E6" w:rsidP="005362C2">
            <w:pPr>
              <w:rPr>
                <w:rFonts w:ascii="Aptos" w:hAnsi="Aptos" w:cstheme="minorHAnsi"/>
              </w:rPr>
            </w:pPr>
            <w:r w:rsidRPr="00810188">
              <w:rPr>
                <w:rFonts w:ascii="Aptos" w:hAnsi="Aptos" w:cstheme="minorHAnsi"/>
              </w:rPr>
              <w:t>Date of Approval</w:t>
            </w:r>
          </w:p>
        </w:tc>
      </w:tr>
      <w:tr w:rsidR="003A78E6" w:rsidRPr="00810188" w14:paraId="365BC2C9" w14:textId="77777777" w:rsidTr="005362C2">
        <w:trPr>
          <w:trHeight w:val="847"/>
        </w:trPr>
        <w:tc>
          <w:tcPr>
            <w:tcW w:w="2521" w:type="dxa"/>
          </w:tcPr>
          <w:p w14:paraId="406A51D5" w14:textId="77777777" w:rsidR="003A78E6" w:rsidRPr="00810188" w:rsidRDefault="003A78E6" w:rsidP="005362C2">
            <w:pPr>
              <w:rPr>
                <w:rFonts w:ascii="Aptos" w:hAnsi="Aptos"/>
              </w:rPr>
            </w:pPr>
            <w:r w:rsidRPr="00810188">
              <w:rPr>
                <w:rFonts w:ascii="Aptos" w:hAnsi="Aptos" w:cstheme="minorHAnsi"/>
              </w:rPr>
              <w:t>Insert Previous Policy Reference No.</w:t>
            </w:r>
          </w:p>
        </w:tc>
        <w:tc>
          <w:tcPr>
            <w:tcW w:w="2632" w:type="dxa"/>
          </w:tcPr>
          <w:p w14:paraId="49D21F09" w14:textId="77777777" w:rsidR="003A78E6" w:rsidRPr="00810188" w:rsidRDefault="003A78E6" w:rsidP="005362C2">
            <w:pPr>
              <w:rPr>
                <w:rFonts w:ascii="Aptos" w:hAnsi="Aptos" w:cstheme="minorBidi"/>
              </w:rPr>
            </w:pPr>
            <w:r w:rsidRPr="00810188">
              <w:rPr>
                <w:rFonts w:ascii="Aptos" w:hAnsi="Aptos" w:cstheme="minorBidi"/>
              </w:rPr>
              <w:t>List Changes made from the previous version</w:t>
            </w:r>
          </w:p>
        </w:tc>
        <w:tc>
          <w:tcPr>
            <w:tcW w:w="2111" w:type="dxa"/>
          </w:tcPr>
          <w:p w14:paraId="1CFD8120" w14:textId="77777777" w:rsidR="003A78E6" w:rsidRPr="00810188" w:rsidRDefault="003A78E6" w:rsidP="005362C2">
            <w:pPr>
              <w:rPr>
                <w:rFonts w:ascii="Aptos" w:hAnsi="Aptos" w:cstheme="minorHAnsi"/>
              </w:rPr>
            </w:pPr>
            <w:r w:rsidRPr="00810188">
              <w:rPr>
                <w:rFonts w:ascii="Aptos" w:hAnsi="Aptos" w:cstheme="minorHAnsi"/>
              </w:rPr>
              <w:t>Insert Name &amp; Position of Approver</w:t>
            </w:r>
          </w:p>
        </w:tc>
        <w:tc>
          <w:tcPr>
            <w:tcW w:w="2512" w:type="dxa"/>
          </w:tcPr>
          <w:p w14:paraId="444F6ED5" w14:textId="77777777" w:rsidR="003A78E6" w:rsidRPr="00810188" w:rsidRDefault="003A78E6" w:rsidP="005362C2">
            <w:pPr>
              <w:rPr>
                <w:rFonts w:ascii="Aptos" w:hAnsi="Aptos" w:cstheme="minorHAnsi"/>
              </w:rPr>
            </w:pPr>
            <w:r w:rsidRPr="00810188">
              <w:rPr>
                <w:rFonts w:ascii="Aptos" w:hAnsi="Aptos" w:cstheme="minorHAnsi"/>
              </w:rPr>
              <w:t>Date of Approval</w:t>
            </w:r>
          </w:p>
        </w:tc>
      </w:tr>
    </w:tbl>
    <w:p w14:paraId="794C77F3" w14:textId="77777777" w:rsidR="003A78E6" w:rsidRDefault="003A78E6" w:rsidP="003A78E6">
      <w:pPr>
        <w:rPr>
          <w:rFonts w:ascii="Aptos" w:hAnsi="Aptos" w:cstheme="minorBidi"/>
          <w:b/>
          <w:bCs/>
          <w:color w:val="0F4761" w:themeColor="accent1" w:themeShade="BF"/>
          <w:sz w:val="22"/>
          <w:szCs w:val="22"/>
        </w:rPr>
      </w:pPr>
    </w:p>
    <w:p w14:paraId="05A2AACE" w14:textId="77777777" w:rsidR="003A78E6" w:rsidRDefault="003A78E6" w:rsidP="003A78E6">
      <w:pPr>
        <w:rPr>
          <w:rFonts w:ascii="Aptos" w:hAnsi="Aptos" w:cstheme="minorBidi"/>
          <w:b/>
          <w:bCs/>
          <w:color w:val="0F4761" w:themeColor="accent1" w:themeShade="BF"/>
          <w:sz w:val="22"/>
          <w:szCs w:val="22"/>
        </w:rPr>
      </w:pPr>
    </w:p>
    <w:p w14:paraId="4C7F4853" w14:textId="77777777" w:rsidR="003A78E6" w:rsidRDefault="003A78E6" w:rsidP="003A78E6">
      <w:pPr>
        <w:rPr>
          <w:rFonts w:ascii="Aptos" w:hAnsi="Aptos" w:cstheme="minorBidi"/>
          <w:b/>
          <w:bCs/>
          <w:color w:val="0F4761" w:themeColor="accent1" w:themeShade="BF"/>
          <w:sz w:val="22"/>
          <w:szCs w:val="22"/>
        </w:rPr>
      </w:pPr>
    </w:p>
    <w:p w14:paraId="4A06676D" w14:textId="77777777" w:rsidR="003A78E6" w:rsidRDefault="003A78E6" w:rsidP="003A78E6">
      <w:pPr>
        <w:rPr>
          <w:rFonts w:ascii="Aptos" w:hAnsi="Aptos" w:cstheme="minorBidi"/>
          <w:b/>
          <w:bCs/>
          <w:color w:val="0F4761" w:themeColor="accent1" w:themeShade="BF"/>
          <w:sz w:val="22"/>
          <w:szCs w:val="22"/>
        </w:rPr>
      </w:pPr>
    </w:p>
    <w:p w14:paraId="72BAA12D" w14:textId="77777777" w:rsidR="003A78E6" w:rsidRDefault="003A78E6" w:rsidP="003A78E6">
      <w:pPr>
        <w:pStyle w:val="ListParagraph"/>
        <w:numPr>
          <w:ilvl w:val="0"/>
          <w:numId w:val="2"/>
        </w:numPr>
        <w:spacing w:after="200" w:line="276" w:lineRule="auto"/>
        <w:ind w:right="70"/>
        <w:rPr>
          <w:rFonts w:ascii="Aptos" w:hAnsi="Aptos" w:cstheme="minorBidi"/>
          <w:b/>
          <w:color w:val="0F4761" w:themeColor="accent1" w:themeShade="BF"/>
          <w:sz w:val="28"/>
          <w:szCs w:val="28"/>
        </w:rPr>
      </w:pPr>
      <w:r>
        <w:rPr>
          <w:rFonts w:ascii="Aptos" w:hAnsi="Aptos" w:cstheme="minorBidi"/>
          <w:b/>
          <w:color w:val="0F4761" w:themeColor="accent1" w:themeShade="BF"/>
          <w:sz w:val="28"/>
          <w:szCs w:val="28"/>
        </w:rPr>
        <w:lastRenderedPageBreak/>
        <w:t>Appendix (for reference)</w:t>
      </w:r>
    </w:p>
    <w:p w14:paraId="7CC640B7" w14:textId="77777777" w:rsidR="003A78E6" w:rsidRPr="00F5073E" w:rsidRDefault="003A78E6" w:rsidP="003A78E6">
      <w:pPr>
        <w:autoSpaceDE w:val="0"/>
        <w:autoSpaceDN w:val="0"/>
        <w:adjustRightInd w:val="0"/>
        <w:spacing w:before="240" w:after="120"/>
        <w:jc w:val="both"/>
        <w:rPr>
          <w:rFonts w:ascii="Aptos" w:hAnsi="Aptos" w:cstheme="minorBidi"/>
          <w:color w:val="000000" w:themeColor="text1"/>
          <w:sz w:val="22"/>
          <w:szCs w:val="22"/>
        </w:rPr>
      </w:pPr>
      <w:r w:rsidRPr="00F5073E">
        <w:rPr>
          <w:rFonts w:ascii="Aptos" w:hAnsi="Aptos" w:cstheme="minorBidi"/>
          <w:color w:val="000000" w:themeColor="text1"/>
          <w:sz w:val="22"/>
          <w:szCs w:val="22"/>
        </w:rPr>
        <w:t>Below table explains a summarised view on Consolidation transaction flow</w:t>
      </w:r>
      <w:r>
        <w:rPr>
          <w:rFonts w:ascii="Aptos" w:hAnsi="Aptos" w:cstheme="minorBidi"/>
          <w:color w:val="000000" w:themeColor="text1"/>
          <w:sz w:val="22"/>
          <w:szCs w:val="22"/>
        </w:rPr>
        <w:t xml:space="preserve"> for reference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836"/>
        <w:gridCol w:w="3118"/>
        <w:gridCol w:w="1815"/>
      </w:tblGrid>
      <w:tr w:rsidR="003A78E6" w:rsidRPr="0012476F" w14:paraId="424EFB4A" w14:textId="77777777" w:rsidTr="005362C2">
        <w:trPr>
          <w:trHeight w:val="290"/>
        </w:trPr>
        <w:tc>
          <w:tcPr>
            <w:tcW w:w="896" w:type="pct"/>
            <w:shd w:val="clear" w:color="auto" w:fill="D9D9D9" w:themeFill="background1" w:themeFillShade="D9"/>
            <w:vAlign w:val="center"/>
            <w:hideMark/>
          </w:tcPr>
          <w:p w14:paraId="5CADB8F8" w14:textId="77777777" w:rsidR="003A78E6" w:rsidRPr="0042059A" w:rsidRDefault="003A78E6" w:rsidP="005362C2">
            <w:pPr>
              <w:rPr>
                <w:rFonts w:ascii="Aptos" w:hAnsi="Aptos" w:cs="Calibri"/>
                <w:b/>
                <w:bCs/>
                <w:color w:val="000000"/>
                <w:sz w:val="14"/>
                <w:szCs w:val="14"/>
              </w:rPr>
            </w:pPr>
            <w:r w:rsidRPr="0042059A">
              <w:rPr>
                <w:rFonts w:ascii="Aptos" w:hAnsi="Aptos" w:cs="Calibri"/>
                <w:b/>
                <w:bCs/>
                <w:color w:val="000000"/>
                <w:sz w:val="14"/>
                <w:szCs w:val="14"/>
              </w:rPr>
              <w:t>Step</w:t>
            </w:r>
          </w:p>
        </w:tc>
        <w:tc>
          <w:tcPr>
            <w:tcW w:w="1498" w:type="pct"/>
            <w:shd w:val="clear" w:color="auto" w:fill="D9D9D9" w:themeFill="background1" w:themeFillShade="D9"/>
            <w:vAlign w:val="center"/>
            <w:hideMark/>
          </w:tcPr>
          <w:p w14:paraId="0F9DF21D" w14:textId="77777777" w:rsidR="003A78E6" w:rsidRPr="0042059A" w:rsidRDefault="003A78E6" w:rsidP="005362C2">
            <w:pPr>
              <w:rPr>
                <w:rFonts w:ascii="Aptos" w:hAnsi="Aptos" w:cs="Calibri"/>
                <w:b/>
                <w:bCs/>
                <w:color w:val="000000"/>
                <w:sz w:val="14"/>
                <w:szCs w:val="14"/>
              </w:rPr>
            </w:pPr>
            <w:r w:rsidRPr="0042059A">
              <w:rPr>
                <w:rFonts w:ascii="Aptos" w:hAnsi="Aptos" w:cs="Calibri"/>
                <w:b/>
                <w:bCs/>
                <w:color w:val="000000"/>
                <w:sz w:val="14"/>
                <w:szCs w:val="14"/>
              </w:rPr>
              <w:t>Activity</w:t>
            </w:r>
          </w:p>
        </w:tc>
        <w:tc>
          <w:tcPr>
            <w:tcW w:w="1647" w:type="pct"/>
            <w:shd w:val="clear" w:color="auto" w:fill="D9D9D9" w:themeFill="background1" w:themeFillShade="D9"/>
            <w:vAlign w:val="center"/>
            <w:hideMark/>
          </w:tcPr>
          <w:p w14:paraId="395E0B37" w14:textId="77777777" w:rsidR="003A78E6" w:rsidRPr="0042059A" w:rsidRDefault="003A78E6" w:rsidP="005362C2">
            <w:pPr>
              <w:rPr>
                <w:rFonts w:ascii="Aptos" w:hAnsi="Aptos" w:cs="Calibri"/>
                <w:b/>
                <w:bCs/>
                <w:color w:val="000000"/>
                <w:sz w:val="14"/>
                <w:szCs w:val="14"/>
              </w:rPr>
            </w:pPr>
            <w:r w:rsidRPr="0042059A">
              <w:rPr>
                <w:rFonts w:ascii="Aptos" w:hAnsi="Aptos" w:cs="Calibri"/>
                <w:b/>
                <w:bCs/>
                <w:color w:val="000000"/>
                <w:sz w:val="14"/>
                <w:szCs w:val="14"/>
              </w:rPr>
              <w:t>Key FX and Elimination Considerations</w:t>
            </w:r>
          </w:p>
        </w:tc>
        <w:tc>
          <w:tcPr>
            <w:tcW w:w="959" w:type="pct"/>
            <w:shd w:val="clear" w:color="auto" w:fill="D9D9D9" w:themeFill="background1" w:themeFillShade="D9"/>
            <w:vAlign w:val="center"/>
            <w:hideMark/>
          </w:tcPr>
          <w:p w14:paraId="67E11E29" w14:textId="77777777" w:rsidR="003A78E6" w:rsidRPr="0042059A" w:rsidRDefault="003A78E6" w:rsidP="005362C2">
            <w:pPr>
              <w:rPr>
                <w:rFonts w:ascii="Aptos" w:hAnsi="Aptos" w:cs="Calibri"/>
                <w:b/>
                <w:bCs/>
                <w:color w:val="000000"/>
                <w:sz w:val="14"/>
                <w:szCs w:val="14"/>
              </w:rPr>
            </w:pPr>
            <w:r w:rsidRPr="0042059A">
              <w:rPr>
                <w:rFonts w:ascii="Aptos" w:hAnsi="Aptos" w:cs="Calibri"/>
                <w:b/>
                <w:bCs/>
                <w:color w:val="000000"/>
                <w:sz w:val="14"/>
                <w:szCs w:val="14"/>
              </w:rPr>
              <w:t>Reversal Applicability</w:t>
            </w:r>
          </w:p>
        </w:tc>
      </w:tr>
      <w:tr w:rsidR="003A78E6" w:rsidRPr="0012476F" w14:paraId="60F145D2" w14:textId="77777777" w:rsidTr="005362C2">
        <w:trPr>
          <w:trHeight w:val="480"/>
        </w:trPr>
        <w:tc>
          <w:tcPr>
            <w:tcW w:w="896" w:type="pct"/>
            <w:vAlign w:val="center"/>
            <w:hideMark/>
          </w:tcPr>
          <w:p w14:paraId="6B0B0B0A"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xml:space="preserve">1. </w:t>
            </w:r>
            <w:r w:rsidRPr="00323403">
              <w:rPr>
                <w:rFonts w:ascii="Aptos" w:hAnsi="Aptos" w:cs="Calibri"/>
                <w:b/>
                <w:bCs/>
                <w:color w:val="000000"/>
                <w:sz w:val="16"/>
                <w:szCs w:val="16"/>
              </w:rPr>
              <w:t>Trial Balance Upload</w:t>
            </w:r>
          </w:p>
        </w:tc>
        <w:tc>
          <w:tcPr>
            <w:tcW w:w="1498" w:type="pct"/>
            <w:vAlign w:val="center"/>
            <w:hideMark/>
          </w:tcPr>
          <w:p w14:paraId="21B37193"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Entities upload functional and local currency trial balances.</w:t>
            </w:r>
          </w:p>
        </w:tc>
        <w:tc>
          <w:tcPr>
            <w:tcW w:w="1647" w:type="pct"/>
            <w:vAlign w:val="center"/>
            <w:hideMark/>
          </w:tcPr>
          <w:p w14:paraId="7C18E074"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No FX impact yet. Source ledgers must align with functional currency standards.</w:t>
            </w:r>
          </w:p>
        </w:tc>
        <w:tc>
          <w:tcPr>
            <w:tcW w:w="959" w:type="pct"/>
            <w:vAlign w:val="center"/>
            <w:hideMark/>
          </w:tcPr>
          <w:p w14:paraId="6167A9FD"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No reversal</w:t>
            </w:r>
          </w:p>
        </w:tc>
      </w:tr>
      <w:tr w:rsidR="003A78E6" w:rsidRPr="0012476F" w14:paraId="64091674" w14:textId="77777777" w:rsidTr="005362C2">
        <w:trPr>
          <w:trHeight w:val="480"/>
        </w:trPr>
        <w:tc>
          <w:tcPr>
            <w:tcW w:w="896" w:type="pct"/>
            <w:vAlign w:val="center"/>
            <w:hideMark/>
          </w:tcPr>
          <w:p w14:paraId="23106D3F"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xml:space="preserve">2. </w:t>
            </w:r>
            <w:r w:rsidRPr="00323403">
              <w:rPr>
                <w:rFonts w:ascii="Aptos" w:hAnsi="Aptos" w:cs="Calibri"/>
                <w:b/>
                <w:bCs/>
                <w:color w:val="000000"/>
                <w:sz w:val="16"/>
                <w:szCs w:val="16"/>
              </w:rPr>
              <w:t>Intercompany Matching</w:t>
            </w:r>
          </w:p>
        </w:tc>
        <w:tc>
          <w:tcPr>
            <w:tcW w:w="1498" w:type="pct"/>
            <w:vAlign w:val="center"/>
            <w:hideMark/>
          </w:tcPr>
          <w:p w14:paraId="483BC933"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Matching of IC balances (AR/AP, sales/COGS, loans/interest).</w:t>
            </w:r>
          </w:p>
        </w:tc>
        <w:tc>
          <w:tcPr>
            <w:tcW w:w="1647" w:type="pct"/>
            <w:vAlign w:val="center"/>
            <w:hideMark/>
          </w:tcPr>
          <w:p w14:paraId="38A29606"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Ensure both parties use same IC partner tagging and currency.</w:t>
            </w:r>
          </w:p>
        </w:tc>
        <w:tc>
          <w:tcPr>
            <w:tcW w:w="959" w:type="pct"/>
            <w:vAlign w:val="center"/>
            <w:hideMark/>
          </w:tcPr>
          <w:p w14:paraId="50623E9E"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No reversal</w:t>
            </w:r>
          </w:p>
        </w:tc>
      </w:tr>
      <w:tr w:rsidR="003A78E6" w:rsidRPr="0012476F" w14:paraId="650E27F8" w14:textId="77777777" w:rsidTr="005362C2">
        <w:trPr>
          <w:trHeight w:val="290"/>
        </w:trPr>
        <w:tc>
          <w:tcPr>
            <w:tcW w:w="896" w:type="pct"/>
            <w:vMerge w:val="restart"/>
            <w:vAlign w:val="center"/>
            <w:hideMark/>
          </w:tcPr>
          <w:p w14:paraId="4BAF3EED"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xml:space="preserve">3. </w:t>
            </w:r>
            <w:r w:rsidRPr="00323403">
              <w:rPr>
                <w:rFonts w:ascii="Aptos" w:hAnsi="Aptos" w:cs="Calibri"/>
                <w:b/>
                <w:bCs/>
                <w:color w:val="000000"/>
                <w:sz w:val="16"/>
                <w:szCs w:val="16"/>
              </w:rPr>
              <w:t>Translation to Group Currency</w:t>
            </w:r>
          </w:p>
        </w:tc>
        <w:tc>
          <w:tcPr>
            <w:tcW w:w="1498" w:type="pct"/>
            <w:vMerge w:val="restart"/>
            <w:vAlign w:val="center"/>
            <w:hideMark/>
          </w:tcPr>
          <w:p w14:paraId="1D0DDB53"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Functional currency balances translated to presentation currency.</w:t>
            </w:r>
          </w:p>
        </w:tc>
        <w:tc>
          <w:tcPr>
            <w:tcW w:w="1647" w:type="pct"/>
            <w:vAlign w:val="center"/>
            <w:hideMark/>
          </w:tcPr>
          <w:p w14:paraId="37A3AEBC"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P&amp;L: Transaction date spot rate</w:t>
            </w:r>
          </w:p>
        </w:tc>
        <w:tc>
          <w:tcPr>
            <w:tcW w:w="959" w:type="pct"/>
            <w:vMerge w:val="restart"/>
            <w:vAlign w:val="center"/>
            <w:hideMark/>
          </w:tcPr>
          <w:p w14:paraId="1D7322E3"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CTA reserve holds FX impacts until partial/full disposal</w:t>
            </w:r>
          </w:p>
        </w:tc>
      </w:tr>
      <w:tr w:rsidR="003A78E6" w:rsidRPr="0012476F" w14:paraId="3714CD81" w14:textId="77777777" w:rsidTr="005362C2">
        <w:trPr>
          <w:trHeight w:val="290"/>
        </w:trPr>
        <w:tc>
          <w:tcPr>
            <w:tcW w:w="896" w:type="pct"/>
            <w:vMerge/>
            <w:vAlign w:val="center"/>
            <w:hideMark/>
          </w:tcPr>
          <w:p w14:paraId="6B203633" w14:textId="77777777" w:rsidR="003A78E6" w:rsidRPr="00323403" w:rsidRDefault="003A78E6" w:rsidP="005362C2">
            <w:pPr>
              <w:rPr>
                <w:rFonts w:ascii="Aptos" w:hAnsi="Aptos" w:cs="Calibri"/>
                <w:color w:val="000000"/>
                <w:sz w:val="16"/>
                <w:szCs w:val="16"/>
              </w:rPr>
            </w:pPr>
          </w:p>
        </w:tc>
        <w:tc>
          <w:tcPr>
            <w:tcW w:w="1498" w:type="pct"/>
            <w:vMerge/>
            <w:vAlign w:val="center"/>
            <w:hideMark/>
          </w:tcPr>
          <w:p w14:paraId="4DCC2BF3" w14:textId="77777777" w:rsidR="003A78E6" w:rsidRPr="00323403" w:rsidRDefault="003A78E6" w:rsidP="005362C2">
            <w:pPr>
              <w:rPr>
                <w:rFonts w:ascii="Aptos" w:hAnsi="Aptos" w:cs="Calibri"/>
                <w:color w:val="000000"/>
                <w:sz w:val="16"/>
                <w:szCs w:val="16"/>
              </w:rPr>
            </w:pPr>
          </w:p>
        </w:tc>
        <w:tc>
          <w:tcPr>
            <w:tcW w:w="1647" w:type="pct"/>
            <w:vAlign w:val="center"/>
            <w:hideMark/>
          </w:tcPr>
          <w:p w14:paraId="2CBEF8FF"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BS: Closing rate</w:t>
            </w:r>
          </w:p>
        </w:tc>
        <w:tc>
          <w:tcPr>
            <w:tcW w:w="959" w:type="pct"/>
            <w:vMerge/>
            <w:vAlign w:val="center"/>
            <w:hideMark/>
          </w:tcPr>
          <w:p w14:paraId="356321CF" w14:textId="77777777" w:rsidR="003A78E6" w:rsidRPr="00323403" w:rsidRDefault="003A78E6" w:rsidP="005362C2">
            <w:pPr>
              <w:rPr>
                <w:rFonts w:ascii="Aptos" w:hAnsi="Aptos" w:cs="Calibri"/>
                <w:color w:val="000000"/>
                <w:sz w:val="16"/>
                <w:szCs w:val="16"/>
              </w:rPr>
            </w:pPr>
          </w:p>
        </w:tc>
      </w:tr>
      <w:tr w:rsidR="003A78E6" w:rsidRPr="0012476F" w14:paraId="68904E69" w14:textId="77777777" w:rsidTr="005362C2">
        <w:trPr>
          <w:trHeight w:val="290"/>
        </w:trPr>
        <w:tc>
          <w:tcPr>
            <w:tcW w:w="896" w:type="pct"/>
            <w:vMerge/>
            <w:vAlign w:val="center"/>
            <w:hideMark/>
          </w:tcPr>
          <w:p w14:paraId="341C9665" w14:textId="77777777" w:rsidR="003A78E6" w:rsidRPr="00323403" w:rsidRDefault="003A78E6" w:rsidP="005362C2">
            <w:pPr>
              <w:rPr>
                <w:rFonts w:ascii="Aptos" w:hAnsi="Aptos" w:cs="Calibri"/>
                <w:color w:val="000000"/>
                <w:sz w:val="16"/>
                <w:szCs w:val="16"/>
              </w:rPr>
            </w:pPr>
          </w:p>
        </w:tc>
        <w:tc>
          <w:tcPr>
            <w:tcW w:w="1498" w:type="pct"/>
            <w:vMerge/>
            <w:vAlign w:val="center"/>
            <w:hideMark/>
          </w:tcPr>
          <w:p w14:paraId="47C273F0" w14:textId="77777777" w:rsidR="003A78E6" w:rsidRPr="00323403" w:rsidRDefault="003A78E6" w:rsidP="005362C2">
            <w:pPr>
              <w:rPr>
                <w:rFonts w:ascii="Aptos" w:hAnsi="Aptos" w:cs="Calibri"/>
                <w:color w:val="000000"/>
                <w:sz w:val="16"/>
                <w:szCs w:val="16"/>
              </w:rPr>
            </w:pPr>
          </w:p>
        </w:tc>
        <w:tc>
          <w:tcPr>
            <w:tcW w:w="1647" w:type="pct"/>
            <w:vAlign w:val="center"/>
            <w:hideMark/>
          </w:tcPr>
          <w:p w14:paraId="09E69076"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Equity: Historical rate</w:t>
            </w:r>
          </w:p>
        </w:tc>
        <w:tc>
          <w:tcPr>
            <w:tcW w:w="959" w:type="pct"/>
            <w:vMerge/>
            <w:vAlign w:val="center"/>
            <w:hideMark/>
          </w:tcPr>
          <w:p w14:paraId="6D40C346" w14:textId="77777777" w:rsidR="003A78E6" w:rsidRPr="00323403" w:rsidRDefault="003A78E6" w:rsidP="005362C2">
            <w:pPr>
              <w:rPr>
                <w:rFonts w:ascii="Aptos" w:hAnsi="Aptos" w:cs="Calibri"/>
                <w:color w:val="000000"/>
                <w:sz w:val="16"/>
                <w:szCs w:val="16"/>
              </w:rPr>
            </w:pPr>
          </w:p>
        </w:tc>
      </w:tr>
      <w:tr w:rsidR="003A78E6" w:rsidRPr="0012476F" w14:paraId="5B87B21B" w14:textId="77777777" w:rsidTr="005362C2">
        <w:trPr>
          <w:trHeight w:val="720"/>
        </w:trPr>
        <w:tc>
          <w:tcPr>
            <w:tcW w:w="896" w:type="pct"/>
            <w:vAlign w:val="center"/>
            <w:hideMark/>
          </w:tcPr>
          <w:p w14:paraId="031D0743"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xml:space="preserve">4. </w:t>
            </w:r>
            <w:r w:rsidRPr="00323403">
              <w:rPr>
                <w:rFonts w:ascii="Aptos" w:hAnsi="Aptos" w:cs="Calibri"/>
                <w:b/>
                <w:bCs/>
                <w:color w:val="000000"/>
                <w:sz w:val="16"/>
                <w:szCs w:val="16"/>
              </w:rPr>
              <w:t>Eliminations – Intercompany Transactions</w:t>
            </w:r>
          </w:p>
        </w:tc>
        <w:tc>
          <w:tcPr>
            <w:tcW w:w="1498" w:type="pct"/>
            <w:vAlign w:val="center"/>
            <w:hideMark/>
          </w:tcPr>
          <w:p w14:paraId="0BAC4526"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Remove intra-group balances (receivables/payables, revenues/expenses).</w:t>
            </w:r>
          </w:p>
        </w:tc>
        <w:tc>
          <w:tcPr>
            <w:tcW w:w="1647" w:type="pct"/>
            <w:vAlign w:val="center"/>
            <w:hideMark/>
          </w:tcPr>
          <w:p w14:paraId="6AE571EF"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Use translated balances (already converted to group currency). FX mismatches may lead to minor residuals.</w:t>
            </w:r>
          </w:p>
        </w:tc>
        <w:tc>
          <w:tcPr>
            <w:tcW w:w="959" w:type="pct"/>
            <w:vAlign w:val="center"/>
            <w:hideMark/>
          </w:tcPr>
          <w:p w14:paraId="7F50D852"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Not reversed (permanent elimination in each period)</w:t>
            </w:r>
          </w:p>
        </w:tc>
      </w:tr>
      <w:tr w:rsidR="003A78E6" w:rsidRPr="0012476F" w14:paraId="13A35824" w14:textId="77777777" w:rsidTr="005362C2">
        <w:trPr>
          <w:trHeight w:val="720"/>
        </w:trPr>
        <w:tc>
          <w:tcPr>
            <w:tcW w:w="896" w:type="pct"/>
            <w:vAlign w:val="center"/>
            <w:hideMark/>
          </w:tcPr>
          <w:p w14:paraId="7FC89A6F"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xml:space="preserve">5. </w:t>
            </w:r>
            <w:r w:rsidRPr="00323403">
              <w:rPr>
                <w:rFonts w:ascii="Aptos" w:hAnsi="Aptos" w:cs="Calibri"/>
                <w:b/>
                <w:bCs/>
                <w:color w:val="000000"/>
                <w:sz w:val="16"/>
                <w:szCs w:val="16"/>
              </w:rPr>
              <w:t>Eliminations – Unrealised Profits (URP)</w:t>
            </w:r>
          </w:p>
        </w:tc>
        <w:tc>
          <w:tcPr>
            <w:tcW w:w="1498" w:type="pct"/>
            <w:vAlign w:val="center"/>
            <w:hideMark/>
          </w:tcPr>
          <w:p w14:paraId="4DD9925A"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Defer internal profit on inventory or fixed asset transfers not yet reali</w:t>
            </w:r>
            <w:r>
              <w:rPr>
                <w:rFonts w:ascii="Aptos" w:hAnsi="Aptos" w:cs="Calibri"/>
                <w:color w:val="000000"/>
                <w:sz w:val="16"/>
                <w:szCs w:val="16"/>
              </w:rPr>
              <w:t>s</w:t>
            </w:r>
            <w:r w:rsidRPr="00323403">
              <w:rPr>
                <w:rFonts w:ascii="Aptos" w:hAnsi="Aptos" w:cs="Calibri"/>
                <w:color w:val="000000"/>
                <w:sz w:val="16"/>
                <w:szCs w:val="16"/>
              </w:rPr>
              <w:t>ed externally.</w:t>
            </w:r>
          </w:p>
        </w:tc>
        <w:tc>
          <w:tcPr>
            <w:tcW w:w="1647" w:type="pct"/>
            <w:vAlign w:val="center"/>
            <w:hideMark/>
          </w:tcPr>
          <w:p w14:paraId="2ED0749E"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No FX impact at this stage. Based on internal margin in original currency, translated using average rate.</w:t>
            </w:r>
          </w:p>
        </w:tc>
        <w:tc>
          <w:tcPr>
            <w:tcW w:w="959" w:type="pct"/>
            <w:vAlign w:val="center"/>
            <w:hideMark/>
          </w:tcPr>
          <w:p w14:paraId="0E1696C9"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Reversed upon reali</w:t>
            </w:r>
            <w:r>
              <w:rPr>
                <w:rFonts w:ascii="Aptos" w:hAnsi="Aptos" w:cs="Calibri"/>
                <w:color w:val="000000"/>
                <w:sz w:val="16"/>
                <w:szCs w:val="16"/>
              </w:rPr>
              <w:t>s</w:t>
            </w:r>
            <w:r w:rsidRPr="00323403">
              <w:rPr>
                <w:rFonts w:ascii="Aptos" w:hAnsi="Aptos" w:cs="Calibri"/>
                <w:color w:val="000000"/>
                <w:sz w:val="16"/>
                <w:szCs w:val="16"/>
              </w:rPr>
              <w:t>ation (e.g., third-party sale or depreciation)</w:t>
            </w:r>
          </w:p>
        </w:tc>
      </w:tr>
      <w:tr w:rsidR="003A78E6" w:rsidRPr="0012476F" w14:paraId="3701D114" w14:textId="77777777" w:rsidTr="005362C2">
        <w:trPr>
          <w:trHeight w:val="720"/>
        </w:trPr>
        <w:tc>
          <w:tcPr>
            <w:tcW w:w="896" w:type="pct"/>
            <w:vAlign w:val="center"/>
            <w:hideMark/>
          </w:tcPr>
          <w:p w14:paraId="7C791C9D"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xml:space="preserve">6. </w:t>
            </w:r>
            <w:r w:rsidRPr="00323403">
              <w:rPr>
                <w:rFonts w:ascii="Aptos" w:hAnsi="Aptos" w:cs="Calibri"/>
                <w:b/>
                <w:bCs/>
                <w:color w:val="000000"/>
                <w:sz w:val="16"/>
                <w:szCs w:val="16"/>
              </w:rPr>
              <w:t>Manual Adjustments (if any)</w:t>
            </w:r>
          </w:p>
        </w:tc>
        <w:tc>
          <w:tcPr>
            <w:tcW w:w="1498" w:type="pct"/>
            <w:vAlign w:val="center"/>
            <w:hideMark/>
          </w:tcPr>
          <w:p w14:paraId="4D4BB470"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Manual topsides for policy exceptions, audit findings, or judgment-based accruals.</w:t>
            </w:r>
          </w:p>
        </w:tc>
        <w:tc>
          <w:tcPr>
            <w:tcW w:w="1647" w:type="pct"/>
            <w:vAlign w:val="center"/>
            <w:hideMark/>
          </w:tcPr>
          <w:p w14:paraId="6C55FAD6"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FX based on nature of item (closing rate for BS, average for P&amp;L).</w:t>
            </w:r>
          </w:p>
        </w:tc>
        <w:tc>
          <w:tcPr>
            <w:tcW w:w="959" w:type="pct"/>
            <w:vAlign w:val="center"/>
            <w:hideMark/>
          </w:tcPr>
          <w:p w14:paraId="3984CEE4"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Usually not reversed unless updated into adjustments</w:t>
            </w:r>
          </w:p>
        </w:tc>
      </w:tr>
      <w:tr w:rsidR="003A78E6" w:rsidRPr="0012476F" w14:paraId="7EC1855C" w14:textId="77777777" w:rsidTr="005362C2">
        <w:trPr>
          <w:trHeight w:val="720"/>
        </w:trPr>
        <w:tc>
          <w:tcPr>
            <w:tcW w:w="896" w:type="pct"/>
            <w:vAlign w:val="center"/>
            <w:hideMark/>
          </w:tcPr>
          <w:p w14:paraId="5BBEB458"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 xml:space="preserve">7. </w:t>
            </w:r>
            <w:r w:rsidRPr="00323403">
              <w:rPr>
                <w:rFonts w:ascii="Aptos" w:hAnsi="Aptos" w:cs="Calibri"/>
                <w:b/>
                <w:bCs/>
                <w:color w:val="000000"/>
                <w:sz w:val="16"/>
                <w:szCs w:val="16"/>
              </w:rPr>
              <w:t>Group Reporting Finali</w:t>
            </w:r>
            <w:r>
              <w:rPr>
                <w:rFonts w:ascii="Aptos" w:hAnsi="Aptos" w:cs="Calibri"/>
                <w:b/>
                <w:bCs/>
                <w:color w:val="000000"/>
                <w:sz w:val="16"/>
                <w:szCs w:val="16"/>
              </w:rPr>
              <w:t>s</w:t>
            </w:r>
            <w:r w:rsidRPr="00323403">
              <w:rPr>
                <w:rFonts w:ascii="Aptos" w:hAnsi="Aptos" w:cs="Calibri"/>
                <w:b/>
                <w:bCs/>
                <w:color w:val="000000"/>
                <w:sz w:val="16"/>
                <w:szCs w:val="16"/>
              </w:rPr>
              <w:t>ation</w:t>
            </w:r>
          </w:p>
        </w:tc>
        <w:tc>
          <w:tcPr>
            <w:tcW w:w="1498" w:type="pct"/>
            <w:vAlign w:val="center"/>
            <w:hideMark/>
          </w:tcPr>
          <w:p w14:paraId="3E198A22"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Consolidated FS generated post-eliminations and FX impact review.</w:t>
            </w:r>
          </w:p>
        </w:tc>
        <w:tc>
          <w:tcPr>
            <w:tcW w:w="1647" w:type="pct"/>
            <w:vAlign w:val="center"/>
            <w:hideMark/>
          </w:tcPr>
          <w:p w14:paraId="74D4FEFC"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CTA reflected in equity. FX disclosures summari</w:t>
            </w:r>
            <w:r>
              <w:rPr>
                <w:rFonts w:ascii="Aptos" w:hAnsi="Aptos" w:cs="Calibri"/>
                <w:color w:val="000000"/>
                <w:sz w:val="16"/>
                <w:szCs w:val="16"/>
              </w:rPr>
              <w:t>s</w:t>
            </w:r>
            <w:r w:rsidRPr="00323403">
              <w:rPr>
                <w:rFonts w:ascii="Aptos" w:hAnsi="Aptos" w:cs="Calibri"/>
                <w:color w:val="000000"/>
                <w:sz w:val="16"/>
                <w:szCs w:val="16"/>
              </w:rPr>
              <w:t>ed under OCI.</w:t>
            </w:r>
          </w:p>
        </w:tc>
        <w:tc>
          <w:tcPr>
            <w:tcW w:w="959" w:type="pct"/>
            <w:vAlign w:val="center"/>
            <w:hideMark/>
          </w:tcPr>
          <w:p w14:paraId="2A46F213" w14:textId="77777777" w:rsidR="003A78E6" w:rsidRPr="00323403" w:rsidRDefault="003A78E6" w:rsidP="005362C2">
            <w:pPr>
              <w:rPr>
                <w:rFonts w:ascii="Aptos" w:hAnsi="Aptos" w:cs="Calibri"/>
                <w:color w:val="000000"/>
                <w:sz w:val="16"/>
                <w:szCs w:val="16"/>
              </w:rPr>
            </w:pPr>
            <w:r w:rsidRPr="00323403">
              <w:rPr>
                <w:rFonts w:ascii="Aptos" w:hAnsi="Aptos" w:cs="Calibri"/>
                <w:color w:val="000000"/>
                <w:sz w:val="16"/>
                <w:szCs w:val="16"/>
              </w:rPr>
              <w:t>CTA reversed only on disposal events</w:t>
            </w:r>
          </w:p>
        </w:tc>
      </w:tr>
    </w:tbl>
    <w:p w14:paraId="61261F0B" w14:textId="77777777" w:rsidR="003A78E6" w:rsidRPr="00810188" w:rsidRDefault="003A78E6" w:rsidP="003A78E6">
      <w:pPr>
        <w:rPr>
          <w:rFonts w:ascii="Aptos" w:hAnsi="Aptos" w:cstheme="minorBidi"/>
          <w:b/>
          <w:bCs/>
          <w:color w:val="0F4761" w:themeColor="accent1" w:themeShade="BF"/>
          <w:sz w:val="22"/>
          <w:szCs w:val="22"/>
        </w:rPr>
      </w:pPr>
    </w:p>
    <w:p w14:paraId="4CAE57DA" w14:textId="77777777" w:rsidR="003F54B2" w:rsidRDefault="003F54B2"/>
    <w:sectPr w:rsidR="003F54B2" w:rsidSect="003A78E6">
      <w:headerReference w:type="default" r:id="rId15"/>
      <w:footerReference w:type="default" r:id="rId16"/>
      <w:headerReference w:type="first" r:id="rId17"/>
      <w:footerReference w:type="first" r:id="rId18"/>
      <w:pgSz w:w="12240" w:h="15840"/>
      <w:pgMar w:top="1440" w:right="1325" w:bottom="1440" w:left="1440" w:header="346"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urav Kumar" w:date="2025-11-13T14:29:00Z" w:initials="GK">
    <w:p w14:paraId="78A72BEE" w14:textId="77777777" w:rsidR="00643119" w:rsidRDefault="00643119" w:rsidP="00643119">
      <w:pPr>
        <w:pStyle w:val="CommentText"/>
      </w:pPr>
      <w:r>
        <w:rPr>
          <w:rStyle w:val="CommentReference"/>
        </w:rPr>
        <w:annotationRef/>
      </w:r>
      <w:r>
        <w:rPr>
          <w:lang w:val="en-US"/>
        </w:rPr>
        <w:t>Please perform basic housekeeping activities like removing the client name (UBT), removing client specific information (I see this document talks about Netsuite rather than a generic ERP)</w:t>
      </w:r>
    </w:p>
  </w:comment>
  <w:comment w:id="2" w:author="Gaurav Kumar" w:date="2025-11-13T14:29:00Z" w:initials="GK">
    <w:p w14:paraId="3D8F932D" w14:textId="77777777" w:rsidR="004D1271" w:rsidRDefault="004D1271" w:rsidP="004D1271">
      <w:pPr>
        <w:pStyle w:val="CommentText"/>
      </w:pPr>
      <w:r>
        <w:rPr>
          <w:rStyle w:val="CommentReference"/>
        </w:rPr>
        <w:annotationRef/>
      </w:r>
      <w:r>
        <w:rPr>
          <w:lang w:val="en-US"/>
        </w:rPr>
        <w:t>Client specific information, please scrub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A72BEE" w15:done="1"/>
  <w15:commentEx w15:paraId="3D8F93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A9BB77" w16cex:dateUtc="2025-11-13T08:59:00Z"/>
  <w16cex:commentExtensible w16cex:durableId="0B1EF22C" w16cex:dateUtc="2025-11-13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A72BEE" w16cid:durableId="52A9BB77"/>
  <w16cid:commentId w16cid:paraId="3D8F932D" w16cid:durableId="0B1EF2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3E4E" w14:textId="77777777" w:rsidR="0065793C" w:rsidRDefault="0065793C" w:rsidP="003A78E6">
      <w:r>
        <w:separator/>
      </w:r>
    </w:p>
  </w:endnote>
  <w:endnote w:type="continuationSeparator" w:id="0">
    <w:p w14:paraId="32D38756" w14:textId="77777777" w:rsidR="0065793C" w:rsidRDefault="0065793C" w:rsidP="003A7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tblBorders>
      <w:tblLook w:val="01E0" w:firstRow="1" w:lastRow="1" w:firstColumn="1" w:lastColumn="1" w:noHBand="0" w:noVBand="0"/>
    </w:tblPr>
    <w:tblGrid>
      <w:gridCol w:w="3118"/>
      <w:gridCol w:w="3119"/>
      <w:gridCol w:w="3119"/>
    </w:tblGrid>
    <w:tr w:rsidR="00834183" w:rsidRPr="000F62A8" w14:paraId="721690A5" w14:textId="77777777" w:rsidTr="00C6765E">
      <w:trPr>
        <w:trHeight w:val="281"/>
      </w:trPr>
      <w:tc>
        <w:tcPr>
          <w:tcW w:w="3118" w:type="dxa"/>
          <w:tcBorders>
            <w:bottom w:val="single" w:sz="4" w:space="0" w:color="auto"/>
          </w:tcBorders>
          <w:vAlign w:val="center"/>
        </w:tcPr>
        <w:p w14:paraId="61E270DF" w14:textId="77777777" w:rsidR="00C55860" w:rsidRPr="000F62A8" w:rsidRDefault="00000000" w:rsidP="00834183">
          <w:pPr>
            <w:pStyle w:val="Footer"/>
            <w:ind w:left="-570"/>
            <w:jc w:val="both"/>
            <w:rPr>
              <w:rFonts w:ascii="Arial" w:hAnsi="Arial" w:cs="Arial"/>
              <w:sz w:val="16"/>
              <w:szCs w:val="16"/>
            </w:rPr>
          </w:pPr>
          <w:r w:rsidRPr="004257FE">
            <w:rPr>
              <w:rFonts w:ascii="Arial" w:hAnsi="Arial" w:cs="Arial"/>
              <w:sz w:val="16"/>
              <w:szCs w:val="16"/>
              <w:highlight w:val="yellow"/>
            </w:rPr>
            <w:t>Policy Reference Number</w:t>
          </w:r>
        </w:p>
      </w:tc>
      <w:tc>
        <w:tcPr>
          <w:tcW w:w="3119" w:type="dxa"/>
          <w:tcBorders>
            <w:bottom w:val="single" w:sz="4" w:space="0" w:color="auto"/>
          </w:tcBorders>
          <w:vAlign w:val="center"/>
        </w:tcPr>
        <w:p w14:paraId="4710F72C" w14:textId="77777777" w:rsidR="00C55860" w:rsidRPr="000F62A8" w:rsidRDefault="00C55860" w:rsidP="00834183">
          <w:pPr>
            <w:pStyle w:val="Footer"/>
            <w:tabs>
              <w:tab w:val="clear" w:pos="4680"/>
            </w:tabs>
            <w:rPr>
              <w:rFonts w:ascii="Arial" w:hAnsi="Arial" w:cs="Arial"/>
              <w:sz w:val="16"/>
              <w:szCs w:val="16"/>
            </w:rPr>
          </w:pPr>
        </w:p>
      </w:tc>
      <w:tc>
        <w:tcPr>
          <w:tcW w:w="3119" w:type="dxa"/>
          <w:tcBorders>
            <w:bottom w:val="single" w:sz="4" w:space="0" w:color="auto"/>
          </w:tcBorders>
          <w:vAlign w:val="center"/>
        </w:tcPr>
        <w:p w14:paraId="70E73CDB" w14:textId="77777777" w:rsidR="00C55860" w:rsidRPr="000F62A8" w:rsidRDefault="00000000" w:rsidP="00834183">
          <w:pPr>
            <w:pStyle w:val="Footer"/>
            <w:jc w:val="right"/>
            <w:rPr>
              <w:rFonts w:ascii="Arial" w:hAnsi="Arial" w:cs="Arial"/>
              <w:sz w:val="16"/>
              <w:szCs w:val="16"/>
            </w:rPr>
          </w:pPr>
          <w:r w:rsidRPr="000F62A8">
            <w:rPr>
              <w:rFonts w:ascii="Arial" w:hAnsi="Arial" w:cs="Arial"/>
              <w:sz w:val="16"/>
              <w:szCs w:val="16"/>
            </w:rPr>
            <w:t xml:space="preserve">Page </w:t>
          </w:r>
          <w:r w:rsidRPr="000F62A8">
            <w:rPr>
              <w:rFonts w:ascii="Arial" w:hAnsi="Arial" w:cs="Arial"/>
              <w:sz w:val="16"/>
              <w:szCs w:val="16"/>
            </w:rPr>
            <w:fldChar w:fldCharType="begin"/>
          </w:r>
          <w:r w:rsidRPr="000F62A8">
            <w:rPr>
              <w:rFonts w:ascii="Arial" w:hAnsi="Arial" w:cs="Arial"/>
              <w:sz w:val="16"/>
              <w:szCs w:val="16"/>
            </w:rPr>
            <w:instrText xml:space="preserve"> PAGE </w:instrText>
          </w:r>
          <w:r w:rsidRPr="000F62A8">
            <w:rPr>
              <w:rFonts w:ascii="Arial" w:hAnsi="Arial" w:cs="Arial"/>
              <w:sz w:val="16"/>
              <w:szCs w:val="16"/>
            </w:rPr>
            <w:fldChar w:fldCharType="separate"/>
          </w:r>
          <w:r>
            <w:rPr>
              <w:rFonts w:ascii="Arial" w:hAnsi="Arial" w:cs="Arial"/>
              <w:sz w:val="16"/>
              <w:szCs w:val="16"/>
            </w:rPr>
            <w:t>1</w:t>
          </w:r>
          <w:r w:rsidRPr="000F62A8">
            <w:rPr>
              <w:rFonts w:ascii="Arial" w:hAnsi="Arial" w:cs="Arial"/>
              <w:sz w:val="16"/>
              <w:szCs w:val="16"/>
            </w:rPr>
            <w:fldChar w:fldCharType="end"/>
          </w:r>
          <w:r w:rsidRPr="000F62A8">
            <w:rPr>
              <w:rFonts w:ascii="Arial" w:hAnsi="Arial" w:cs="Arial"/>
              <w:sz w:val="16"/>
              <w:szCs w:val="16"/>
            </w:rPr>
            <w:t xml:space="preserve"> of </w:t>
          </w:r>
          <w:r w:rsidRPr="000F62A8">
            <w:rPr>
              <w:rFonts w:ascii="Arial" w:hAnsi="Arial" w:cs="Arial"/>
              <w:sz w:val="16"/>
              <w:szCs w:val="16"/>
            </w:rPr>
            <w:fldChar w:fldCharType="begin"/>
          </w:r>
          <w:r w:rsidRPr="000F62A8">
            <w:rPr>
              <w:rFonts w:ascii="Arial" w:hAnsi="Arial" w:cs="Arial"/>
              <w:sz w:val="16"/>
              <w:szCs w:val="16"/>
            </w:rPr>
            <w:instrText xml:space="preserve"> NUMPAGES </w:instrText>
          </w:r>
          <w:r w:rsidRPr="000F62A8">
            <w:rPr>
              <w:rFonts w:ascii="Arial" w:hAnsi="Arial" w:cs="Arial"/>
              <w:sz w:val="16"/>
              <w:szCs w:val="16"/>
            </w:rPr>
            <w:fldChar w:fldCharType="separate"/>
          </w:r>
          <w:r>
            <w:rPr>
              <w:rFonts w:ascii="Arial" w:hAnsi="Arial" w:cs="Arial"/>
              <w:sz w:val="16"/>
              <w:szCs w:val="16"/>
            </w:rPr>
            <w:t>3</w:t>
          </w:r>
          <w:r w:rsidRPr="000F62A8">
            <w:rPr>
              <w:rFonts w:ascii="Arial" w:hAnsi="Arial" w:cs="Arial"/>
              <w:sz w:val="16"/>
              <w:szCs w:val="16"/>
            </w:rPr>
            <w:fldChar w:fldCharType="end"/>
          </w:r>
        </w:p>
      </w:tc>
    </w:tr>
    <w:tr w:rsidR="00834183" w:rsidRPr="000F62A8" w14:paraId="5B15CA1B" w14:textId="77777777" w:rsidTr="00C6765E">
      <w:trPr>
        <w:trHeight w:val="518"/>
      </w:trPr>
      <w:tc>
        <w:tcPr>
          <w:tcW w:w="3118" w:type="dxa"/>
          <w:tcBorders>
            <w:top w:val="single" w:sz="4" w:space="0" w:color="auto"/>
            <w:bottom w:val="nil"/>
          </w:tcBorders>
          <w:vAlign w:val="bottom"/>
        </w:tcPr>
        <w:p w14:paraId="66B80A24" w14:textId="77777777" w:rsidR="00C55860" w:rsidRPr="004257FE" w:rsidRDefault="00C55860" w:rsidP="00834183">
          <w:pPr>
            <w:pStyle w:val="Footer"/>
            <w:ind w:left="-570"/>
            <w:jc w:val="both"/>
            <w:rPr>
              <w:rFonts w:ascii="Arial" w:hAnsi="Arial" w:cs="Arial"/>
              <w:sz w:val="16"/>
              <w:szCs w:val="16"/>
              <w:highlight w:val="yellow"/>
            </w:rPr>
          </w:pPr>
        </w:p>
      </w:tc>
      <w:tc>
        <w:tcPr>
          <w:tcW w:w="3119" w:type="dxa"/>
          <w:tcBorders>
            <w:top w:val="single" w:sz="4" w:space="0" w:color="auto"/>
            <w:bottom w:val="nil"/>
          </w:tcBorders>
          <w:vAlign w:val="bottom"/>
        </w:tcPr>
        <w:p w14:paraId="3D69FF30" w14:textId="77777777" w:rsidR="00C55860" w:rsidRDefault="00000000" w:rsidP="00834183">
          <w:pPr>
            <w:pStyle w:val="Footer"/>
            <w:tabs>
              <w:tab w:val="clear" w:pos="4680"/>
              <w:tab w:val="clear" w:pos="9360"/>
              <w:tab w:val="center" w:pos="4820"/>
            </w:tabs>
            <w:jc w:val="center"/>
            <w:rPr>
              <w:rFonts w:ascii="Arial" w:hAnsi="Arial" w:cs="Arial"/>
              <w:sz w:val="16"/>
              <w:szCs w:val="16"/>
            </w:rPr>
          </w:pPr>
          <w:r>
            <w:rPr>
              <w:rFonts w:ascii="Arial" w:hAnsi="Arial" w:cs="Arial"/>
              <w:sz w:val="16"/>
              <w:szCs w:val="16"/>
            </w:rPr>
            <w:t>Uncontrolled Copy Once Printed</w:t>
          </w:r>
        </w:p>
        <w:p w14:paraId="266FB4CC" w14:textId="77777777" w:rsidR="00C55860" w:rsidRPr="000F62A8" w:rsidRDefault="00000000" w:rsidP="00834183">
          <w:pPr>
            <w:pStyle w:val="Footer"/>
            <w:tabs>
              <w:tab w:val="clear" w:pos="4680"/>
              <w:tab w:val="center" w:pos="4820"/>
            </w:tabs>
            <w:jc w:val="center"/>
            <w:rPr>
              <w:rFonts w:ascii="Arial" w:hAnsi="Arial" w:cs="Arial"/>
              <w:sz w:val="16"/>
              <w:szCs w:val="16"/>
            </w:rPr>
          </w:pPr>
          <w:r>
            <w:rPr>
              <w:rFonts w:ascii="Arial" w:hAnsi="Arial" w:cs="Arial"/>
              <w:sz w:val="16"/>
              <w:szCs w:val="16"/>
            </w:rPr>
            <w:t xml:space="preserve">Authorised by: </w:t>
          </w:r>
          <w:r w:rsidRPr="004257FE">
            <w:rPr>
              <w:rFonts w:ascii="Arial" w:hAnsi="Arial" w:cs="Arial"/>
              <w:sz w:val="16"/>
              <w:szCs w:val="16"/>
              <w:highlight w:val="yellow"/>
            </w:rPr>
            <w:t>Name of Authoriser</w:t>
          </w:r>
        </w:p>
      </w:tc>
      <w:tc>
        <w:tcPr>
          <w:tcW w:w="3119" w:type="dxa"/>
          <w:tcBorders>
            <w:top w:val="single" w:sz="4" w:space="0" w:color="auto"/>
            <w:bottom w:val="nil"/>
          </w:tcBorders>
          <w:vAlign w:val="bottom"/>
        </w:tcPr>
        <w:p w14:paraId="2677C037" w14:textId="77777777" w:rsidR="00C55860" w:rsidRPr="000F62A8" w:rsidRDefault="00C55860" w:rsidP="00834183">
          <w:pPr>
            <w:pStyle w:val="Footer"/>
            <w:jc w:val="right"/>
            <w:rPr>
              <w:rFonts w:ascii="Arial" w:hAnsi="Arial" w:cs="Arial"/>
              <w:sz w:val="16"/>
              <w:szCs w:val="16"/>
            </w:rPr>
          </w:pPr>
        </w:p>
      </w:tc>
    </w:tr>
  </w:tbl>
  <w:p w14:paraId="6DF75CA0" w14:textId="77777777" w:rsidR="00C55860" w:rsidRPr="008F430D" w:rsidRDefault="00C55860" w:rsidP="00C6765E">
    <w:pPr>
      <w:pStyle w:val="Footer"/>
      <w:tabs>
        <w:tab w:val="clear" w:pos="4680"/>
        <w:tab w:val="clear" w:pos="9360"/>
        <w:tab w:val="center" w:pos="4820"/>
      </w:tabs>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468" w:type="dxa"/>
      <w:tblBorders>
        <w:bottom w:val="single" w:sz="4" w:space="0" w:color="auto"/>
      </w:tblBorders>
      <w:tblLook w:val="01E0" w:firstRow="1" w:lastRow="1" w:firstColumn="1" w:lastColumn="1" w:noHBand="0" w:noVBand="0"/>
    </w:tblPr>
    <w:tblGrid>
      <w:gridCol w:w="2952"/>
      <w:gridCol w:w="2952"/>
      <w:gridCol w:w="2952"/>
    </w:tblGrid>
    <w:tr w:rsidR="00A23C91" w:rsidRPr="000F62A8" w14:paraId="478FEE14" w14:textId="77777777">
      <w:tc>
        <w:tcPr>
          <w:tcW w:w="2952" w:type="dxa"/>
        </w:tcPr>
        <w:p w14:paraId="0061C172" w14:textId="77777777" w:rsidR="00C55860" w:rsidRPr="000F62A8" w:rsidRDefault="00000000" w:rsidP="00A23C91">
          <w:pPr>
            <w:pStyle w:val="Footer"/>
            <w:rPr>
              <w:rFonts w:ascii="Arial" w:hAnsi="Arial" w:cs="Arial"/>
              <w:sz w:val="16"/>
              <w:szCs w:val="16"/>
            </w:rPr>
          </w:pPr>
          <w:r w:rsidRPr="004257FE">
            <w:rPr>
              <w:rFonts w:ascii="Arial" w:hAnsi="Arial" w:cs="Arial"/>
              <w:sz w:val="16"/>
              <w:szCs w:val="16"/>
              <w:highlight w:val="yellow"/>
            </w:rPr>
            <w:t>Policy Reference Number</w:t>
          </w:r>
        </w:p>
      </w:tc>
      <w:tc>
        <w:tcPr>
          <w:tcW w:w="2952" w:type="dxa"/>
        </w:tcPr>
        <w:p w14:paraId="4146F04E" w14:textId="77777777" w:rsidR="00C55860" w:rsidRPr="000F62A8" w:rsidRDefault="00C55860" w:rsidP="00A23C91">
          <w:pPr>
            <w:pStyle w:val="Footer"/>
            <w:tabs>
              <w:tab w:val="clear" w:pos="4680"/>
            </w:tabs>
            <w:rPr>
              <w:rFonts w:ascii="Arial" w:hAnsi="Arial" w:cs="Arial"/>
              <w:sz w:val="16"/>
              <w:szCs w:val="16"/>
            </w:rPr>
          </w:pPr>
        </w:p>
      </w:tc>
      <w:tc>
        <w:tcPr>
          <w:tcW w:w="2952" w:type="dxa"/>
        </w:tcPr>
        <w:p w14:paraId="597DBB86" w14:textId="77777777" w:rsidR="00C55860" w:rsidRPr="000F62A8" w:rsidRDefault="00000000" w:rsidP="00A23C91">
          <w:pPr>
            <w:pStyle w:val="Footer"/>
            <w:jc w:val="right"/>
            <w:rPr>
              <w:rFonts w:ascii="Arial" w:hAnsi="Arial" w:cs="Arial"/>
              <w:sz w:val="16"/>
              <w:szCs w:val="16"/>
            </w:rPr>
          </w:pPr>
          <w:r w:rsidRPr="000F62A8">
            <w:rPr>
              <w:rFonts w:ascii="Arial" w:hAnsi="Arial" w:cs="Arial"/>
              <w:sz w:val="16"/>
              <w:szCs w:val="16"/>
            </w:rPr>
            <w:t xml:space="preserve">Page </w:t>
          </w:r>
          <w:r w:rsidRPr="000F62A8">
            <w:rPr>
              <w:rFonts w:ascii="Arial" w:hAnsi="Arial" w:cs="Arial"/>
              <w:sz w:val="16"/>
              <w:szCs w:val="16"/>
            </w:rPr>
            <w:fldChar w:fldCharType="begin"/>
          </w:r>
          <w:r w:rsidRPr="000F62A8">
            <w:rPr>
              <w:rFonts w:ascii="Arial" w:hAnsi="Arial" w:cs="Arial"/>
              <w:sz w:val="16"/>
              <w:szCs w:val="16"/>
            </w:rPr>
            <w:instrText xml:space="preserve"> PAGE </w:instrText>
          </w:r>
          <w:r w:rsidRPr="000F62A8">
            <w:rPr>
              <w:rFonts w:ascii="Arial" w:hAnsi="Arial" w:cs="Arial"/>
              <w:sz w:val="16"/>
              <w:szCs w:val="16"/>
            </w:rPr>
            <w:fldChar w:fldCharType="separate"/>
          </w:r>
          <w:r>
            <w:rPr>
              <w:rFonts w:ascii="Arial" w:hAnsi="Arial" w:cs="Arial"/>
              <w:sz w:val="16"/>
              <w:szCs w:val="16"/>
            </w:rPr>
            <w:t>2</w:t>
          </w:r>
          <w:r w:rsidRPr="000F62A8">
            <w:rPr>
              <w:rFonts w:ascii="Arial" w:hAnsi="Arial" w:cs="Arial"/>
              <w:sz w:val="16"/>
              <w:szCs w:val="16"/>
            </w:rPr>
            <w:fldChar w:fldCharType="end"/>
          </w:r>
          <w:r w:rsidRPr="000F62A8">
            <w:rPr>
              <w:rFonts w:ascii="Arial" w:hAnsi="Arial" w:cs="Arial"/>
              <w:sz w:val="16"/>
              <w:szCs w:val="16"/>
            </w:rPr>
            <w:t xml:space="preserve"> of </w:t>
          </w:r>
          <w:r w:rsidRPr="000F62A8">
            <w:rPr>
              <w:rFonts w:ascii="Arial" w:hAnsi="Arial" w:cs="Arial"/>
              <w:sz w:val="16"/>
              <w:szCs w:val="16"/>
            </w:rPr>
            <w:fldChar w:fldCharType="begin"/>
          </w:r>
          <w:r w:rsidRPr="000F62A8">
            <w:rPr>
              <w:rFonts w:ascii="Arial" w:hAnsi="Arial" w:cs="Arial"/>
              <w:sz w:val="16"/>
              <w:szCs w:val="16"/>
            </w:rPr>
            <w:instrText xml:space="preserve"> NUMPAGES </w:instrText>
          </w:r>
          <w:r w:rsidRPr="000F62A8">
            <w:rPr>
              <w:rFonts w:ascii="Arial" w:hAnsi="Arial" w:cs="Arial"/>
              <w:sz w:val="16"/>
              <w:szCs w:val="16"/>
            </w:rPr>
            <w:fldChar w:fldCharType="separate"/>
          </w:r>
          <w:r>
            <w:rPr>
              <w:rFonts w:ascii="Arial" w:hAnsi="Arial" w:cs="Arial"/>
              <w:sz w:val="16"/>
              <w:szCs w:val="16"/>
            </w:rPr>
            <w:t>4</w:t>
          </w:r>
          <w:r w:rsidRPr="000F62A8">
            <w:rPr>
              <w:rFonts w:ascii="Arial" w:hAnsi="Arial" w:cs="Arial"/>
              <w:sz w:val="16"/>
              <w:szCs w:val="16"/>
            </w:rPr>
            <w:fldChar w:fldCharType="end"/>
          </w:r>
        </w:p>
      </w:tc>
    </w:tr>
  </w:tbl>
  <w:p w14:paraId="77AD4C67" w14:textId="77777777" w:rsidR="00C55860" w:rsidRDefault="00000000" w:rsidP="00A23C91">
    <w:pPr>
      <w:pStyle w:val="Footer"/>
      <w:jc w:val="center"/>
      <w:rPr>
        <w:rFonts w:ascii="Arial" w:hAnsi="Arial" w:cs="Arial"/>
        <w:sz w:val="16"/>
        <w:szCs w:val="16"/>
      </w:rPr>
    </w:pPr>
    <w:r>
      <w:rPr>
        <w:rFonts w:ascii="Arial" w:hAnsi="Arial" w:cs="Arial"/>
        <w:sz w:val="16"/>
        <w:szCs w:val="16"/>
      </w:rPr>
      <w:t>Uncontrolled Copy Once Printed</w:t>
    </w:r>
  </w:p>
  <w:p w14:paraId="4E591523" w14:textId="77777777" w:rsidR="00C55860" w:rsidRPr="008F430D" w:rsidRDefault="00000000" w:rsidP="00A23C91">
    <w:pPr>
      <w:pStyle w:val="Footer"/>
      <w:jc w:val="center"/>
      <w:rPr>
        <w:rFonts w:ascii="Arial" w:hAnsi="Arial" w:cs="Arial"/>
        <w:sz w:val="16"/>
        <w:szCs w:val="16"/>
      </w:rPr>
    </w:pPr>
    <w:r>
      <w:rPr>
        <w:rFonts w:ascii="Arial" w:hAnsi="Arial" w:cs="Arial"/>
        <w:sz w:val="16"/>
        <w:szCs w:val="16"/>
      </w:rPr>
      <w:t xml:space="preserve">Authorised by: </w:t>
    </w:r>
    <w:r w:rsidRPr="004257FE">
      <w:rPr>
        <w:rFonts w:ascii="Arial" w:hAnsi="Arial" w:cs="Arial"/>
        <w:sz w:val="16"/>
        <w:szCs w:val="16"/>
        <w:highlight w:val="yellow"/>
      </w:rPr>
      <w:t>Name of Authoriser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A24C" w14:textId="77777777" w:rsidR="0065793C" w:rsidRDefault="0065793C" w:rsidP="003A78E6">
      <w:r>
        <w:separator/>
      </w:r>
    </w:p>
  </w:footnote>
  <w:footnote w:type="continuationSeparator" w:id="0">
    <w:p w14:paraId="5DAFEF2C" w14:textId="77777777" w:rsidR="0065793C" w:rsidRDefault="0065793C" w:rsidP="003A78E6">
      <w:r>
        <w:continuationSeparator/>
      </w:r>
    </w:p>
  </w:footnote>
  <w:footnote w:id="1">
    <w:p w14:paraId="0E81D652" w14:textId="77777777" w:rsidR="003A78E6" w:rsidRPr="00E747A0" w:rsidRDefault="003A78E6" w:rsidP="003A78E6">
      <w:pPr>
        <w:pStyle w:val="FootnoteText"/>
        <w:rPr>
          <w:rFonts w:ascii="Aptos" w:hAnsi="Aptos"/>
          <w:lang w:val="en-IN"/>
        </w:rPr>
      </w:pPr>
      <w:r w:rsidRPr="00E747A0">
        <w:rPr>
          <w:rStyle w:val="FootnoteReference"/>
          <w:rFonts w:ascii="Aptos" w:hAnsi="Aptos"/>
        </w:rPr>
        <w:footnoteRef/>
      </w:r>
      <w:r w:rsidRPr="00E747A0">
        <w:rPr>
          <w:rFonts w:ascii="Aptos" w:hAnsi="Aptos"/>
        </w:rPr>
        <w:t xml:space="preserve"> </w:t>
      </w:r>
      <w:r w:rsidRPr="00E747A0">
        <w:rPr>
          <w:rFonts w:ascii="Aptos" w:hAnsi="Aptos"/>
          <w:sz w:val="16"/>
          <w:szCs w:val="16"/>
          <w:lang w:val="en-IN"/>
        </w:rPr>
        <w:t>There may be localisation exceptions for France built through Novupack solution</w:t>
      </w:r>
      <w:r w:rsidRPr="00E747A0">
        <w:rPr>
          <w:rFonts w:ascii="Aptos" w:hAnsi="Aptos"/>
          <w:lang w:val="en-I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AE7F" w14:textId="2821E565" w:rsidR="00C55860" w:rsidRPr="000F2837" w:rsidRDefault="00C55860" w:rsidP="000F2837">
    <w:pPr>
      <w:pStyle w:val="Header"/>
      <w:jc w:val="right"/>
      <w:rPr>
        <w:rFonts w:asciiTheme="minorHAnsi" w:hAnsiTheme="minorHAnsi" w:cstheme="minorHAnsi"/>
        <w:sz w:val="22"/>
        <w:szCs w:val="22"/>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CA5C" w14:textId="77777777" w:rsidR="00C55860" w:rsidRPr="00FA2525" w:rsidRDefault="00000000" w:rsidP="004E422F">
    <w:pPr>
      <w:pStyle w:val="Header"/>
      <w:jc w:val="right"/>
      <w:rPr>
        <w:rFonts w:asciiTheme="minorHAnsi" w:hAnsiTheme="minorHAnsi" w:cstheme="minorHAnsi"/>
        <w:sz w:val="22"/>
        <w:szCs w:val="22"/>
        <w:lang w:val="en-US"/>
      </w:rPr>
    </w:pPr>
    <w:r>
      <w:rPr>
        <w:rFonts w:asciiTheme="minorHAnsi" w:hAnsiTheme="minorHAnsi" w:cstheme="minorHAnsi"/>
        <w:sz w:val="22"/>
        <w:szCs w:val="22"/>
      </w:rPr>
      <w:t>Global Finance</w:t>
    </w:r>
    <w:r w:rsidRPr="00A23C91">
      <w:rPr>
        <w:rFonts w:asciiTheme="minorHAnsi" w:hAnsiTheme="minorHAnsi" w:cstheme="minorHAnsi"/>
        <w:sz w:val="22"/>
        <w:szCs w:val="22"/>
      </w:rPr>
      <w:t xml:space="preserve"> Policy: </w:t>
    </w:r>
    <w:r>
      <w:rPr>
        <w:rFonts w:asciiTheme="minorHAnsi" w:hAnsiTheme="minorHAnsi" w:cstheme="minorHAnsi"/>
        <w:sz w:val="22"/>
        <w:szCs w:val="22"/>
        <w:lang w:val="en-US"/>
      </w:rPr>
      <w:t>Consolidation &amp; FX Translation</w:t>
    </w:r>
  </w:p>
  <w:p w14:paraId="5941FA52" w14:textId="77777777" w:rsidR="00C55860" w:rsidRDefault="00000000" w:rsidP="00A23C91">
    <w:pPr>
      <w:pStyle w:val="Header"/>
      <w:jc w:val="right"/>
    </w:pPr>
    <w:r>
      <w:pict w14:anchorId="2607BBCB">
        <v:rect id="_x0000_i1025" style="width:468pt;height:1pt" o:hralign="center" o:hrstd="t" o:hrnoshade="t" o:hr="t" fillcolor="#0f4761 [2404]"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0D4"/>
    <w:multiLevelType w:val="multilevel"/>
    <w:tmpl w:val="1090E710"/>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EC98D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7F784B"/>
    <w:multiLevelType w:val="multilevel"/>
    <w:tmpl w:val="0910E520"/>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Symbol" w:hAnsi="Symbol" w:hint="default"/>
        <w:sz w:val="16"/>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ED54C8"/>
    <w:multiLevelType w:val="multilevel"/>
    <w:tmpl w:val="0DCA4366"/>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Symbol" w:hAnsi="Symbol" w:hint="default"/>
        <w:sz w:val="16"/>
      </w:rPr>
    </w:lvl>
    <w:lvl w:ilvl="6">
      <w:start w:val="1"/>
      <w:numFmt w:val="bullet"/>
      <w:lvlText w:val="o"/>
      <w:lvlJc w:val="left"/>
      <w:pPr>
        <w:ind w:left="2520" w:hanging="360"/>
      </w:pPr>
      <w:rPr>
        <w:rFonts w:ascii="Courier New" w:hAnsi="Courier New" w:cs="Courier New" w:hint="default"/>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7672CF"/>
    <w:multiLevelType w:val="multilevel"/>
    <w:tmpl w:val="95ECEF0E"/>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Symbol" w:hAnsi="Symbol" w:hint="default"/>
        <w:sz w:val="16"/>
      </w:rPr>
    </w:lvl>
    <w:lvl w:ilvl="6">
      <w:start w:val="1"/>
      <w:numFmt w:val="bullet"/>
      <w:lvlText w:val="o"/>
      <w:lvlJc w:val="left"/>
      <w:pPr>
        <w:ind w:left="2520" w:hanging="360"/>
      </w:pPr>
      <w:rPr>
        <w:rFonts w:ascii="Courier New" w:hAnsi="Courier New" w:cs="Courier New" w:hint="default"/>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AA61B9"/>
    <w:multiLevelType w:val="multilevel"/>
    <w:tmpl w:val="A9000558"/>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o"/>
      <w:lvlJc w:val="left"/>
      <w:pPr>
        <w:ind w:left="2520" w:hanging="360"/>
      </w:pPr>
      <w:rPr>
        <w:rFonts w:ascii="Courier New" w:hAnsi="Courier New" w:cs="Courier New" w:hint="default"/>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361608"/>
    <w:multiLevelType w:val="multilevel"/>
    <w:tmpl w:val="0A48E732"/>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o"/>
      <w:lvlJc w:val="left"/>
      <w:pPr>
        <w:ind w:left="2160" w:hanging="360"/>
      </w:pPr>
      <w:rPr>
        <w:rFonts w:ascii="Courier New" w:hAnsi="Courier New" w:cs="Courier New" w:hint="default"/>
      </w:rPr>
    </w:lvl>
    <w:lvl w:ilvl="6">
      <w:start w:val="1"/>
      <w:numFmt w:val="bullet"/>
      <w:lvlText w:val="o"/>
      <w:lvlJc w:val="left"/>
      <w:pPr>
        <w:ind w:left="2520" w:hanging="360"/>
      </w:pPr>
      <w:rPr>
        <w:rFonts w:ascii="Courier New" w:hAnsi="Courier New" w:cs="Courier New" w:hint="default"/>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58D4CE8"/>
    <w:multiLevelType w:val="multilevel"/>
    <w:tmpl w:val="1F30EB7A"/>
    <w:lvl w:ilvl="0">
      <w:start w:val="1"/>
      <w:numFmt w:val="decimal"/>
      <w:lvlText w:val="%1."/>
      <w:lvlJc w:val="left"/>
      <w:pPr>
        <w:ind w:left="360" w:hanging="360"/>
      </w:pPr>
      <w:rPr>
        <w:rFonts w:ascii="Aptos" w:hAnsi="Aptos" w:hint="default"/>
        <w:b/>
        <w:bCs/>
        <w:color w:val="0F4761" w:themeColor="accent1" w:themeShade="BF"/>
        <w:sz w:val="28"/>
        <w:szCs w:val="28"/>
      </w:rPr>
    </w:lvl>
    <w:lvl w:ilvl="1">
      <w:start w:val="1"/>
      <w:numFmt w:val="decimal"/>
      <w:lvlText w:val="%1.%2."/>
      <w:lvlJc w:val="left"/>
      <w:pPr>
        <w:ind w:left="792" w:hanging="432"/>
      </w:pPr>
      <w:rPr>
        <w:b/>
        <w:bCs w:val="0"/>
        <w:sz w:val="22"/>
        <w:szCs w:val="22"/>
      </w:rPr>
    </w:lvl>
    <w:lvl w:ilvl="2">
      <w:start w:val="1"/>
      <w:numFmt w:val="decimal"/>
      <w:lvlText w:val="%1.%2.%3."/>
      <w:lvlJc w:val="left"/>
      <w:pPr>
        <w:ind w:left="1224" w:hanging="504"/>
      </w:pPr>
      <w:rPr>
        <w:b/>
        <w:bCs/>
        <w:sz w:val="22"/>
        <w:szCs w:val="22"/>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BDC5119"/>
    <w:multiLevelType w:val="multilevel"/>
    <w:tmpl w:val="A13ACE62"/>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3A73E2"/>
    <w:multiLevelType w:val="hybridMultilevel"/>
    <w:tmpl w:val="F68C2498"/>
    <w:lvl w:ilvl="0" w:tplc="40090001">
      <w:start w:val="1"/>
      <w:numFmt w:val="bullet"/>
      <w:lvlText w:val=""/>
      <w:lvlJc w:val="left"/>
      <w:pPr>
        <w:ind w:left="2421" w:hanging="360"/>
      </w:pPr>
      <w:rPr>
        <w:rFonts w:ascii="Symbol" w:hAnsi="Symbol" w:hint="default"/>
      </w:rPr>
    </w:lvl>
    <w:lvl w:ilvl="1" w:tplc="40090003" w:tentative="1">
      <w:start w:val="1"/>
      <w:numFmt w:val="bullet"/>
      <w:lvlText w:val="o"/>
      <w:lvlJc w:val="left"/>
      <w:pPr>
        <w:ind w:left="3141" w:hanging="360"/>
      </w:pPr>
      <w:rPr>
        <w:rFonts w:ascii="Courier New" w:hAnsi="Courier New" w:cs="Courier New" w:hint="default"/>
      </w:rPr>
    </w:lvl>
    <w:lvl w:ilvl="2" w:tplc="40090005">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10" w15:restartNumberingAfterBreak="0">
    <w:nsid w:val="74716FFE"/>
    <w:multiLevelType w:val="multilevel"/>
    <w:tmpl w:val="5238AAEA"/>
    <w:lvl w:ilvl="0">
      <w:start w:val="1"/>
      <w:numFmt w:val="decimal"/>
      <w:lvlText w:val="%1."/>
      <w:lvlJc w:val="left"/>
      <w:pPr>
        <w:ind w:left="360" w:hanging="360"/>
      </w:pPr>
      <w:rPr>
        <w:sz w:val="28"/>
        <w:szCs w:val="28"/>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831025">
    <w:abstractNumId w:val="1"/>
  </w:num>
  <w:num w:numId="2" w16cid:durableId="1790662627">
    <w:abstractNumId w:val="7"/>
  </w:num>
  <w:num w:numId="3" w16cid:durableId="857810201">
    <w:abstractNumId w:val="2"/>
  </w:num>
  <w:num w:numId="4" w16cid:durableId="476801430">
    <w:abstractNumId w:val="9"/>
  </w:num>
  <w:num w:numId="5" w16cid:durableId="1928228162">
    <w:abstractNumId w:val="8"/>
  </w:num>
  <w:num w:numId="6" w16cid:durableId="947661543">
    <w:abstractNumId w:val="10"/>
  </w:num>
  <w:num w:numId="7" w16cid:durableId="984628891">
    <w:abstractNumId w:val="0"/>
  </w:num>
  <w:num w:numId="8" w16cid:durableId="1154024986">
    <w:abstractNumId w:val="4"/>
  </w:num>
  <w:num w:numId="9" w16cid:durableId="1769226807">
    <w:abstractNumId w:val="6"/>
  </w:num>
  <w:num w:numId="10" w16cid:durableId="1281647504">
    <w:abstractNumId w:val="5"/>
  </w:num>
  <w:num w:numId="11" w16cid:durableId="14660461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urav Kumar">
    <w15:presenceInfo w15:providerId="AD" w15:userId="S::Gaurav.Kumar1@gds.ey.com::bbb64fc4-845a-4c1e-9141-2107a5ff0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E5"/>
    <w:rsid w:val="002A6DA4"/>
    <w:rsid w:val="003A78E6"/>
    <w:rsid w:val="003F54B2"/>
    <w:rsid w:val="00476F9E"/>
    <w:rsid w:val="004B2E04"/>
    <w:rsid w:val="004D1271"/>
    <w:rsid w:val="00643119"/>
    <w:rsid w:val="0065793C"/>
    <w:rsid w:val="006C0EE5"/>
    <w:rsid w:val="00831575"/>
    <w:rsid w:val="008B0B99"/>
    <w:rsid w:val="00967D38"/>
    <w:rsid w:val="009A0FD2"/>
    <w:rsid w:val="00B71FAB"/>
    <w:rsid w:val="00C057B1"/>
    <w:rsid w:val="00C07074"/>
    <w:rsid w:val="00C112D7"/>
    <w:rsid w:val="00C55860"/>
    <w:rsid w:val="00F225DF"/>
    <w:rsid w:val="00FD2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FE3CF"/>
  <w15:chartTrackingRefBased/>
  <w15:docId w15:val="{C29E5D96-B9F9-46C1-8973-2203767E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8E6"/>
    <w:pPr>
      <w:spacing w:after="0" w:line="240" w:lineRule="auto"/>
    </w:pPr>
    <w:rPr>
      <w:rFonts w:ascii="Times New Roman" w:eastAsia="Times New Roman" w:hAnsi="Times New Roman" w:cs="Times New Roman"/>
      <w:kern w:val="0"/>
      <w:lang w:val="en-AU"/>
      <w14:ligatures w14:val="none"/>
    </w:rPr>
  </w:style>
  <w:style w:type="paragraph" w:styleId="Heading1">
    <w:name w:val="heading 1"/>
    <w:basedOn w:val="Normal"/>
    <w:next w:val="Normal"/>
    <w:link w:val="Heading1Char"/>
    <w:uiPriority w:val="9"/>
    <w:qFormat/>
    <w:rsid w:val="006C0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E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EE5"/>
    <w:rPr>
      <w:rFonts w:eastAsiaTheme="majorEastAsia" w:cstheme="majorBidi"/>
      <w:color w:val="272727" w:themeColor="text1" w:themeTint="D8"/>
    </w:rPr>
  </w:style>
  <w:style w:type="paragraph" w:styleId="Title">
    <w:name w:val="Title"/>
    <w:basedOn w:val="Normal"/>
    <w:next w:val="Normal"/>
    <w:link w:val="TitleChar"/>
    <w:uiPriority w:val="10"/>
    <w:qFormat/>
    <w:rsid w:val="006C0E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EE5"/>
    <w:pPr>
      <w:spacing w:before="160"/>
      <w:jc w:val="center"/>
    </w:pPr>
    <w:rPr>
      <w:i/>
      <w:iCs/>
      <w:color w:val="404040" w:themeColor="text1" w:themeTint="BF"/>
    </w:rPr>
  </w:style>
  <w:style w:type="character" w:customStyle="1" w:styleId="QuoteChar">
    <w:name w:val="Quote Char"/>
    <w:basedOn w:val="DefaultParagraphFont"/>
    <w:link w:val="Quote"/>
    <w:uiPriority w:val="29"/>
    <w:rsid w:val="006C0EE5"/>
    <w:rPr>
      <w:i/>
      <w:iCs/>
      <w:color w:val="404040" w:themeColor="text1" w:themeTint="BF"/>
    </w:rPr>
  </w:style>
  <w:style w:type="paragraph" w:styleId="ListParagraph">
    <w:name w:val="List Paragraph"/>
    <w:basedOn w:val="Normal"/>
    <w:uiPriority w:val="34"/>
    <w:qFormat/>
    <w:rsid w:val="006C0EE5"/>
    <w:pPr>
      <w:ind w:left="720"/>
      <w:contextualSpacing/>
    </w:pPr>
  </w:style>
  <w:style w:type="character" w:styleId="IntenseEmphasis">
    <w:name w:val="Intense Emphasis"/>
    <w:basedOn w:val="DefaultParagraphFont"/>
    <w:uiPriority w:val="21"/>
    <w:qFormat/>
    <w:rsid w:val="006C0EE5"/>
    <w:rPr>
      <w:i/>
      <w:iCs/>
      <w:color w:val="0F4761" w:themeColor="accent1" w:themeShade="BF"/>
    </w:rPr>
  </w:style>
  <w:style w:type="paragraph" w:styleId="IntenseQuote">
    <w:name w:val="Intense Quote"/>
    <w:basedOn w:val="Normal"/>
    <w:next w:val="Normal"/>
    <w:link w:val="IntenseQuoteChar"/>
    <w:uiPriority w:val="30"/>
    <w:qFormat/>
    <w:rsid w:val="006C0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EE5"/>
    <w:rPr>
      <w:i/>
      <w:iCs/>
      <w:color w:val="0F4761" w:themeColor="accent1" w:themeShade="BF"/>
    </w:rPr>
  </w:style>
  <w:style w:type="character" w:styleId="IntenseReference">
    <w:name w:val="Intense Reference"/>
    <w:basedOn w:val="DefaultParagraphFont"/>
    <w:uiPriority w:val="32"/>
    <w:qFormat/>
    <w:rsid w:val="006C0EE5"/>
    <w:rPr>
      <w:b/>
      <w:bCs/>
      <w:smallCaps/>
      <w:color w:val="0F4761" w:themeColor="accent1" w:themeShade="BF"/>
      <w:spacing w:val="5"/>
    </w:rPr>
  </w:style>
  <w:style w:type="paragraph" w:styleId="Header">
    <w:name w:val="header"/>
    <w:basedOn w:val="Normal"/>
    <w:link w:val="HeaderChar"/>
    <w:uiPriority w:val="99"/>
    <w:rsid w:val="003A78E6"/>
    <w:pPr>
      <w:tabs>
        <w:tab w:val="center" w:pos="4320"/>
        <w:tab w:val="right" w:pos="8640"/>
      </w:tabs>
    </w:pPr>
  </w:style>
  <w:style w:type="character" w:customStyle="1" w:styleId="HeaderChar">
    <w:name w:val="Header Char"/>
    <w:basedOn w:val="DefaultParagraphFont"/>
    <w:link w:val="Header"/>
    <w:uiPriority w:val="99"/>
    <w:rsid w:val="003A78E6"/>
    <w:rPr>
      <w:rFonts w:ascii="Times New Roman" w:eastAsia="Times New Roman" w:hAnsi="Times New Roman" w:cs="Times New Roman"/>
      <w:kern w:val="0"/>
      <w:lang w:val="en-AU"/>
      <w14:ligatures w14:val="none"/>
    </w:rPr>
  </w:style>
  <w:style w:type="paragraph" w:styleId="Footer">
    <w:name w:val="footer"/>
    <w:basedOn w:val="Normal"/>
    <w:link w:val="FooterChar"/>
    <w:uiPriority w:val="99"/>
    <w:unhideWhenUsed/>
    <w:rsid w:val="003A78E6"/>
    <w:pPr>
      <w:tabs>
        <w:tab w:val="center" w:pos="4680"/>
        <w:tab w:val="right" w:pos="9360"/>
      </w:tabs>
    </w:pPr>
  </w:style>
  <w:style w:type="character" w:customStyle="1" w:styleId="FooterChar">
    <w:name w:val="Footer Char"/>
    <w:basedOn w:val="DefaultParagraphFont"/>
    <w:link w:val="Footer"/>
    <w:uiPriority w:val="99"/>
    <w:rsid w:val="003A78E6"/>
    <w:rPr>
      <w:rFonts w:ascii="Times New Roman" w:eastAsia="Times New Roman" w:hAnsi="Times New Roman" w:cs="Times New Roman"/>
      <w:kern w:val="0"/>
      <w:lang w:val="en-AU"/>
      <w14:ligatures w14:val="none"/>
    </w:rPr>
  </w:style>
  <w:style w:type="table" w:styleId="TableGrid">
    <w:name w:val="Table Grid"/>
    <w:basedOn w:val="TableNormal"/>
    <w:uiPriority w:val="59"/>
    <w:rsid w:val="003A78E6"/>
    <w:pPr>
      <w:spacing w:after="0" w:line="240" w:lineRule="auto"/>
    </w:pPr>
    <w:rPr>
      <w:rFonts w:eastAsia="SimSun"/>
      <w:kern w:val="0"/>
      <w:sz w:val="22"/>
      <w:szCs w:val="22"/>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A78E6"/>
    <w:rPr>
      <w:sz w:val="20"/>
      <w:szCs w:val="20"/>
    </w:rPr>
  </w:style>
  <w:style w:type="character" w:customStyle="1" w:styleId="FootnoteTextChar">
    <w:name w:val="Footnote Text Char"/>
    <w:basedOn w:val="DefaultParagraphFont"/>
    <w:link w:val="FootnoteText"/>
    <w:uiPriority w:val="99"/>
    <w:semiHidden/>
    <w:rsid w:val="003A78E6"/>
    <w:rPr>
      <w:rFonts w:ascii="Times New Roman" w:eastAsia="Times New Roman" w:hAnsi="Times New Roman" w:cs="Times New Roman"/>
      <w:kern w:val="0"/>
      <w:sz w:val="20"/>
      <w:szCs w:val="20"/>
      <w:lang w:val="en-AU"/>
      <w14:ligatures w14:val="none"/>
    </w:rPr>
  </w:style>
  <w:style w:type="character" w:styleId="FootnoteReference">
    <w:name w:val="footnote reference"/>
    <w:basedOn w:val="DefaultParagraphFont"/>
    <w:uiPriority w:val="99"/>
    <w:semiHidden/>
    <w:unhideWhenUsed/>
    <w:rsid w:val="003A78E6"/>
    <w:rPr>
      <w:vertAlign w:val="superscript"/>
    </w:rPr>
  </w:style>
  <w:style w:type="character" w:styleId="Strong">
    <w:name w:val="Strong"/>
    <w:basedOn w:val="DefaultParagraphFont"/>
    <w:uiPriority w:val="22"/>
    <w:qFormat/>
    <w:rsid w:val="003A78E6"/>
    <w:rPr>
      <w:b/>
      <w:bCs/>
    </w:rPr>
  </w:style>
  <w:style w:type="character" w:styleId="CommentReference">
    <w:name w:val="annotation reference"/>
    <w:basedOn w:val="DefaultParagraphFont"/>
    <w:uiPriority w:val="99"/>
    <w:semiHidden/>
    <w:unhideWhenUsed/>
    <w:rsid w:val="00643119"/>
    <w:rPr>
      <w:sz w:val="16"/>
      <w:szCs w:val="16"/>
    </w:rPr>
  </w:style>
  <w:style w:type="paragraph" w:styleId="CommentText">
    <w:name w:val="annotation text"/>
    <w:basedOn w:val="Normal"/>
    <w:link w:val="CommentTextChar"/>
    <w:uiPriority w:val="99"/>
    <w:unhideWhenUsed/>
    <w:rsid w:val="00643119"/>
    <w:rPr>
      <w:sz w:val="20"/>
      <w:szCs w:val="20"/>
    </w:rPr>
  </w:style>
  <w:style w:type="character" w:customStyle="1" w:styleId="CommentTextChar">
    <w:name w:val="Comment Text Char"/>
    <w:basedOn w:val="DefaultParagraphFont"/>
    <w:link w:val="CommentText"/>
    <w:uiPriority w:val="99"/>
    <w:rsid w:val="00643119"/>
    <w:rPr>
      <w:rFonts w:ascii="Times New Roman" w:eastAsia="Times New Roman" w:hAnsi="Times New Roman" w:cs="Times New Roman"/>
      <w:kern w:val="0"/>
      <w:sz w:val="20"/>
      <w:szCs w:val="20"/>
      <w:lang w:val="en-AU"/>
      <w14:ligatures w14:val="none"/>
    </w:rPr>
  </w:style>
  <w:style w:type="paragraph" w:styleId="CommentSubject">
    <w:name w:val="annotation subject"/>
    <w:basedOn w:val="CommentText"/>
    <w:next w:val="CommentText"/>
    <w:link w:val="CommentSubjectChar"/>
    <w:uiPriority w:val="99"/>
    <w:semiHidden/>
    <w:unhideWhenUsed/>
    <w:rsid w:val="00643119"/>
    <w:rPr>
      <w:b/>
      <w:bCs/>
    </w:rPr>
  </w:style>
  <w:style w:type="character" w:customStyle="1" w:styleId="CommentSubjectChar">
    <w:name w:val="Comment Subject Char"/>
    <w:basedOn w:val="CommentTextChar"/>
    <w:link w:val="CommentSubject"/>
    <w:uiPriority w:val="99"/>
    <w:semiHidden/>
    <w:rsid w:val="00643119"/>
    <w:rPr>
      <w:rFonts w:ascii="Times New Roman" w:eastAsia="Times New Roman" w:hAnsi="Times New Roman" w:cs="Times New Roman"/>
      <w:b/>
      <w:bCs/>
      <w:kern w:val="0"/>
      <w:sz w:val="20"/>
      <w:szCs w:val="2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394d1f17ab50b167fd1c9bdf83a70e96">
  <xsd:schema xmlns:xsd="http://www.w3.org/2001/XMLSchema" xmlns:xs="http://www.w3.org/2001/XMLSchema" xmlns:p="http://schemas.microsoft.com/office/2006/metadata/properties" xmlns:ns2="1f68a0f6-12ba-43bc-af29-28e621509147" targetNamespace="http://schemas.microsoft.com/office/2006/metadata/properties" ma:root="true" ma:fieldsID="e30850b013ddcf4a47f8c418a9d2d3ec"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ED7DCB-D535-42A8-ACA3-8CC18D204D15}">
  <ds:schemaRefs>
    <ds:schemaRef ds:uri="http://schemas.openxmlformats.org/officeDocument/2006/bibliography"/>
  </ds:schemaRefs>
</ds:datastoreItem>
</file>

<file path=customXml/itemProps2.xml><?xml version="1.0" encoding="utf-8"?>
<ds:datastoreItem xmlns:ds="http://schemas.openxmlformats.org/officeDocument/2006/customXml" ds:itemID="{B0C2DEE6-6979-48E5-9142-F427D6E4CEBC}">
  <ds:schemaRefs>
    <ds:schemaRef ds:uri="http://schemas.microsoft.com/sharepoint/v3/contenttype/forms"/>
  </ds:schemaRefs>
</ds:datastoreItem>
</file>

<file path=customXml/itemProps3.xml><?xml version="1.0" encoding="utf-8"?>
<ds:datastoreItem xmlns:ds="http://schemas.openxmlformats.org/officeDocument/2006/customXml" ds:itemID="{217DD4F0-BF6B-4056-89C8-3588E60BD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68a0f6-12ba-43bc-af29-28e6215091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430201-D4BF-47F4-9B6D-7D4899A3F42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10</Pages>
  <Words>2829</Words>
  <Characters>16128</Characters>
  <Application>Microsoft Office Word</Application>
  <DocSecurity>0</DocSecurity>
  <Lines>134</Lines>
  <Paragraphs>37</Paragraphs>
  <ScaleCrop>false</ScaleCrop>
  <Company>EY</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Ramaraja Kandula</dc:creator>
  <cp:keywords/>
  <dc:description/>
  <cp:lastModifiedBy>Himanshu Khoji</cp:lastModifiedBy>
  <cp:revision>9</cp:revision>
  <dcterms:created xsi:type="dcterms:W3CDTF">2025-06-18T16:53:00Z</dcterms:created>
  <dcterms:modified xsi:type="dcterms:W3CDTF">2025-12-01T11:44:00Z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