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2AE40" w14:textId="5DAC7862" w:rsidR="00D72561" w:rsidRPr="00D72561" w:rsidRDefault="00D72561" w:rsidP="00D72561"/>
    <w:p w14:paraId="7833B28D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IFRS 9 Financial Instruments – U.S.–Specific Accounting Policy</w:t>
      </w:r>
    </w:p>
    <w:p w14:paraId="7255BB3D" w14:textId="77777777" w:rsidR="00D72561" w:rsidRPr="00D72561" w:rsidRDefault="00D72561" w:rsidP="00D72561">
      <w:r w:rsidRPr="00D72561">
        <w:rPr>
          <w:b/>
          <w:bCs/>
        </w:rPr>
        <w:t>Effective Date:</w:t>
      </w:r>
      <w:r w:rsidRPr="00D72561">
        <w:br/>
      </w:r>
      <w:r w:rsidRPr="00D72561">
        <w:rPr>
          <w:b/>
          <w:bCs/>
        </w:rPr>
        <w:t>Prepared By:</w:t>
      </w:r>
      <w:r w:rsidRPr="00D72561">
        <w:br/>
      </w:r>
      <w:r w:rsidRPr="00D72561">
        <w:rPr>
          <w:b/>
          <w:bCs/>
        </w:rPr>
        <w:t>Approved By:</w:t>
      </w:r>
      <w:r w:rsidRPr="00D72561">
        <w:br/>
      </w:r>
      <w:r w:rsidRPr="00D72561">
        <w:rPr>
          <w:b/>
          <w:bCs/>
        </w:rPr>
        <w:t>Applies To:</w:t>
      </w:r>
      <w:r w:rsidRPr="00D72561">
        <w:t xml:space="preserve"> All U.S. legal entities and business units preparing financial information under </w:t>
      </w:r>
      <w:r w:rsidRPr="00D72561">
        <w:rPr>
          <w:b/>
          <w:bCs/>
        </w:rPr>
        <w:t>IFRS</w:t>
      </w:r>
      <w:r w:rsidRPr="00D72561">
        <w:t>.</w:t>
      </w:r>
    </w:p>
    <w:p w14:paraId="5DFD0247" w14:textId="77777777" w:rsidR="00D72561" w:rsidRPr="00D72561" w:rsidRDefault="00D72561" w:rsidP="00D72561">
      <w:r w:rsidRPr="00D72561">
        <w:pict w14:anchorId="3B5D9756">
          <v:rect id="_x0000_i1116" style="width:0;height:1.5pt" o:hralign="center" o:hrstd="t" o:hr="t" fillcolor="#a0a0a0" stroked="f"/>
        </w:pict>
      </w:r>
    </w:p>
    <w:p w14:paraId="4E4D4605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1. Purpose</w:t>
      </w:r>
    </w:p>
    <w:p w14:paraId="0583FAB2" w14:textId="77777777" w:rsidR="00D72561" w:rsidRPr="00D72561" w:rsidRDefault="00D72561" w:rsidP="00D72561">
      <w:r w:rsidRPr="00D72561">
        <w:t xml:space="preserve">This policy establishes consistent rules for recognition, classification, measurement, impairment, derecognition, and hedge accounting of financial instruments under </w:t>
      </w:r>
      <w:r w:rsidRPr="00D72561">
        <w:rPr>
          <w:b/>
          <w:bCs/>
        </w:rPr>
        <w:t>IFRS 9</w:t>
      </w:r>
      <w:r w:rsidRPr="00D72561">
        <w:t>.</w:t>
      </w:r>
    </w:p>
    <w:p w14:paraId="33354014" w14:textId="77777777" w:rsidR="00D72561" w:rsidRPr="00D72561" w:rsidRDefault="00D72561" w:rsidP="00D72561">
      <w:r w:rsidRPr="00D72561">
        <w:t>It incorporates considerations unique to U.S. practices, financial markets, regulatory and legal environments (e.g., SEC reporting, U.S. banking regulations, U.S. legal enforceability for derecognition, and U.S. credit markets).</w:t>
      </w:r>
    </w:p>
    <w:p w14:paraId="1CE808B3" w14:textId="77777777" w:rsidR="00D72561" w:rsidRPr="00D72561" w:rsidRDefault="00D72561" w:rsidP="00D72561">
      <w:r w:rsidRPr="00D72561">
        <w:pict w14:anchorId="10838AAC">
          <v:rect id="_x0000_i1117" style="width:0;height:1.5pt" o:hralign="center" o:hrstd="t" o:hr="t" fillcolor="#a0a0a0" stroked="f"/>
        </w:pict>
      </w:r>
    </w:p>
    <w:p w14:paraId="0CA26ECE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2. Scope</w:t>
      </w:r>
    </w:p>
    <w:p w14:paraId="4E819C04" w14:textId="77777777" w:rsidR="00D72561" w:rsidRPr="00D72561" w:rsidRDefault="00D72561" w:rsidP="00D72561">
      <w:r w:rsidRPr="00D72561">
        <w:t>Applies to all financial instruments held by U.S. operations, including:</w:t>
      </w:r>
    </w:p>
    <w:p w14:paraId="5D4B34B8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Trade receivables</w:t>
      </w:r>
    </w:p>
    <w:p w14:paraId="29326CEF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Intercompany loans</w:t>
      </w:r>
    </w:p>
    <w:p w14:paraId="0E89CA7E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Bank loans and external borrowings</w:t>
      </w:r>
    </w:p>
    <w:p w14:paraId="572A0A0E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Cash, deposits, and money market instruments</w:t>
      </w:r>
    </w:p>
    <w:p w14:paraId="02D0A377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Equity investments</w:t>
      </w:r>
    </w:p>
    <w:p w14:paraId="191BC0AF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Derivatives (interest rate swaps, FX forwards, options, commodity contracts)</w:t>
      </w:r>
    </w:p>
    <w:p w14:paraId="58BBB2BF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Note receivables, bonds, and debt securities</w:t>
      </w:r>
    </w:p>
    <w:p w14:paraId="33C52A92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Vendor financing arrangements</w:t>
      </w:r>
    </w:p>
    <w:p w14:paraId="2DFEED12" w14:textId="77777777" w:rsidR="00D72561" w:rsidRPr="00D72561" w:rsidRDefault="00D72561" w:rsidP="00D72561">
      <w:pPr>
        <w:numPr>
          <w:ilvl w:val="0"/>
          <w:numId w:val="1"/>
        </w:numPr>
      </w:pPr>
      <w:r w:rsidRPr="00D72561">
        <w:t>Lease receivables (IFRS 16)</w:t>
      </w:r>
    </w:p>
    <w:p w14:paraId="27D990B3" w14:textId="77777777" w:rsidR="00D72561" w:rsidRPr="00D72561" w:rsidRDefault="00D72561" w:rsidP="00D72561">
      <w:r w:rsidRPr="00D72561">
        <w:rPr>
          <w:b/>
          <w:bCs/>
        </w:rPr>
        <w:t>Exclusions:</w:t>
      </w:r>
    </w:p>
    <w:p w14:paraId="6090EF9A" w14:textId="77777777" w:rsidR="00D72561" w:rsidRPr="00D72561" w:rsidRDefault="00D72561" w:rsidP="00D72561">
      <w:pPr>
        <w:numPr>
          <w:ilvl w:val="0"/>
          <w:numId w:val="2"/>
        </w:numPr>
      </w:pPr>
      <w:r w:rsidRPr="00D72561">
        <w:t>Employee benefit obligations (IAS 19)</w:t>
      </w:r>
    </w:p>
    <w:p w14:paraId="3344D936" w14:textId="77777777" w:rsidR="00D72561" w:rsidRPr="00D72561" w:rsidRDefault="00D72561" w:rsidP="00D72561">
      <w:pPr>
        <w:numPr>
          <w:ilvl w:val="0"/>
          <w:numId w:val="2"/>
        </w:numPr>
      </w:pPr>
      <w:r w:rsidRPr="00D72561">
        <w:t>Equity-based compensation instruments (IFRS 2)</w:t>
      </w:r>
    </w:p>
    <w:p w14:paraId="734DC687" w14:textId="77777777" w:rsidR="00D72561" w:rsidRPr="00D72561" w:rsidRDefault="00D72561" w:rsidP="00D72561">
      <w:pPr>
        <w:numPr>
          <w:ilvl w:val="0"/>
          <w:numId w:val="2"/>
        </w:numPr>
      </w:pPr>
      <w:r w:rsidRPr="00D72561">
        <w:lastRenderedPageBreak/>
        <w:t>Insurance contracts (IFRS 17)</w:t>
      </w:r>
    </w:p>
    <w:p w14:paraId="09C6280D" w14:textId="77777777" w:rsidR="00D72561" w:rsidRPr="00D72561" w:rsidRDefault="00D72561" w:rsidP="00D72561">
      <w:r w:rsidRPr="00D72561">
        <w:pict w14:anchorId="216BA674">
          <v:rect id="_x0000_i1118" style="width:0;height:1.5pt" o:hralign="center" o:hrstd="t" o:hr="t" fillcolor="#a0a0a0" stroked="f"/>
        </w:pict>
      </w:r>
    </w:p>
    <w:p w14:paraId="11FB29B5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3. Definitions (IFRS 9-Aligned)</w:t>
      </w:r>
    </w:p>
    <w:p w14:paraId="6B7BB3F5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Financial Asset Categories</w:t>
      </w:r>
    </w:p>
    <w:p w14:paraId="03B3A87B" w14:textId="77777777" w:rsidR="00D72561" w:rsidRPr="00D72561" w:rsidRDefault="00D72561" w:rsidP="00D72561">
      <w:pPr>
        <w:numPr>
          <w:ilvl w:val="0"/>
          <w:numId w:val="3"/>
        </w:numPr>
      </w:pPr>
      <w:r w:rsidRPr="00D72561">
        <w:rPr>
          <w:b/>
          <w:bCs/>
        </w:rPr>
        <w:t>Amortized Cost (AC)</w:t>
      </w:r>
      <w:r w:rsidRPr="00D72561">
        <w:t xml:space="preserve"> – business model hold-to-collect, SPPI* test passed</w:t>
      </w:r>
    </w:p>
    <w:p w14:paraId="1E532E82" w14:textId="77777777" w:rsidR="00D72561" w:rsidRPr="00D72561" w:rsidRDefault="00D72561" w:rsidP="00D72561">
      <w:pPr>
        <w:numPr>
          <w:ilvl w:val="0"/>
          <w:numId w:val="3"/>
        </w:numPr>
      </w:pPr>
      <w:r w:rsidRPr="00D72561">
        <w:rPr>
          <w:b/>
          <w:bCs/>
        </w:rPr>
        <w:t>Fair Value Through OCI (FVOCI)</w:t>
      </w:r>
      <w:r w:rsidRPr="00D72561">
        <w:t xml:space="preserve"> –</w:t>
      </w:r>
    </w:p>
    <w:p w14:paraId="782BF110" w14:textId="77777777" w:rsidR="00D72561" w:rsidRPr="00D72561" w:rsidRDefault="00D72561" w:rsidP="00D72561">
      <w:pPr>
        <w:numPr>
          <w:ilvl w:val="1"/>
          <w:numId w:val="3"/>
        </w:numPr>
      </w:pPr>
      <w:r w:rsidRPr="00D72561">
        <w:t>Debt instruments: hold-to-collect-and-sell, SPPI passed</w:t>
      </w:r>
    </w:p>
    <w:p w14:paraId="48CBE9B9" w14:textId="77777777" w:rsidR="00D72561" w:rsidRPr="00D72561" w:rsidRDefault="00D72561" w:rsidP="00D72561">
      <w:pPr>
        <w:numPr>
          <w:ilvl w:val="1"/>
          <w:numId w:val="3"/>
        </w:numPr>
      </w:pPr>
      <w:r w:rsidRPr="00D72561">
        <w:t>Equity: irrevocable election on initial recognition</w:t>
      </w:r>
    </w:p>
    <w:p w14:paraId="51D2423C" w14:textId="77777777" w:rsidR="00D72561" w:rsidRPr="00D72561" w:rsidRDefault="00D72561" w:rsidP="00D72561">
      <w:pPr>
        <w:numPr>
          <w:ilvl w:val="0"/>
          <w:numId w:val="3"/>
        </w:numPr>
      </w:pPr>
      <w:r w:rsidRPr="00D72561">
        <w:rPr>
          <w:b/>
          <w:bCs/>
        </w:rPr>
        <w:t>Fair Value Through Profit or Loss (FVTPL)</w:t>
      </w:r>
      <w:r w:rsidRPr="00D72561">
        <w:t xml:space="preserve"> – default category; instruments failing SPPI or held for trading</w:t>
      </w:r>
    </w:p>
    <w:p w14:paraId="0A43E472" w14:textId="77777777" w:rsidR="00D72561" w:rsidRPr="00D72561" w:rsidRDefault="00D72561" w:rsidP="00D72561">
      <w:r w:rsidRPr="00D72561">
        <w:t>*SPPI = “Solely Payments of Principal and Interest.”</w:t>
      </w:r>
    </w:p>
    <w:p w14:paraId="699FAB6C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Financial Liability Categories</w:t>
      </w:r>
    </w:p>
    <w:p w14:paraId="2D804F6A" w14:textId="77777777" w:rsidR="00D72561" w:rsidRPr="00D72561" w:rsidRDefault="00D72561" w:rsidP="00D72561">
      <w:pPr>
        <w:numPr>
          <w:ilvl w:val="0"/>
          <w:numId w:val="4"/>
        </w:numPr>
      </w:pPr>
      <w:r w:rsidRPr="00D72561">
        <w:t>Amortized Cost</w:t>
      </w:r>
    </w:p>
    <w:p w14:paraId="2E734EAE" w14:textId="77777777" w:rsidR="00D72561" w:rsidRPr="00D72561" w:rsidRDefault="00D72561" w:rsidP="00D72561">
      <w:pPr>
        <w:numPr>
          <w:ilvl w:val="0"/>
          <w:numId w:val="4"/>
        </w:numPr>
      </w:pPr>
      <w:r w:rsidRPr="00D72561">
        <w:t>FVTPL (for liabilities held for trading or FV option)</w:t>
      </w:r>
    </w:p>
    <w:p w14:paraId="189E3365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Derivatives</w:t>
      </w:r>
    </w:p>
    <w:p w14:paraId="0826566D" w14:textId="77777777" w:rsidR="00D72561" w:rsidRPr="00D72561" w:rsidRDefault="00D72561" w:rsidP="00D72561">
      <w:r w:rsidRPr="00D72561">
        <w:t>Contracts whose value changes with underlying market variables such as U.S. interest rates (SOFR), commodity prices, or FX rates.</w:t>
      </w:r>
    </w:p>
    <w:p w14:paraId="41CE57EF" w14:textId="77777777" w:rsidR="00D72561" w:rsidRPr="00D72561" w:rsidRDefault="00D72561" w:rsidP="00D72561">
      <w:r w:rsidRPr="00D72561">
        <w:pict w14:anchorId="39DD6BEF">
          <v:rect id="_x0000_i1119" style="width:0;height:1.5pt" o:hralign="center" o:hrstd="t" o:hr="t" fillcolor="#a0a0a0" stroked="f"/>
        </w:pict>
      </w:r>
    </w:p>
    <w:p w14:paraId="2410387A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4. Recognition &amp; Initial Measurement</w:t>
      </w:r>
    </w:p>
    <w:p w14:paraId="1D537332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4.1 Trade Date Accounting</w:t>
      </w:r>
    </w:p>
    <w:p w14:paraId="2576F498" w14:textId="77777777" w:rsidR="00D72561" w:rsidRPr="00D72561" w:rsidRDefault="00D72561" w:rsidP="00D72561">
      <w:r w:rsidRPr="00D72561">
        <w:t xml:space="preserve">All regular-way purchases/sales of financial assets must be recognized on the </w:t>
      </w:r>
      <w:r w:rsidRPr="00D72561">
        <w:rPr>
          <w:b/>
          <w:bCs/>
        </w:rPr>
        <w:t>trade date</w:t>
      </w:r>
      <w:r w:rsidRPr="00D72561">
        <w:t>, following standard U.S. market conventions.</w:t>
      </w:r>
    </w:p>
    <w:p w14:paraId="5F92443B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4.2 Initial Measurement</w:t>
      </w:r>
    </w:p>
    <w:p w14:paraId="0950838C" w14:textId="77777777" w:rsidR="00D72561" w:rsidRPr="00D72561" w:rsidRDefault="00D72561" w:rsidP="00D72561">
      <w:r w:rsidRPr="00D72561">
        <w:t xml:space="preserve">Financial instruments are initially measured at </w:t>
      </w:r>
      <w:r w:rsidRPr="00D72561">
        <w:rPr>
          <w:b/>
          <w:bCs/>
        </w:rPr>
        <w:t>fair value</w:t>
      </w:r>
      <w:r w:rsidRPr="00D72561">
        <w:t>, plus or minus:</w:t>
      </w:r>
    </w:p>
    <w:p w14:paraId="70D34BDA" w14:textId="77777777" w:rsidR="00D72561" w:rsidRPr="00D72561" w:rsidRDefault="00D72561" w:rsidP="00D72561">
      <w:pPr>
        <w:numPr>
          <w:ilvl w:val="0"/>
          <w:numId w:val="5"/>
        </w:numPr>
      </w:pPr>
      <w:r w:rsidRPr="00D72561">
        <w:rPr>
          <w:b/>
          <w:bCs/>
        </w:rPr>
        <w:t>Transaction costs</w:t>
      </w:r>
      <w:r w:rsidRPr="00D72561">
        <w:t xml:space="preserve"> for AC or FVOCI</w:t>
      </w:r>
    </w:p>
    <w:p w14:paraId="7511DAA9" w14:textId="77777777" w:rsidR="00D72561" w:rsidRPr="00D72561" w:rsidRDefault="00D72561" w:rsidP="00D72561">
      <w:pPr>
        <w:numPr>
          <w:ilvl w:val="0"/>
          <w:numId w:val="5"/>
        </w:numPr>
      </w:pPr>
      <w:r w:rsidRPr="00D72561">
        <w:rPr>
          <w:b/>
          <w:bCs/>
        </w:rPr>
        <w:t>Expensed immediately</w:t>
      </w:r>
      <w:r w:rsidRPr="00D72561">
        <w:t xml:space="preserve"> for FVTPL instruments</w:t>
      </w:r>
    </w:p>
    <w:p w14:paraId="48FE77F6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U.S.-Specific Guidance</w:t>
      </w:r>
    </w:p>
    <w:p w14:paraId="654CE7DD" w14:textId="77777777" w:rsidR="00D72561" w:rsidRPr="00D72561" w:rsidRDefault="00D72561" w:rsidP="00D72561">
      <w:pPr>
        <w:numPr>
          <w:ilvl w:val="0"/>
          <w:numId w:val="6"/>
        </w:numPr>
      </w:pPr>
      <w:r w:rsidRPr="00D72561">
        <w:t>Use U.S. observable market inputs where available (e.g., U.S. Treasury curve, SOFR swap curves).</w:t>
      </w:r>
    </w:p>
    <w:p w14:paraId="5267FEC6" w14:textId="77777777" w:rsidR="00D72561" w:rsidRPr="00D72561" w:rsidRDefault="00D72561" w:rsidP="00D72561">
      <w:pPr>
        <w:numPr>
          <w:ilvl w:val="0"/>
          <w:numId w:val="6"/>
        </w:numPr>
      </w:pPr>
      <w:r w:rsidRPr="00D72561">
        <w:lastRenderedPageBreak/>
        <w:t>When fair value is derived from U.S. dealer quotes or broker screens, retain documentation showing independence and pricing hierarchy.</w:t>
      </w:r>
    </w:p>
    <w:p w14:paraId="7AA5C493" w14:textId="77777777" w:rsidR="00D72561" w:rsidRPr="00D72561" w:rsidRDefault="00D72561" w:rsidP="00D72561">
      <w:r w:rsidRPr="00D72561">
        <w:pict w14:anchorId="7E8287B6">
          <v:rect id="_x0000_i1120" style="width:0;height:1.5pt" o:hralign="center" o:hrstd="t" o:hr="t" fillcolor="#a0a0a0" stroked="f"/>
        </w:pict>
      </w:r>
    </w:p>
    <w:p w14:paraId="447322A7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5. Classification of Financial Assets</w:t>
      </w:r>
    </w:p>
    <w:p w14:paraId="10054633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5.1 Business Model Assessment</w:t>
      </w:r>
    </w:p>
    <w:p w14:paraId="3562CAB9" w14:textId="77777777" w:rsidR="00D72561" w:rsidRPr="00D72561" w:rsidRDefault="00D72561" w:rsidP="00D72561">
      <w:r w:rsidRPr="00D72561">
        <w:t>U.S. entities must document management’s business model based on:</w:t>
      </w:r>
    </w:p>
    <w:p w14:paraId="2A07FDE4" w14:textId="77777777" w:rsidR="00D72561" w:rsidRPr="00D72561" w:rsidRDefault="00D72561" w:rsidP="00D72561">
      <w:pPr>
        <w:numPr>
          <w:ilvl w:val="0"/>
          <w:numId w:val="7"/>
        </w:numPr>
      </w:pPr>
      <w:r w:rsidRPr="00D72561">
        <w:t>Regulatory considerations (e.g., SEC filing practices)</w:t>
      </w:r>
    </w:p>
    <w:p w14:paraId="0FA3CFC6" w14:textId="77777777" w:rsidR="00D72561" w:rsidRPr="00D72561" w:rsidRDefault="00D72561" w:rsidP="00D72561">
      <w:pPr>
        <w:numPr>
          <w:ilvl w:val="0"/>
          <w:numId w:val="7"/>
        </w:numPr>
      </w:pPr>
      <w:r w:rsidRPr="00D72561">
        <w:t xml:space="preserve">Liquidity and cash-pooling </w:t>
      </w:r>
      <w:proofErr w:type="spellStart"/>
      <w:r w:rsidRPr="00D72561">
        <w:t>behavior</w:t>
      </w:r>
      <w:proofErr w:type="spellEnd"/>
      <w:r w:rsidRPr="00D72561">
        <w:t xml:space="preserve"> common in U.S. corporations</w:t>
      </w:r>
    </w:p>
    <w:p w14:paraId="1A669E66" w14:textId="77777777" w:rsidR="00D72561" w:rsidRPr="00D72561" w:rsidRDefault="00D72561" w:rsidP="00D72561">
      <w:pPr>
        <w:numPr>
          <w:ilvl w:val="0"/>
          <w:numId w:val="7"/>
        </w:numPr>
      </w:pPr>
      <w:r w:rsidRPr="00D72561">
        <w:t>Ability and intention to sell financial instruments</w:t>
      </w:r>
    </w:p>
    <w:p w14:paraId="6DD75CC2" w14:textId="77777777" w:rsidR="00D72561" w:rsidRPr="00D72561" w:rsidRDefault="00D72561" w:rsidP="00D72561">
      <w:pPr>
        <w:numPr>
          <w:ilvl w:val="0"/>
          <w:numId w:val="7"/>
        </w:numPr>
      </w:pPr>
      <w:r w:rsidRPr="00D72561">
        <w:t>Centralized U.S. treasury operations</w:t>
      </w:r>
    </w:p>
    <w:p w14:paraId="7A0E7708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5.2 SPPI Test</w:t>
      </w:r>
    </w:p>
    <w:p w14:paraId="17F97827" w14:textId="77777777" w:rsidR="00D72561" w:rsidRPr="00D72561" w:rsidRDefault="00D72561" w:rsidP="00D72561">
      <w:r w:rsidRPr="00D72561">
        <w:t>Assess whether contractual terms reflect only principal and interest.</w:t>
      </w:r>
    </w:p>
    <w:p w14:paraId="58832896" w14:textId="77777777" w:rsidR="00D72561" w:rsidRPr="00D72561" w:rsidRDefault="00D72561" w:rsidP="00D72561">
      <w:r w:rsidRPr="00D72561">
        <w:t>Special attention for U.S.-specific structures:</w:t>
      </w:r>
    </w:p>
    <w:p w14:paraId="3AB8FA14" w14:textId="77777777" w:rsidR="00D72561" w:rsidRPr="00D72561" w:rsidRDefault="00D72561" w:rsidP="00D72561">
      <w:pPr>
        <w:numPr>
          <w:ilvl w:val="0"/>
          <w:numId w:val="8"/>
        </w:numPr>
      </w:pPr>
      <w:r w:rsidRPr="00D72561">
        <w:t>Vendor financing arrangements</w:t>
      </w:r>
    </w:p>
    <w:p w14:paraId="655EA735" w14:textId="77777777" w:rsidR="00D72561" w:rsidRPr="00D72561" w:rsidRDefault="00D72561" w:rsidP="00D72561">
      <w:pPr>
        <w:numPr>
          <w:ilvl w:val="0"/>
          <w:numId w:val="8"/>
        </w:numPr>
      </w:pPr>
      <w:r w:rsidRPr="00D72561">
        <w:t>Variable interest tied to U.S. prime rate / SOFR</w:t>
      </w:r>
    </w:p>
    <w:p w14:paraId="7B418334" w14:textId="77777777" w:rsidR="00D72561" w:rsidRPr="00D72561" w:rsidRDefault="00D72561" w:rsidP="00D72561">
      <w:pPr>
        <w:numPr>
          <w:ilvl w:val="0"/>
          <w:numId w:val="8"/>
        </w:numPr>
      </w:pPr>
      <w:r w:rsidRPr="00D72561">
        <w:t>Subordinated intercompany loans</w:t>
      </w:r>
    </w:p>
    <w:p w14:paraId="1B5351C3" w14:textId="77777777" w:rsidR="00D72561" w:rsidRPr="00D72561" w:rsidRDefault="00D72561" w:rsidP="00D72561">
      <w:pPr>
        <w:numPr>
          <w:ilvl w:val="0"/>
          <w:numId w:val="8"/>
        </w:numPr>
      </w:pPr>
      <w:r w:rsidRPr="00D72561">
        <w:t>Convertible notes with equity-linked features (often fail SPPI → FVTPL)</w:t>
      </w:r>
    </w:p>
    <w:p w14:paraId="667460A8" w14:textId="77777777" w:rsidR="00D72561" w:rsidRPr="00D72561" w:rsidRDefault="00D72561" w:rsidP="00D72561">
      <w:r w:rsidRPr="00D72561">
        <w:pict w14:anchorId="709D53CA">
          <v:rect id="_x0000_i1121" style="width:0;height:1.5pt" o:hralign="center" o:hrstd="t" o:hr="t" fillcolor="#a0a0a0" stroked="f"/>
        </w:pict>
      </w:r>
    </w:p>
    <w:p w14:paraId="19ACFD6D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6. Subsequent Measurement</w:t>
      </w:r>
    </w:p>
    <w:p w14:paraId="1C8303C2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6.1 Amortized Cost</w:t>
      </w:r>
    </w:p>
    <w:p w14:paraId="6933F60D" w14:textId="77777777" w:rsidR="00D72561" w:rsidRPr="00D72561" w:rsidRDefault="00D72561" w:rsidP="00D72561">
      <w:r w:rsidRPr="00D72561">
        <w:t xml:space="preserve">Use the </w:t>
      </w:r>
      <w:r w:rsidRPr="00D72561">
        <w:rPr>
          <w:b/>
          <w:bCs/>
        </w:rPr>
        <w:t>effective interest method</w:t>
      </w:r>
      <w:r w:rsidRPr="00D72561">
        <w:t xml:space="preserve"> based on U.S. yield curves and U.S. interest market convention (ACT/360, ACT/365 as applicable).</w:t>
      </w:r>
    </w:p>
    <w:p w14:paraId="097342FE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6.2 FVOCI</w:t>
      </w:r>
    </w:p>
    <w:p w14:paraId="25DDBDD3" w14:textId="77777777" w:rsidR="00D72561" w:rsidRPr="00D72561" w:rsidRDefault="00D72561" w:rsidP="00D72561">
      <w:r w:rsidRPr="00D72561">
        <w:t>Recognize:</w:t>
      </w:r>
    </w:p>
    <w:p w14:paraId="46C8204B" w14:textId="77777777" w:rsidR="00D72561" w:rsidRPr="00D72561" w:rsidRDefault="00D72561" w:rsidP="00D72561">
      <w:pPr>
        <w:numPr>
          <w:ilvl w:val="0"/>
          <w:numId w:val="9"/>
        </w:numPr>
      </w:pPr>
      <w:r w:rsidRPr="00D72561">
        <w:t>Fair value changes in OCI</w:t>
      </w:r>
    </w:p>
    <w:p w14:paraId="068BB285" w14:textId="77777777" w:rsidR="00D72561" w:rsidRPr="00D72561" w:rsidRDefault="00D72561" w:rsidP="00D72561">
      <w:pPr>
        <w:numPr>
          <w:ilvl w:val="0"/>
          <w:numId w:val="9"/>
        </w:numPr>
      </w:pPr>
      <w:r w:rsidRPr="00D72561">
        <w:t>Impairment and interest in P&amp;L</w:t>
      </w:r>
    </w:p>
    <w:p w14:paraId="384C408E" w14:textId="77777777" w:rsidR="00D72561" w:rsidRPr="00D72561" w:rsidRDefault="00D72561" w:rsidP="00D72561">
      <w:pPr>
        <w:numPr>
          <w:ilvl w:val="0"/>
          <w:numId w:val="9"/>
        </w:numPr>
      </w:pPr>
      <w:r w:rsidRPr="00D72561">
        <w:t>For equity FVOCI election → no recycling on disposal</w:t>
      </w:r>
    </w:p>
    <w:p w14:paraId="60554FD1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6.3 FVTPL</w:t>
      </w:r>
    </w:p>
    <w:p w14:paraId="43E3E2A9" w14:textId="77777777" w:rsidR="00D72561" w:rsidRPr="00D72561" w:rsidRDefault="00D72561" w:rsidP="00D72561">
      <w:r w:rsidRPr="00D72561">
        <w:t>Measure at fair value using:</w:t>
      </w:r>
    </w:p>
    <w:p w14:paraId="187B5027" w14:textId="77777777" w:rsidR="00D72561" w:rsidRPr="00D72561" w:rsidRDefault="00D72561" w:rsidP="00D72561">
      <w:pPr>
        <w:numPr>
          <w:ilvl w:val="0"/>
          <w:numId w:val="10"/>
        </w:numPr>
      </w:pPr>
      <w:r w:rsidRPr="00D72561">
        <w:lastRenderedPageBreak/>
        <w:t>U.S. market observable inputs (Level 1 or Level 2)</w:t>
      </w:r>
    </w:p>
    <w:p w14:paraId="4DBEAB14" w14:textId="77777777" w:rsidR="00D72561" w:rsidRPr="00D72561" w:rsidRDefault="00D72561" w:rsidP="00D72561">
      <w:pPr>
        <w:numPr>
          <w:ilvl w:val="0"/>
          <w:numId w:val="10"/>
        </w:numPr>
      </w:pPr>
      <w:r w:rsidRPr="00D72561">
        <w:t>Independent valuation models when needed (Level 3)</w:t>
      </w:r>
    </w:p>
    <w:p w14:paraId="26B5FFF9" w14:textId="77777777" w:rsidR="00D72561" w:rsidRPr="00D72561" w:rsidRDefault="00D72561" w:rsidP="00D72561">
      <w:r w:rsidRPr="00D72561">
        <w:pict w14:anchorId="5EA46431">
          <v:rect id="_x0000_i1122" style="width:0;height:1.5pt" o:hralign="center" o:hrstd="t" o:hr="t" fillcolor="#a0a0a0" stroked="f"/>
        </w:pict>
      </w:r>
    </w:p>
    <w:p w14:paraId="2F29C7E7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7. Impairment – Expected Credit Loss (ECL) Model</w:t>
      </w:r>
    </w:p>
    <w:p w14:paraId="70E6B797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7.1 Scope</w:t>
      </w:r>
    </w:p>
    <w:p w14:paraId="5E1E116B" w14:textId="77777777" w:rsidR="00D72561" w:rsidRPr="00D72561" w:rsidRDefault="00D72561" w:rsidP="00D72561">
      <w:r w:rsidRPr="00D72561">
        <w:t>Applies to:</w:t>
      </w:r>
    </w:p>
    <w:p w14:paraId="428F0F8F" w14:textId="77777777" w:rsidR="00D72561" w:rsidRPr="00D72561" w:rsidRDefault="00D72561" w:rsidP="00D72561">
      <w:pPr>
        <w:numPr>
          <w:ilvl w:val="0"/>
          <w:numId w:val="11"/>
        </w:numPr>
      </w:pPr>
      <w:r w:rsidRPr="00D72561">
        <w:t>Trade receivables</w:t>
      </w:r>
    </w:p>
    <w:p w14:paraId="0554CB0D" w14:textId="77777777" w:rsidR="00D72561" w:rsidRPr="00D72561" w:rsidRDefault="00D72561" w:rsidP="00D72561">
      <w:pPr>
        <w:numPr>
          <w:ilvl w:val="0"/>
          <w:numId w:val="11"/>
        </w:numPr>
      </w:pPr>
      <w:r w:rsidRPr="00D72561">
        <w:t>Contract assets</w:t>
      </w:r>
    </w:p>
    <w:p w14:paraId="20FE6CFE" w14:textId="77777777" w:rsidR="00D72561" w:rsidRPr="00D72561" w:rsidRDefault="00D72561" w:rsidP="00D72561">
      <w:pPr>
        <w:numPr>
          <w:ilvl w:val="0"/>
          <w:numId w:val="11"/>
        </w:numPr>
      </w:pPr>
      <w:r w:rsidRPr="00D72561">
        <w:t>Intercompany loans (major U.S. area of audit focus)</w:t>
      </w:r>
    </w:p>
    <w:p w14:paraId="5BA819BF" w14:textId="77777777" w:rsidR="00D72561" w:rsidRPr="00D72561" w:rsidRDefault="00D72561" w:rsidP="00D72561">
      <w:pPr>
        <w:numPr>
          <w:ilvl w:val="0"/>
          <w:numId w:val="11"/>
        </w:numPr>
      </w:pPr>
      <w:r w:rsidRPr="00D72561">
        <w:t>Debt securities at AC and FVOCI</w:t>
      </w:r>
    </w:p>
    <w:p w14:paraId="5AF0AD8B" w14:textId="77777777" w:rsidR="00D72561" w:rsidRPr="00D72561" w:rsidRDefault="00D72561" w:rsidP="00D72561">
      <w:pPr>
        <w:numPr>
          <w:ilvl w:val="0"/>
          <w:numId w:val="11"/>
        </w:numPr>
      </w:pPr>
      <w:r w:rsidRPr="00D72561">
        <w:t>Lease receivables</w:t>
      </w:r>
    </w:p>
    <w:p w14:paraId="5E3EA2AF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7.2 ECL Approaches</w:t>
      </w:r>
    </w:p>
    <w:p w14:paraId="23F3F0B6" w14:textId="77777777" w:rsidR="00D72561" w:rsidRPr="00D72561" w:rsidRDefault="00D72561" w:rsidP="00D72561">
      <w:pPr>
        <w:numPr>
          <w:ilvl w:val="0"/>
          <w:numId w:val="12"/>
        </w:numPr>
      </w:pPr>
      <w:r w:rsidRPr="00D72561">
        <w:rPr>
          <w:b/>
          <w:bCs/>
        </w:rPr>
        <w:t>General model</w:t>
      </w:r>
      <w:r w:rsidRPr="00D72561">
        <w:t xml:space="preserve"> (3-stage approach for loans and debt securities)</w:t>
      </w:r>
    </w:p>
    <w:p w14:paraId="6066477D" w14:textId="77777777" w:rsidR="00D72561" w:rsidRPr="00D72561" w:rsidRDefault="00D72561" w:rsidP="00D72561">
      <w:pPr>
        <w:numPr>
          <w:ilvl w:val="0"/>
          <w:numId w:val="12"/>
        </w:numPr>
      </w:pPr>
      <w:r w:rsidRPr="00D72561">
        <w:rPr>
          <w:b/>
          <w:bCs/>
        </w:rPr>
        <w:t>Simplified model</w:t>
      </w:r>
      <w:r w:rsidRPr="00D72561">
        <w:t xml:space="preserve"> allowed for trade receivables and contract assets (typically used in U.S. operations)</w:t>
      </w:r>
    </w:p>
    <w:p w14:paraId="4ED16A4A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U.S. ECL Considerations</w:t>
      </w:r>
    </w:p>
    <w:p w14:paraId="52E77797" w14:textId="77777777" w:rsidR="00D72561" w:rsidRPr="00D72561" w:rsidRDefault="00D72561" w:rsidP="00D72561">
      <w:pPr>
        <w:numPr>
          <w:ilvl w:val="0"/>
          <w:numId w:val="13"/>
        </w:numPr>
      </w:pPr>
      <w:r w:rsidRPr="00D72561">
        <w:t>Use U.S. macroeconomic variables (GDP, unemployment rates, interest rates).</w:t>
      </w:r>
    </w:p>
    <w:p w14:paraId="14E3CC7A" w14:textId="77777777" w:rsidR="00D72561" w:rsidRPr="00D72561" w:rsidRDefault="00D72561" w:rsidP="00D72561">
      <w:pPr>
        <w:numPr>
          <w:ilvl w:val="0"/>
          <w:numId w:val="13"/>
        </w:numPr>
      </w:pPr>
      <w:r w:rsidRPr="00D72561">
        <w:t>Industry-specific U.S. credit risk (e.g., retail, healthcare, software subscription business).</w:t>
      </w:r>
    </w:p>
    <w:p w14:paraId="02281806" w14:textId="77777777" w:rsidR="00D72561" w:rsidRPr="00D72561" w:rsidRDefault="00D72561" w:rsidP="00D72561">
      <w:pPr>
        <w:numPr>
          <w:ilvl w:val="0"/>
          <w:numId w:val="13"/>
        </w:numPr>
      </w:pPr>
      <w:r w:rsidRPr="00D72561">
        <w:t>Consider state-level legal collection constraints.</w:t>
      </w:r>
    </w:p>
    <w:p w14:paraId="572E5E64" w14:textId="77777777" w:rsidR="00D72561" w:rsidRPr="00D72561" w:rsidRDefault="00D72561" w:rsidP="00D72561">
      <w:pPr>
        <w:numPr>
          <w:ilvl w:val="0"/>
          <w:numId w:val="13"/>
        </w:numPr>
      </w:pPr>
      <w:r w:rsidRPr="00D72561">
        <w:t>Document forward-looking information using reputable U.S. data sources (e.g., Federal Reserve, Moody’s, S&amp;P).</w:t>
      </w:r>
    </w:p>
    <w:p w14:paraId="28E815B9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Intercompany Loan ECL</w:t>
      </w:r>
    </w:p>
    <w:p w14:paraId="6A961A32" w14:textId="77777777" w:rsidR="00D72561" w:rsidRPr="00D72561" w:rsidRDefault="00D72561" w:rsidP="00D72561">
      <w:r w:rsidRPr="00D72561">
        <w:t>Common U.S. audit hotspot.</w:t>
      </w:r>
      <w:r w:rsidRPr="00D72561">
        <w:br/>
        <w:t>Requirements:</w:t>
      </w:r>
    </w:p>
    <w:p w14:paraId="1B77CEA7" w14:textId="77777777" w:rsidR="00D72561" w:rsidRPr="00D72561" w:rsidRDefault="00D72561" w:rsidP="00D72561">
      <w:pPr>
        <w:numPr>
          <w:ilvl w:val="0"/>
          <w:numId w:val="14"/>
        </w:numPr>
      </w:pPr>
      <w:r w:rsidRPr="00D72561">
        <w:t>Assess borrower’s credit quality (standalone U.S. entity basis)</w:t>
      </w:r>
    </w:p>
    <w:p w14:paraId="5E3F9204" w14:textId="77777777" w:rsidR="00D72561" w:rsidRPr="00D72561" w:rsidRDefault="00D72561" w:rsidP="00D72561">
      <w:pPr>
        <w:numPr>
          <w:ilvl w:val="0"/>
          <w:numId w:val="14"/>
        </w:numPr>
      </w:pPr>
      <w:r w:rsidRPr="00D72561">
        <w:t>Consider implicit parental support only with documented evidence</w:t>
      </w:r>
    </w:p>
    <w:p w14:paraId="47D189E1" w14:textId="77777777" w:rsidR="00D72561" w:rsidRPr="00D72561" w:rsidRDefault="00D72561" w:rsidP="00D72561">
      <w:pPr>
        <w:numPr>
          <w:ilvl w:val="0"/>
          <w:numId w:val="14"/>
        </w:numPr>
      </w:pPr>
      <w:r w:rsidRPr="00D72561">
        <w:t>Evaluate maturity, subordination, repayment ability</w:t>
      </w:r>
    </w:p>
    <w:p w14:paraId="4CA36231" w14:textId="77777777" w:rsidR="00D72561" w:rsidRPr="00D72561" w:rsidRDefault="00D72561" w:rsidP="00D72561">
      <w:pPr>
        <w:numPr>
          <w:ilvl w:val="0"/>
          <w:numId w:val="14"/>
        </w:numPr>
      </w:pPr>
      <w:r w:rsidRPr="00D72561">
        <w:t>Apply appropriate probability of default (PD) and loss-given default (LGD)</w:t>
      </w:r>
    </w:p>
    <w:p w14:paraId="32FAC965" w14:textId="77777777" w:rsidR="00D72561" w:rsidRPr="00D72561" w:rsidRDefault="00D72561" w:rsidP="00D72561">
      <w:r w:rsidRPr="00D72561">
        <w:lastRenderedPageBreak/>
        <w:pict w14:anchorId="63A496B9">
          <v:rect id="_x0000_i1123" style="width:0;height:1.5pt" o:hralign="center" o:hrstd="t" o:hr="t" fillcolor="#a0a0a0" stroked="f"/>
        </w:pict>
      </w:r>
    </w:p>
    <w:p w14:paraId="5A0CE821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8. Derecognition</w:t>
      </w:r>
    </w:p>
    <w:p w14:paraId="3C321BEC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8.1 Financial Assets</w:t>
      </w:r>
    </w:p>
    <w:p w14:paraId="6965EFB8" w14:textId="77777777" w:rsidR="00D72561" w:rsidRPr="00D72561" w:rsidRDefault="00D72561" w:rsidP="00D72561">
      <w:r w:rsidRPr="00D72561">
        <w:t>U.S. entities must derecognize a financial asset when:</w:t>
      </w:r>
    </w:p>
    <w:p w14:paraId="06AA4E86" w14:textId="77777777" w:rsidR="00D72561" w:rsidRPr="00D72561" w:rsidRDefault="00D72561" w:rsidP="00D72561">
      <w:pPr>
        <w:numPr>
          <w:ilvl w:val="0"/>
          <w:numId w:val="15"/>
        </w:numPr>
      </w:pPr>
      <w:r w:rsidRPr="00D72561">
        <w:t>Contractual rights expire, or</w:t>
      </w:r>
    </w:p>
    <w:p w14:paraId="4E9314A4" w14:textId="77777777" w:rsidR="00D72561" w:rsidRPr="00D72561" w:rsidRDefault="00D72561" w:rsidP="00D72561">
      <w:pPr>
        <w:numPr>
          <w:ilvl w:val="0"/>
          <w:numId w:val="15"/>
        </w:numPr>
      </w:pPr>
      <w:r w:rsidRPr="00D72561">
        <w:t>Asset is transferred and control is not retained.</w:t>
      </w:r>
    </w:p>
    <w:p w14:paraId="7B8BA6A0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U.S.-Specific Notes</w:t>
      </w:r>
    </w:p>
    <w:p w14:paraId="37843A2B" w14:textId="77777777" w:rsidR="00D72561" w:rsidRPr="00D72561" w:rsidRDefault="00D72561" w:rsidP="00D72561">
      <w:pPr>
        <w:numPr>
          <w:ilvl w:val="0"/>
          <w:numId w:val="16"/>
        </w:numPr>
      </w:pPr>
      <w:r w:rsidRPr="00D72561">
        <w:t>U.S. legal enforceability of transfers must be documented.</w:t>
      </w:r>
    </w:p>
    <w:p w14:paraId="66B848C7" w14:textId="77777777" w:rsidR="00D72561" w:rsidRPr="00D72561" w:rsidRDefault="00D72561" w:rsidP="00D72561">
      <w:pPr>
        <w:numPr>
          <w:ilvl w:val="0"/>
          <w:numId w:val="16"/>
        </w:numPr>
      </w:pPr>
      <w:r w:rsidRPr="00D72561">
        <w:t>Use U.S. legal opinions for factoring and securitizations where needed.</w:t>
      </w:r>
    </w:p>
    <w:p w14:paraId="46CCED3C" w14:textId="77777777" w:rsidR="00D72561" w:rsidRPr="00D72561" w:rsidRDefault="00D72561" w:rsidP="00D72561">
      <w:pPr>
        <w:numPr>
          <w:ilvl w:val="0"/>
          <w:numId w:val="16"/>
        </w:numPr>
      </w:pPr>
      <w:r w:rsidRPr="00D72561">
        <w:t>Transfers with recourse often fail derecognition under IFRS 9.</w:t>
      </w:r>
    </w:p>
    <w:p w14:paraId="3EB5E2B3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8.2 Financial Liabilities</w:t>
      </w:r>
    </w:p>
    <w:p w14:paraId="62C6C6F1" w14:textId="77777777" w:rsidR="00D72561" w:rsidRPr="00D72561" w:rsidRDefault="00D72561" w:rsidP="00D72561">
      <w:r w:rsidRPr="00D72561">
        <w:t>Derecognize when extinguished or substantially modified (&gt;10% test).</w:t>
      </w:r>
    </w:p>
    <w:p w14:paraId="7ECAE430" w14:textId="77777777" w:rsidR="00D72561" w:rsidRPr="00D72561" w:rsidRDefault="00D72561" w:rsidP="00D72561">
      <w:r w:rsidRPr="00D72561">
        <w:pict w14:anchorId="3C3718C4">
          <v:rect id="_x0000_i1124" style="width:0;height:1.5pt" o:hralign="center" o:hrstd="t" o:hr="t" fillcolor="#a0a0a0" stroked="f"/>
        </w:pict>
      </w:r>
    </w:p>
    <w:p w14:paraId="48A10112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9. Derivatives and Hedge Accounting</w:t>
      </w:r>
    </w:p>
    <w:p w14:paraId="63B2DE49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9.1 Derivatives</w:t>
      </w:r>
    </w:p>
    <w:p w14:paraId="6006930C" w14:textId="77777777" w:rsidR="00D72561" w:rsidRPr="00D72561" w:rsidRDefault="00D72561" w:rsidP="00D72561">
      <w:r w:rsidRPr="00D72561">
        <w:t xml:space="preserve">Recognized at </w:t>
      </w:r>
      <w:r w:rsidRPr="00D72561">
        <w:rPr>
          <w:b/>
          <w:bCs/>
        </w:rPr>
        <w:t>FVTPL</w:t>
      </w:r>
      <w:r w:rsidRPr="00D72561">
        <w:t>, except when designated in hedge relationships.</w:t>
      </w:r>
    </w:p>
    <w:p w14:paraId="77442F36" w14:textId="77777777" w:rsidR="00D72561" w:rsidRPr="00D72561" w:rsidRDefault="00D72561" w:rsidP="00D72561">
      <w:r w:rsidRPr="00D72561">
        <w:t>Common U.S. derivatives:</w:t>
      </w:r>
    </w:p>
    <w:p w14:paraId="0DD4347D" w14:textId="77777777" w:rsidR="00D72561" w:rsidRPr="00D72561" w:rsidRDefault="00D72561" w:rsidP="00D72561">
      <w:pPr>
        <w:numPr>
          <w:ilvl w:val="0"/>
          <w:numId w:val="17"/>
        </w:numPr>
      </w:pPr>
      <w:r w:rsidRPr="00D72561">
        <w:t>FX forwards on USD-based transactions</w:t>
      </w:r>
    </w:p>
    <w:p w14:paraId="20EE5B48" w14:textId="77777777" w:rsidR="00D72561" w:rsidRPr="00D72561" w:rsidRDefault="00D72561" w:rsidP="00D72561">
      <w:pPr>
        <w:numPr>
          <w:ilvl w:val="0"/>
          <w:numId w:val="17"/>
        </w:numPr>
      </w:pPr>
      <w:r w:rsidRPr="00D72561">
        <w:t>SOFR interest rate swaps</w:t>
      </w:r>
    </w:p>
    <w:p w14:paraId="733091A6" w14:textId="77777777" w:rsidR="00D72561" w:rsidRPr="00D72561" w:rsidRDefault="00D72561" w:rsidP="00D72561">
      <w:pPr>
        <w:numPr>
          <w:ilvl w:val="0"/>
          <w:numId w:val="17"/>
        </w:numPr>
      </w:pPr>
      <w:r w:rsidRPr="00D72561">
        <w:t>Commodity swaps for energy procurement</w:t>
      </w:r>
    </w:p>
    <w:p w14:paraId="29508BDC" w14:textId="77777777" w:rsidR="00D72561" w:rsidRPr="00D72561" w:rsidRDefault="00D72561" w:rsidP="00D72561">
      <w:pPr>
        <w:numPr>
          <w:ilvl w:val="0"/>
          <w:numId w:val="17"/>
        </w:numPr>
      </w:pPr>
      <w:r w:rsidRPr="00D72561">
        <w:t>Equity derivatives for compensation plans (usually fail hedge accounting)</w:t>
      </w:r>
    </w:p>
    <w:p w14:paraId="121248D2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9.2 Hedge Accounting Framework</w:t>
      </w:r>
    </w:p>
    <w:p w14:paraId="62806838" w14:textId="77777777" w:rsidR="00D72561" w:rsidRPr="00D72561" w:rsidRDefault="00D72561" w:rsidP="00D72561">
      <w:r w:rsidRPr="00D72561">
        <w:t>If elected:</w:t>
      </w:r>
    </w:p>
    <w:p w14:paraId="732B1491" w14:textId="77777777" w:rsidR="00D72561" w:rsidRPr="00D72561" w:rsidRDefault="00D72561" w:rsidP="00D72561">
      <w:pPr>
        <w:numPr>
          <w:ilvl w:val="0"/>
          <w:numId w:val="18"/>
        </w:numPr>
      </w:pPr>
      <w:r w:rsidRPr="00D72561">
        <w:t>Must comply with IFRS 9 hedge documentation requirements</w:t>
      </w:r>
    </w:p>
    <w:p w14:paraId="56C0F1EA" w14:textId="77777777" w:rsidR="00D72561" w:rsidRPr="00D72561" w:rsidRDefault="00D72561" w:rsidP="00D72561">
      <w:pPr>
        <w:numPr>
          <w:ilvl w:val="0"/>
          <w:numId w:val="18"/>
        </w:numPr>
      </w:pPr>
      <w:r w:rsidRPr="00D72561">
        <w:t>Hedge effectiveness assessed on an ongoing basis</w:t>
      </w:r>
    </w:p>
    <w:p w14:paraId="430D85EF" w14:textId="77777777" w:rsidR="00D72561" w:rsidRPr="00D72561" w:rsidRDefault="00D72561" w:rsidP="00D72561">
      <w:pPr>
        <w:numPr>
          <w:ilvl w:val="0"/>
          <w:numId w:val="18"/>
        </w:numPr>
      </w:pPr>
      <w:r w:rsidRPr="00D72561">
        <w:t>U.S. operations must maintain documentation aligned with HQ standards</w:t>
      </w:r>
    </w:p>
    <w:p w14:paraId="78D7F930" w14:textId="77777777" w:rsidR="00D72561" w:rsidRPr="00D72561" w:rsidRDefault="00D72561" w:rsidP="00D72561">
      <w:r w:rsidRPr="00D72561">
        <w:t>Allowable hedge types:</w:t>
      </w:r>
    </w:p>
    <w:p w14:paraId="107F9EB3" w14:textId="77777777" w:rsidR="00D72561" w:rsidRPr="00D72561" w:rsidRDefault="00D72561" w:rsidP="00D72561">
      <w:pPr>
        <w:numPr>
          <w:ilvl w:val="0"/>
          <w:numId w:val="19"/>
        </w:numPr>
      </w:pPr>
      <w:r w:rsidRPr="00D72561">
        <w:rPr>
          <w:b/>
          <w:bCs/>
        </w:rPr>
        <w:t>Cash flow hedges</w:t>
      </w:r>
      <w:r w:rsidRPr="00D72561">
        <w:t xml:space="preserve"> (e.g., SOFR interest rate swaps)</w:t>
      </w:r>
    </w:p>
    <w:p w14:paraId="0AF80109" w14:textId="77777777" w:rsidR="00D72561" w:rsidRPr="00D72561" w:rsidRDefault="00D72561" w:rsidP="00D72561">
      <w:pPr>
        <w:numPr>
          <w:ilvl w:val="0"/>
          <w:numId w:val="19"/>
        </w:numPr>
      </w:pPr>
      <w:r w:rsidRPr="00D72561">
        <w:rPr>
          <w:b/>
          <w:bCs/>
        </w:rPr>
        <w:lastRenderedPageBreak/>
        <w:t>Fair value hedges</w:t>
      </w:r>
    </w:p>
    <w:p w14:paraId="674C7F19" w14:textId="77777777" w:rsidR="00D72561" w:rsidRPr="00D72561" w:rsidRDefault="00D72561" w:rsidP="00D72561">
      <w:pPr>
        <w:numPr>
          <w:ilvl w:val="0"/>
          <w:numId w:val="19"/>
        </w:numPr>
      </w:pPr>
      <w:r w:rsidRPr="00D72561">
        <w:rPr>
          <w:b/>
          <w:bCs/>
        </w:rPr>
        <w:t>Net investment hedges</w:t>
      </w:r>
      <w:r w:rsidRPr="00D72561">
        <w:t xml:space="preserve"> (common for USD functional currency subsidiaries of EUR/GBP parents)</w:t>
      </w:r>
    </w:p>
    <w:p w14:paraId="7CB4D133" w14:textId="77777777" w:rsidR="00D72561" w:rsidRPr="00D72561" w:rsidRDefault="00D72561" w:rsidP="00D72561">
      <w:r w:rsidRPr="00D72561">
        <w:pict w14:anchorId="28BDDDB6">
          <v:rect id="_x0000_i1125" style="width:0;height:1.5pt" o:hralign="center" o:hrstd="t" o:hr="t" fillcolor="#a0a0a0" stroked="f"/>
        </w:pict>
      </w:r>
    </w:p>
    <w:p w14:paraId="3FCA79AE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10. Fair Value Measurement (IFRS 13 Alignment)</w:t>
      </w:r>
    </w:p>
    <w:p w14:paraId="55AACE45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Hierarchies</w:t>
      </w:r>
    </w:p>
    <w:p w14:paraId="14B8008A" w14:textId="77777777" w:rsidR="00D72561" w:rsidRPr="00D72561" w:rsidRDefault="00D72561" w:rsidP="00D72561">
      <w:pPr>
        <w:numPr>
          <w:ilvl w:val="0"/>
          <w:numId w:val="20"/>
        </w:numPr>
      </w:pPr>
      <w:r w:rsidRPr="00D72561">
        <w:rPr>
          <w:b/>
          <w:bCs/>
        </w:rPr>
        <w:t>Level 1:</w:t>
      </w:r>
      <w:r w:rsidRPr="00D72561">
        <w:t xml:space="preserve"> U.S. quoted prices (NYSE, NASDAQ, U.S. Treasury markets)</w:t>
      </w:r>
    </w:p>
    <w:p w14:paraId="71F96EF1" w14:textId="77777777" w:rsidR="00D72561" w:rsidRPr="00D72561" w:rsidRDefault="00D72561" w:rsidP="00D72561">
      <w:pPr>
        <w:numPr>
          <w:ilvl w:val="0"/>
          <w:numId w:val="20"/>
        </w:numPr>
      </w:pPr>
      <w:r w:rsidRPr="00D72561">
        <w:rPr>
          <w:b/>
          <w:bCs/>
        </w:rPr>
        <w:t>Level 2:</w:t>
      </w:r>
      <w:r w:rsidRPr="00D72561">
        <w:t xml:space="preserve"> Market corroborated inputs (SOFR curves, dealer quotes)</w:t>
      </w:r>
    </w:p>
    <w:p w14:paraId="09221854" w14:textId="77777777" w:rsidR="00D72561" w:rsidRPr="00D72561" w:rsidRDefault="00D72561" w:rsidP="00D72561">
      <w:pPr>
        <w:numPr>
          <w:ilvl w:val="0"/>
          <w:numId w:val="20"/>
        </w:numPr>
      </w:pPr>
      <w:r w:rsidRPr="00D72561">
        <w:rPr>
          <w:b/>
          <w:bCs/>
        </w:rPr>
        <w:t>Level 3:</w:t>
      </w:r>
      <w:r w:rsidRPr="00D72561">
        <w:t xml:space="preserve"> Internal models and unobservable inputs</w:t>
      </w:r>
    </w:p>
    <w:p w14:paraId="7C0BFCE5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U.S. Model Governance</w:t>
      </w:r>
    </w:p>
    <w:p w14:paraId="72F1C7BD" w14:textId="77777777" w:rsidR="00D72561" w:rsidRPr="00D72561" w:rsidRDefault="00D72561" w:rsidP="00D72561">
      <w:pPr>
        <w:numPr>
          <w:ilvl w:val="0"/>
          <w:numId w:val="21"/>
        </w:numPr>
      </w:pPr>
      <w:r w:rsidRPr="00D72561">
        <w:t>All valuation models must be validated annually</w:t>
      </w:r>
    </w:p>
    <w:p w14:paraId="408882E3" w14:textId="77777777" w:rsidR="00D72561" w:rsidRPr="00D72561" w:rsidRDefault="00D72561" w:rsidP="00D72561">
      <w:pPr>
        <w:numPr>
          <w:ilvl w:val="0"/>
          <w:numId w:val="21"/>
        </w:numPr>
      </w:pPr>
      <w:r w:rsidRPr="00D72561">
        <w:t>Independent price verification required for key instruments</w:t>
      </w:r>
    </w:p>
    <w:p w14:paraId="50122797" w14:textId="77777777" w:rsidR="00D72561" w:rsidRPr="00D72561" w:rsidRDefault="00D72561" w:rsidP="00D72561">
      <w:pPr>
        <w:numPr>
          <w:ilvl w:val="0"/>
          <w:numId w:val="21"/>
        </w:numPr>
      </w:pPr>
      <w:r w:rsidRPr="00D72561">
        <w:t>Controls must align with U.S. SOX/ICFR expectations</w:t>
      </w:r>
    </w:p>
    <w:p w14:paraId="63859FA0" w14:textId="77777777" w:rsidR="00D72561" w:rsidRPr="00D72561" w:rsidRDefault="00D72561" w:rsidP="00D72561">
      <w:pPr>
        <w:numPr>
          <w:ilvl w:val="0"/>
          <w:numId w:val="21"/>
        </w:numPr>
      </w:pPr>
      <w:r w:rsidRPr="00D72561">
        <w:t>Documentation must support calibration to U.S. market data</w:t>
      </w:r>
    </w:p>
    <w:p w14:paraId="184999D0" w14:textId="77777777" w:rsidR="00D72561" w:rsidRPr="00D72561" w:rsidRDefault="00D72561" w:rsidP="00D72561">
      <w:r w:rsidRPr="00D72561">
        <w:pict w14:anchorId="16EF6609">
          <v:rect id="_x0000_i1126" style="width:0;height:1.5pt" o:hralign="center" o:hrstd="t" o:hr="t" fillcolor="#a0a0a0" stroked="f"/>
        </w:pict>
      </w:r>
    </w:p>
    <w:p w14:paraId="5A9E8E7D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11. Disclosures (SEC-Friendly Format)</w:t>
      </w:r>
    </w:p>
    <w:p w14:paraId="0FCD27A8" w14:textId="77777777" w:rsidR="00D72561" w:rsidRPr="00D72561" w:rsidRDefault="00D72561" w:rsidP="00D72561">
      <w:r w:rsidRPr="00D72561">
        <w:t>U.S. entities included in SEC filings must disclose:</w:t>
      </w:r>
    </w:p>
    <w:p w14:paraId="4C770E21" w14:textId="77777777" w:rsidR="00D72561" w:rsidRPr="00D72561" w:rsidRDefault="00D72561" w:rsidP="00D72561">
      <w:pPr>
        <w:numPr>
          <w:ilvl w:val="0"/>
          <w:numId w:val="22"/>
        </w:numPr>
      </w:pPr>
      <w:r w:rsidRPr="00D72561">
        <w:t>Categorization by IFRS 9 classification</w:t>
      </w:r>
    </w:p>
    <w:p w14:paraId="0E65E760" w14:textId="77777777" w:rsidR="00D72561" w:rsidRPr="00D72561" w:rsidRDefault="00D72561" w:rsidP="00D72561">
      <w:pPr>
        <w:numPr>
          <w:ilvl w:val="0"/>
          <w:numId w:val="22"/>
        </w:numPr>
      </w:pPr>
      <w:r w:rsidRPr="00D72561">
        <w:t>Fair value hierarchy disclosures</w:t>
      </w:r>
    </w:p>
    <w:p w14:paraId="766A0A1D" w14:textId="77777777" w:rsidR="00D72561" w:rsidRPr="00D72561" w:rsidRDefault="00D72561" w:rsidP="00D72561">
      <w:pPr>
        <w:numPr>
          <w:ilvl w:val="0"/>
          <w:numId w:val="22"/>
        </w:numPr>
      </w:pPr>
      <w:r w:rsidRPr="00D72561">
        <w:t>Risk management (credit, liquidity, market risk)</w:t>
      </w:r>
    </w:p>
    <w:p w14:paraId="5D12FC3C" w14:textId="77777777" w:rsidR="00D72561" w:rsidRPr="00D72561" w:rsidRDefault="00D72561" w:rsidP="00D72561">
      <w:pPr>
        <w:numPr>
          <w:ilvl w:val="0"/>
          <w:numId w:val="22"/>
        </w:numPr>
      </w:pPr>
      <w:r w:rsidRPr="00D72561">
        <w:t>Derivative positions and hedging relationships</w:t>
      </w:r>
    </w:p>
    <w:p w14:paraId="3C6373D2" w14:textId="77777777" w:rsidR="00D72561" w:rsidRPr="00D72561" w:rsidRDefault="00D72561" w:rsidP="00D72561">
      <w:pPr>
        <w:numPr>
          <w:ilvl w:val="0"/>
          <w:numId w:val="22"/>
        </w:numPr>
      </w:pPr>
      <w:r w:rsidRPr="00D72561">
        <w:t>ECL methodologies, assumptions, and sensitivities</w:t>
      </w:r>
    </w:p>
    <w:p w14:paraId="4E5F19F4" w14:textId="77777777" w:rsidR="00D72561" w:rsidRPr="00D72561" w:rsidRDefault="00D72561" w:rsidP="00D72561">
      <w:pPr>
        <w:numPr>
          <w:ilvl w:val="0"/>
          <w:numId w:val="22"/>
        </w:numPr>
      </w:pPr>
      <w:r w:rsidRPr="00D72561">
        <w:t>Reconciliation of Level 3 fair values</w:t>
      </w:r>
    </w:p>
    <w:p w14:paraId="3173773D" w14:textId="77777777" w:rsidR="00D72561" w:rsidRPr="00D72561" w:rsidRDefault="00D72561" w:rsidP="00D72561">
      <w:pPr>
        <w:numPr>
          <w:ilvl w:val="0"/>
          <w:numId w:val="22"/>
        </w:numPr>
      </w:pPr>
      <w:r w:rsidRPr="00D72561">
        <w:t>Concentration of credit risk with U.S. counterparties and banks</w:t>
      </w:r>
    </w:p>
    <w:p w14:paraId="35B23195" w14:textId="77777777" w:rsidR="00D72561" w:rsidRPr="00D72561" w:rsidRDefault="00D72561" w:rsidP="00D72561">
      <w:r w:rsidRPr="00D72561">
        <w:pict w14:anchorId="792A35B7">
          <v:rect id="_x0000_i1127" style="width:0;height:1.5pt" o:hralign="center" o:hrstd="t" o:hr="t" fillcolor="#a0a0a0" stroked="f"/>
        </w:pict>
      </w:r>
    </w:p>
    <w:p w14:paraId="1024F37A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12. Internal Controls &amp; Documentation</w:t>
      </w:r>
    </w:p>
    <w:p w14:paraId="749D5AB2" w14:textId="77777777" w:rsidR="00D72561" w:rsidRPr="00D72561" w:rsidRDefault="00D72561" w:rsidP="00D72561">
      <w:r w:rsidRPr="00D72561">
        <w:t>Required for all U.S. operations:</w:t>
      </w:r>
    </w:p>
    <w:p w14:paraId="53AD5487" w14:textId="77777777" w:rsidR="00D72561" w:rsidRPr="00D72561" w:rsidRDefault="00D72561" w:rsidP="00D72561">
      <w:pPr>
        <w:numPr>
          <w:ilvl w:val="0"/>
          <w:numId w:val="23"/>
        </w:numPr>
      </w:pPr>
      <w:r w:rsidRPr="00D72561">
        <w:t>Centralized financial instrument register</w:t>
      </w:r>
    </w:p>
    <w:p w14:paraId="3B908E3E" w14:textId="77777777" w:rsidR="00D72561" w:rsidRPr="00D72561" w:rsidRDefault="00D72561" w:rsidP="00D72561">
      <w:pPr>
        <w:numPr>
          <w:ilvl w:val="0"/>
          <w:numId w:val="23"/>
        </w:numPr>
      </w:pPr>
      <w:r w:rsidRPr="00D72561">
        <w:lastRenderedPageBreak/>
        <w:t>Monthly fair value remeasurement for all derivatives</w:t>
      </w:r>
    </w:p>
    <w:p w14:paraId="33ADBA24" w14:textId="77777777" w:rsidR="00D72561" w:rsidRPr="00D72561" w:rsidRDefault="00D72561" w:rsidP="00D72561">
      <w:pPr>
        <w:numPr>
          <w:ilvl w:val="0"/>
          <w:numId w:val="23"/>
        </w:numPr>
      </w:pPr>
      <w:r w:rsidRPr="00D72561">
        <w:t>Quarterly impairment/ECL models with U.S. forward-looking inputs</w:t>
      </w:r>
    </w:p>
    <w:p w14:paraId="2ACAB3D9" w14:textId="77777777" w:rsidR="00D72561" w:rsidRPr="00D72561" w:rsidRDefault="00D72561" w:rsidP="00D72561">
      <w:pPr>
        <w:numPr>
          <w:ilvl w:val="0"/>
          <w:numId w:val="23"/>
        </w:numPr>
      </w:pPr>
      <w:r w:rsidRPr="00D72561">
        <w:t>Intercompany loan review process</w:t>
      </w:r>
    </w:p>
    <w:p w14:paraId="3D624B39" w14:textId="77777777" w:rsidR="00D72561" w:rsidRPr="00D72561" w:rsidRDefault="00D72561" w:rsidP="00D72561">
      <w:pPr>
        <w:numPr>
          <w:ilvl w:val="0"/>
          <w:numId w:val="23"/>
        </w:numPr>
      </w:pPr>
      <w:r w:rsidRPr="00D72561">
        <w:t>Hedge accounting documentation controls</w:t>
      </w:r>
    </w:p>
    <w:p w14:paraId="7EEC96CE" w14:textId="77777777" w:rsidR="00D72561" w:rsidRPr="00D72561" w:rsidRDefault="00D72561" w:rsidP="00D72561">
      <w:pPr>
        <w:numPr>
          <w:ilvl w:val="0"/>
          <w:numId w:val="23"/>
        </w:numPr>
      </w:pPr>
      <w:r w:rsidRPr="00D72561">
        <w:t>SOX-compliant segregation of duties</w:t>
      </w:r>
    </w:p>
    <w:p w14:paraId="55625984" w14:textId="77777777" w:rsidR="00D72561" w:rsidRPr="00D72561" w:rsidRDefault="00D72561" w:rsidP="00D72561">
      <w:pPr>
        <w:numPr>
          <w:ilvl w:val="0"/>
          <w:numId w:val="23"/>
        </w:numPr>
      </w:pPr>
      <w:r w:rsidRPr="00D72561">
        <w:t>Annual model validation and calibration</w:t>
      </w:r>
    </w:p>
    <w:p w14:paraId="39110062" w14:textId="77777777" w:rsidR="00D72561" w:rsidRPr="00D72561" w:rsidRDefault="00D72561" w:rsidP="00D72561">
      <w:pPr>
        <w:numPr>
          <w:ilvl w:val="0"/>
          <w:numId w:val="23"/>
        </w:numPr>
      </w:pPr>
      <w:r w:rsidRPr="00D72561">
        <w:t>Compliance with U.S. treasury management practices and banking laws</w:t>
      </w:r>
    </w:p>
    <w:p w14:paraId="5C488ADD" w14:textId="77777777" w:rsidR="00D72561" w:rsidRPr="00D72561" w:rsidRDefault="00D72561" w:rsidP="00D72561">
      <w:r w:rsidRPr="00D72561">
        <w:pict w14:anchorId="635BB480">
          <v:rect id="_x0000_i1128" style="width:0;height:1.5pt" o:hralign="center" o:hrstd="t" o:hr="t" fillcolor="#a0a0a0" stroked="f"/>
        </w:pict>
      </w:r>
    </w:p>
    <w:p w14:paraId="66042343" w14:textId="77777777" w:rsidR="00D72561" w:rsidRPr="00D72561" w:rsidRDefault="00D72561" w:rsidP="00D72561">
      <w:pPr>
        <w:rPr>
          <w:b/>
          <w:bCs/>
        </w:rPr>
      </w:pPr>
      <w:r w:rsidRPr="00D72561">
        <w:rPr>
          <w:b/>
          <w:bCs/>
        </w:rPr>
        <w:t>13. Effective Date</w:t>
      </w:r>
    </w:p>
    <w:p w14:paraId="47C9BF85" w14:textId="77777777" w:rsidR="00D72561" w:rsidRPr="00D72561" w:rsidRDefault="00D72561" w:rsidP="00D72561">
      <w:r w:rsidRPr="00D72561">
        <w:t>This policy is effective immediately. U.S. entities must apply its requirements to all new transactions and existing financial instruments on a prospective or retrospective basis as directed by group accounting.</w:t>
      </w:r>
    </w:p>
    <w:sectPr w:rsidR="00D72561" w:rsidRPr="00D72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E0235"/>
    <w:multiLevelType w:val="multilevel"/>
    <w:tmpl w:val="D4B8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6466C"/>
    <w:multiLevelType w:val="multilevel"/>
    <w:tmpl w:val="D98C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B66EB"/>
    <w:multiLevelType w:val="multilevel"/>
    <w:tmpl w:val="043C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911F8"/>
    <w:multiLevelType w:val="multilevel"/>
    <w:tmpl w:val="002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96CF9"/>
    <w:multiLevelType w:val="multilevel"/>
    <w:tmpl w:val="C14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B7B92"/>
    <w:multiLevelType w:val="multilevel"/>
    <w:tmpl w:val="B2E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25AD3"/>
    <w:multiLevelType w:val="multilevel"/>
    <w:tmpl w:val="36B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31CA2"/>
    <w:multiLevelType w:val="multilevel"/>
    <w:tmpl w:val="4A02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74CA4"/>
    <w:multiLevelType w:val="multilevel"/>
    <w:tmpl w:val="FD1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C227E"/>
    <w:multiLevelType w:val="multilevel"/>
    <w:tmpl w:val="FAAA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91084"/>
    <w:multiLevelType w:val="multilevel"/>
    <w:tmpl w:val="8F6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216C7"/>
    <w:multiLevelType w:val="multilevel"/>
    <w:tmpl w:val="FF1A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7142A"/>
    <w:multiLevelType w:val="multilevel"/>
    <w:tmpl w:val="8A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E4D78"/>
    <w:multiLevelType w:val="multilevel"/>
    <w:tmpl w:val="62A0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090091"/>
    <w:multiLevelType w:val="multilevel"/>
    <w:tmpl w:val="DBC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E1446"/>
    <w:multiLevelType w:val="multilevel"/>
    <w:tmpl w:val="F5C4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4F120E"/>
    <w:multiLevelType w:val="multilevel"/>
    <w:tmpl w:val="CF7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70875"/>
    <w:multiLevelType w:val="multilevel"/>
    <w:tmpl w:val="3F62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E77D0"/>
    <w:multiLevelType w:val="multilevel"/>
    <w:tmpl w:val="7D5E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53D53"/>
    <w:multiLevelType w:val="multilevel"/>
    <w:tmpl w:val="A34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55B32"/>
    <w:multiLevelType w:val="multilevel"/>
    <w:tmpl w:val="BEC2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F549C"/>
    <w:multiLevelType w:val="multilevel"/>
    <w:tmpl w:val="459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F0B12"/>
    <w:multiLevelType w:val="multilevel"/>
    <w:tmpl w:val="A14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654312">
    <w:abstractNumId w:val="5"/>
  </w:num>
  <w:num w:numId="2" w16cid:durableId="2055273">
    <w:abstractNumId w:val="1"/>
  </w:num>
  <w:num w:numId="3" w16cid:durableId="1257639586">
    <w:abstractNumId w:val="20"/>
  </w:num>
  <w:num w:numId="4" w16cid:durableId="156725509">
    <w:abstractNumId w:val="4"/>
  </w:num>
  <w:num w:numId="5" w16cid:durableId="2036617421">
    <w:abstractNumId w:val="3"/>
  </w:num>
  <w:num w:numId="6" w16cid:durableId="1606889295">
    <w:abstractNumId w:val="22"/>
  </w:num>
  <w:num w:numId="7" w16cid:durableId="1788235480">
    <w:abstractNumId w:val="7"/>
  </w:num>
  <w:num w:numId="8" w16cid:durableId="892423387">
    <w:abstractNumId w:val="0"/>
  </w:num>
  <w:num w:numId="9" w16cid:durableId="1585333383">
    <w:abstractNumId w:val="14"/>
  </w:num>
  <w:num w:numId="10" w16cid:durableId="992443197">
    <w:abstractNumId w:val="9"/>
  </w:num>
  <w:num w:numId="11" w16cid:durableId="1291326278">
    <w:abstractNumId w:val="8"/>
  </w:num>
  <w:num w:numId="12" w16cid:durableId="1740592062">
    <w:abstractNumId w:val="6"/>
  </w:num>
  <w:num w:numId="13" w16cid:durableId="1956449254">
    <w:abstractNumId w:val="18"/>
  </w:num>
  <w:num w:numId="14" w16cid:durableId="956107490">
    <w:abstractNumId w:val="11"/>
  </w:num>
  <w:num w:numId="15" w16cid:durableId="2114549216">
    <w:abstractNumId w:val="13"/>
  </w:num>
  <w:num w:numId="16" w16cid:durableId="15664145">
    <w:abstractNumId w:val="16"/>
  </w:num>
  <w:num w:numId="17" w16cid:durableId="539824729">
    <w:abstractNumId w:val="12"/>
  </w:num>
  <w:num w:numId="18" w16cid:durableId="1037583156">
    <w:abstractNumId w:val="2"/>
  </w:num>
  <w:num w:numId="19" w16cid:durableId="1214730847">
    <w:abstractNumId w:val="21"/>
  </w:num>
  <w:num w:numId="20" w16cid:durableId="1666781709">
    <w:abstractNumId w:val="15"/>
  </w:num>
  <w:num w:numId="21" w16cid:durableId="2083982852">
    <w:abstractNumId w:val="10"/>
  </w:num>
  <w:num w:numId="22" w16cid:durableId="61099485">
    <w:abstractNumId w:val="17"/>
  </w:num>
  <w:num w:numId="23" w16cid:durableId="2975382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61"/>
    <w:rsid w:val="007379C5"/>
    <w:rsid w:val="007F15B6"/>
    <w:rsid w:val="00D119AC"/>
    <w:rsid w:val="00D7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AE95"/>
  <w15:chartTrackingRefBased/>
  <w15:docId w15:val="{BCF856BB-8B94-4306-BAD2-AA46A8DDC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87FB8A11048E4EBD62242F9892B7D2" ma:contentTypeVersion="3" ma:contentTypeDescription="Create a new document." ma:contentTypeScope="" ma:versionID="394d1f17ab50b167fd1c9bdf83a70e96">
  <xsd:schema xmlns:xsd="http://www.w3.org/2001/XMLSchema" xmlns:xs="http://www.w3.org/2001/XMLSchema" xmlns:p="http://schemas.microsoft.com/office/2006/metadata/properties" xmlns:ns2="1f68a0f6-12ba-43bc-af29-28e621509147" targetNamespace="http://schemas.microsoft.com/office/2006/metadata/properties" ma:root="true" ma:fieldsID="e30850b013ddcf4a47f8c418a9d2d3ec" ns2:_="">
    <xsd:import namespace="1f68a0f6-12ba-43bc-af29-28e62150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68a0f6-12ba-43bc-af29-28e621509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7C7CC0-6E81-4706-87A1-BD3D79724185}"/>
</file>

<file path=customXml/itemProps2.xml><?xml version="1.0" encoding="utf-8"?>
<ds:datastoreItem xmlns:ds="http://schemas.openxmlformats.org/officeDocument/2006/customXml" ds:itemID="{059A1C09-F187-4912-BC31-DCEA13CD6838}"/>
</file>

<file path=customXml/itemProps3.xml><?xml version="1.0" encoding="utf-8"?>
<ds:datastoreItem xmlns:ds="http://schemas.openxmlformats.org/officeDocument/2006/customXml" ds:itemID="{8FD84398-E050-4828-8D5B-75071FC6F7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1107</Words>
  <Characters>6313</Characters>
  <Application>Microsoft Office Word</Application>
  <DocSecurity>0</DocSecurity>
  <Lines>52</Lines>
  <Paragraphs>14</Paragraphs>
  <ScaleCrop>false</ScaleCrop>
  <Company>EY</Company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Khoji</dc:creator>
  <cp:keywords/>
  <dc:description/>
  <cp:lastModifiedBy>Himanshu Khoji</cp:lastModifiedBy>
  <cp:revision>1</cp:revision>
  <dcterms:created xsi:type="dcterms:W3CDTF">2025-12-01T07:43:00Z</dcterms:created>
  <dcterms:modified xsi:type="dcterms:W3CDTF">2025-12-01T07:44:00Z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0x010100AF87FB8A11048E4EBD62242F9892B7D2</vt:lpwstr>
  </property>
</Properties>
</file>