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6163" w14:textId="44356E48" w:rsidR="00B32982" w:rsidRPr="00B32982" w:rsidRDefault="00B32982" w:rsidP="00B32982"/>
    <w:p w14:paraId="6E31EF6D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REVENUE RECOGNITION POLICY (IFRS 15)</w:t>
      </w:r>
    </w:p>
    <w:p w14:paraId="0CBB07FC" w14:textId="77777777" w:rsidR="00B32982" w:rsidRPr="00B32982" w:rsidRDefault="00B32982" w:rsidP="00B32982">
      <w:r w:rsidRPr="00B32982">
        <w:rPr>
          <w:b/>
          <w:bCs/>
        </w:rPr>
        <w:t>Effective Date:</w:t>
      </w:r>
      <w:r w:rsidRPr="00B32982">
        <w:t xml:space="preserve"> _______________</w:t>
      </w:r>
      <w:r w:rsidRPr="00B32982">
        <w:br/>
      </w:r>
      <w:r w:rsidRPr="00B32982">
        <w:rPr>
          <w:b/>
          <w:bCs/>
        </w:rPr>
        <w:t>Approved By:</w:t>
      </w:r>
      <w:r w:rsidRPr="00B32982">
        <w:t xml:space="preserve"> _______________</w:t>
      </w:r>
      <w:r w:rsidRPr="00B32982">
        <w:br/>
      </w:r>
      <w:r w:rsidRPr="00B32982">
        <w:rPr>
          <w:b/>
          <w:bCs/>
        </w:rPr>
        <w:t>Applies To:</w:t>
      </w:r>
      <w:r w:rsidRPr="00B32982">
        <w:t xml:space="preserve"> All U.S. business units and subsidiaries reporting under IFRS</w:t>
      </w:r>
    </w:p>
    <w:p w14:paraId="7E2E0ADC" w14:textId="77777777" w:rsidR="00B32982" w:rsidRPr="00B32982" w:rsidRDefault="00B32982" w:rsidP="00B32982">
      <w:r w:rsidRPr="00B32982">
        <w:pict w14:anchorId="6014B07D">
          <v:rect id="_x0000_i1128" style="width:0;height:1.5pt" o:hralign="center" o:hrstd="t" o:hr="t" fillcolor="#a0a0a0" stroked="f"/>
        </w:pict>
      </w:r>
    </w:p>
    <w:p w14:paraId="4763A297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1. Purpose</w:t>
      </w:r>
    </w:p>
    <w:p w14:paraId="546160AF" w14:textId="77777777" w:rsidR="00B32982" w:rsidRPr="00B32982" w:rsidRDefault="00B32982" w:rsidP="00B32982">
      <w:r w:rsidRPr="00B32982">
        <w:t xml:space="preserve">This policy establishes the principles and procedures for recognizing revenue in accordance with </w:t>
      </w:r>
      <w:r w:rsidRPr="00B32982">
        <w:rPr>
          <w:b/>
          <w:bCs/>
        </w:rPr>
        <w:t>IFRS 15 – Revenue from Contracts with Customers</w:t>
      </w:r>
      <w:r w:rsidRPr="00B32982">
        <w:t xml:space="preserve"> for all U.S. entities within the Company. It ensures:</w:t>
      </w:r>
    </w:p>
    <w:p w14:paraId="36C6EDA5" w14:textId="77777777" w:rsidR="00B32982" w:rsidRPr="00B32982" w:rsidRDefault="00B32982" w:rsidP="00B32982">
      <w:pPr>
        <w:numPr>
          <w:ilvl w:val="0"/>
          <w:numId w:val="1"/>
        </w:numPr>
      </w:pPr>
      <w:r w:rsidRPr="00B32982">
        <w:t>Consistent application of IFRS 15’s five-step revenue model</w:t>
      </w:r>
    </w:p>
    <w:p w14:paraId="0897A524" w14:textId="77777777" w:rsidR="00B32982" w:rsidRPr="00B32982" w:rsidRDefault="00B32982" w:rsidP="00B32982">
      <w:pPr>
        <w:numPr>
          <w:ilvl w:val="0"/>
          <w:numId w:val="1"/>
        </w:numPr>
      </w:pPr>
      <w:r w:rsidRPr="00B32982">
        <w:t>Compliance with IFRS reporting requirements for global consolidation</w:t>
      </w:r>
    </w:p>
    <w:p w14:paraId="3CA71385" w14:textId="77777777" w:rsidR="00B32982" w:rsidRPr="00B32982" w:rsidRDefault="00B32982" w:rsidP="00B32982">
      <w:pPr>
        <w:numPr>
          <w:ilvl w:val="0"/>
          <w:numId w:val="1"/>
        </w:numPr>
      </w:pPr>
      <w:r w:rsidRPr="00B32982">
        <w:t>Alignment with U.S. regulatory expectations (e.g., internal control requirements under SOX 404)</w:t>
      </w:r>
    </w:p>
    <w:p w14:paraId="70A4AD0E" w14:textId="77777777" w:rsidR="00B32982" w:rsidRPr="00B32982" w:rsidRDefault="00B32982" w:rsidP="00B32982">
      <w:pPr>
        <w:numPr>
          <w:ilvl w:val="0"/>
          <w:numId w:val="1"/>
        </w:numPr>
      </w:pPr>
      <w:r w:rsidRPr="00B32982">
        <w:t>Transparent and auditable revenue reporting</w:t>
      </w:r>
    </w:p>
    <w:p w14:paraId="788FE6D2" w14:textId="77777777" w:rsidR="00B32982" w:rsidRPr="00B32982" w:rsidRDefault="00B32982" w:rsidP="00B32982">
      <w:r w:rsidRPr="00B32982">
        <w:pict w14:anchorId="14C39E0E">
          <v:rect id="_x0000_i1129" style="width:0;height:1.5pt" o:hralign="center" o:hrstd="t" o:hr="t" fillcolor="#a0a0a0" stroked="f"/>
        </w:pict>
      </w:r>
    </w:p>
    <w:p w14:paraId="4397067E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2. Scope</w:t>
      </w:r>
    </w:p>
    <w:p w14:paraId="13E0E186" w14:textId="77777777" w:rsidR="00B32982" w:rsidRPr="00B32982" w:rsidRDefault="00B32982" w:rsidP="00B32982">
      <w:r w:rsidRPr="00B32982">
        <w:t xml:space="preserve">This policy applies to </w:t>
      </w:r>
      <w:r w:rsidRPr="00B32982">
        <w:rPr>
          <w:b/>
          <w:bCs/>
        </w:rPr>
        <w:t>all revenue-generating activities</w:t>
      </w:r>
      <w:r w:rsidRPr="00B32982">
        <w:t>, including but not limited to:</w:t>
      </w:r>
    </w:p>
    <w:p w14:paraId="35388BAD" w14:textId="77777777" w:rsidR="00B32982" w:rsidRPr="00B32982" w:rsidRDefault="00B32982" w:rsidP="00B32982">
      <w:pPr>
        <w:numPr>
          <w:ilvl w:val="0"/>
          <w:numId w:val="2"/>
        </w:numPr>
      </w:pPr>
      <w:r w:rsidRPr="00B32982">
        <w:t>Sale of goods</w:t>
      </w:r>
    </w:p>
    <w:p w14:paraId="555335F3" w14:textId="77777777" w:rsidR="00B32982" w:rsidRPr="00B32982" w:rsidRDefault="00B32982" w:rsidP="00B32982">
      <w:pPr>
        <w:numPr>
          <w:ilvl w:val="0"/>
          <w:numId w:val="2"/>
        </w:numPr>
      </w:pPr>
      <w:r w:rsidRPr="00B32982">
        <w:t>Provision of services</w:t>
      </w:r>
    </w:p>
    <w:p w14:paraId="74499DC4" w14:textId="77777777" w:rsidR="00B32982" w:rsidRPr="00B32982" w:rsidRDefault="00B32982" w:rsidP="00B32982">
      <w:pPr>
        <w:numPr>
          <w:ilvl w:val="0"/>
          <w:numId w:val="2"/>
        </w:numPr>
      </w:pPr>
      <w:r w:rsidRPr="00B32982">
        <w:t>Software licensing, SaaS, and cloud arrangements</w:t>
      </w:r>
    </w:p>
    <w:p w14:paraId="47365706" w14:textId="77777777" w:rsidR="00B32982" w:rsidRPr="00B32982" w:rsidRDefault="00B32982" w:rsidP="00B32982">
      <w:pPr>
        <w:numPr>
          <w:ilvl w:val="0"/>
          <w:numId w:val="2"/>
        </w:numPr>
      </w:pPr>
      <w:r w:rsidRPr="00B32982">
        <w:t>Construction, manufacturing, and long-term projects</w:t>
      </w:r>
    </w:p>
    <w:p w14:paraId="0AB54D89" w14:textId="77777777" w:rsidR="00B32982" w:rsidRPr="00B32982" w:rsidRDefault="00B32982" w:rsidP="00B32982">
      <w:pPr>
        <w:numPr>
          <w:ilvl w:val="0"/>
          <w:numId w:val="2"/>
        </w:numPr>
      </w:pPr>
      <w:r w:rsidRPr="00B32982">
        <w:t>Bundled or multi-element arrangements</w:t>
      </w:r>
    </w:p>
    <w:p w14:paraId="686C37C4" w14:textId="77777777" w:rsidR="00B32982" w:rsidRPr="00B32982" w:rsidRDefault="00B32982" w:rsidP="00B32982">
      <w:pPr>
        <w:numPr>
          <w:ilvl w:val="0"/>
          <w:numId w:val="2"/>
        </w:numPr>
      </w:pPr>
      <w:r w:rsidRPr="00B32982">
        <w:t>Variable and usage-based fee structures</w:t>
      </w:r>
    </w:p>
    <w:p w14:paraId="1AA4407C" w14:textId="77777777" w:rsidR="00B32982" w:rsidRPr="00B32982" w:rsidRDefault="00B32982" w:rsidP="00B32982">
      <w:pPr>
        <w:numPr>
          <w:ilvl w:val="0"/>
          <w:numId w:val="2"/>
        </w:numPr>
      </w:pPr>
      <w:r w:rsidRPr="00B32982">
        <w:t>Contract modifications</w:t>
      </w:r>
    </w:p>
    <w:p w14:paraId="2A4A8634" w14:textId="77777777" w:rsidR="00B32982" w:rsidRPr="00B32982" w:rsidRDefault="00B32982" w:rsidP="00B32982">
      <w:r w:rsidRPr="00B32982">
        <w:t>Excluded from this policy:</w:t>
      </w:r>
    </w:p>
    <w:p w14:paraId="080B325D" w14:textId="77777777" w:rsidR="00B32982" w:rsidRPr="00B32982" w:rsidRDefault="00B32982" w:rsidP="00B32982">
      <w:pPr>
        <w:numPr>
          <w:ilvl w:val="0"/>
          <w:numId w:val="3"/>
        </w:numPr>
      </w:pPr>
      <w:r w:rsidRPr="00B32982">
        <w:t>Lease income (IFRS 16)</w:t>
      </w:r>
    </w:p>
    <w:p w14:paraId="3097D97A" w14:textId="77777777" w:rsidR="00B32982" w:rsidRPr="00B32982" w:rsidRDefault="00B32982" w:rsidP="00B32982">
      <w:pPr>
        <w:numPr>
          <w:ilvl w:val="0"/>
          <w:numId w:val="3"/>
        </w:numPr>
      </w:pPr>
      <w:r w:rsidRPr="00B32982">
        <w:t>Insurance contracts (IFRS 17)</w:t>
      </w:r>
    </w:p>
    <w:p w14:paraId="4C7EDFEE" w14:textId="77777777" w:rsidR="00B32982" w:rsidRPr="00B32982" w:rsidRDefault="00B32982" w:rsidP="00B32982">
      <w:pPr>
        <w:numPr>
          <w:ilvl w:val="0"/>
          <w:numId w:val="3"/>
        </w:numPr>
      </w:pPr>
      <w:r w:rsidRPr="00B32982">
        <w:t>Financial instruments (IFRS 9)</w:t>
      </w:r>
    </w:p>
    <w:p w14:paraId="3A6199A8" w14:textId="77777777" w:rsidR="00B32982" w:rsidRPr="00B32982" w:rsidRDefault="00B32982" w:rsidP="00B32982">
      <w:pPr>
        <w:numPr>
          <w:ilvl w:val="0"/>
          <w:numId w:val="3"/>
        </w:numPr>
      </w:pPr>
      <w:r w:rsidRPr="00B32982">
        <w:lastRenderedPageBreak/>
        <w:t>Government grants (IAS 20)</w:t>
      </w:r>
    </w:p>
    <w:p w14:paraId="4D50A6F6" w14:textId="77777777" w:rsidR="00B32982" w:rsidRPr="00B32982" w:rsidRDefault="00B32982" w:rsidP="00B32982">
      <w:r w:rsidRPr="00B32982">
        <w:pict w14:anchorId="2F932F1E">
          <v:rect id="_x0000_i1130" style="width:0;height:1.5pt" o:hralign="center" o:hrstd="t" o:hr="t" fillcolor="#a0a0a0" stroked="f"/>
        </w:pict>
      </w:r>
    </w:p>
    <w:p w14:paraId="2A21F88C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3. Core Principle of IFRS 15</w:t>
      </w:r>
    </w:p>
    <w:p w14:paraId="7448C9C7" w14:textId="77777777" w:rsidR="00B32982" w:rsidRPr="00B32982" w:rsidRDefault="00B32982" w:rsidP="00B32982">
      <w:r w:rsidRPr="00B32982">
        <w:t xml:space="preserve">Revenue is recognized in a manner that </w:t>
      </w:r>
      <w:r w:rsidRPr="00B32982">
        <w:rPr>
          <w:b/>
          <w:bCs/>
        </w:rPr>
        <w:t>depicts the transfer of promised goods or services</w:t>
      </w:r>
      <w:r w:rsidRPr="00B32982">
        <w:t xml:space="preserve"> to customers </w:t>
      </w:r>
      <w:r w:rsidRPr="00B32982">
        <w:rPr>
          <w:b/>
          <w:bCs/>
        </w:rPr>
        <w:t>in an amount that reflects the consideration</w:t>
      </w:r>
      <w:r w:rsidRPr="00B32982">
        <w:t xml:space="preserve"> to which the Company expects to be entitled.</w:t>
      </w:r>
    </w:p>
    <w:p w14:paraId="2771DCF8" w14:textId="77777777" w:rsidR="00B32982" w:rsidRPr="00B32982" w:rsidRDefault="00B32982" w:rsidP="00B32982">
      <w:r w:rsidRPr="00B32982">
        <w:pict w14:anchorId="3C8355EF">
          <v:rect id="_x0000_i1131" style="width:0;height:1.5pt" o:hralign="center" o:hrstd="t" o:hr="t" fillcolor="#a0a0a0" stroked="f"/>
        </w:pict>
      </w:r>
    </w:p>
    <w:p w14:paraId="5636CB5E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4. The Five-Step Revenue Model</w:t>
      </w:r>
    </w:p>
    <w:p w14:paraId="0F24B49C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Step 1 – Identify the Contract with the Customer</w:t>
      </w:r>
    </w:p>
    <w:p w14:paraId="0E3187E3" w14:textId="77777777" w:rsidR="00B32982" w:rsidRPr="00B32982" w:rsidRDefault="00B32982" w:rsidP="00B32982">
      <w:r w:rsidRPr="00B32982">
        <w:t>A contract exists when all the following criteria are met:</w:t>
      </w:r>
    </w:p>
    <w:p w14:paraId="1D36C052" w14:textId="77777777" w:rsidR="00B32982" w:rsidRPr="00B32982" w:rsidRDefault="00B32982" w:rsidP="00B32982">
      <w:pPr>
        <w:numPr>
          <w:ilvl w:val="0"/>
          <w:numId w:val="4"/>
        </w:numPr>
      </w:pPr>
      <w:r w:rsidRPr="00B32982">
        <w:t xml:space="preserve">The contract is </w:t>
      </w:r>
      <w:r w:rsidRPr="00B32982">
        <w:rPr>
          <w:b/>
          <w:bCs/>
        </w:rPr>
        <w:t>approved</w:t>
      </w:r>
      <w:r w:rsidRPr="00B32982">
        <w:t xml:space="preserve"> (written, electronic, or verbal where enforceable under U.S. law).</w:t>
      </w:r>
    </w:p>
    <w:p w14:paraId="587CCDBF" w14:textId="77777777" w:rsidR="00B32982" w:rsidRPr="00B32982" w:rsidRDefault="00B32982" w:rsidP="00B32982">
      <w:pPr>
        <w:numPr>
          <w:ilvl w:val="0"/>
          <w:numId w:val="4"/>
        </w:numPr>
      </w:pPr>
      <w:r w:rsidRPr="00B32982">
        <w:t xml:space="preserve">Each party’s rights regarding goods or services can be </w:t>
      </w:r>
      <w:r w:rsidRPr="00B32982">
        <w:rPr>
          <w:b/>
          <w:bCs/>
        </w:rPr>
        <w:t>identified</w:t>
      </w:r>
      <w:r w:rsidRPr="00B32982">
        <w:t>.</w:t>
      </w:r>
    </w:p>
    <w:p w14:paraId="46EE0EEC" w14:textId="77777777" w:rsidR="00B32982" w:rsidRPr="00B32982" w:rsidRDefault="00B32982" w:rsidP="00B32982">
      <w:pPr>
        <w:numPr>
          <w:ilvl w:val="0"/>
          <w:numId w:val="4"/>
        </w:numPr>
      </w:pPr>
      <w:r w:rsidRPr="00B32982">
        <w:t xml:space="preserve">Payment terms can be </w:t>
      </w:r>
      <w:r w:rsidRPr="00B32982">
        <w:rPr>
          <w:b/>
          <w:bCs/>
        </w:rPr>
        <w:t>identified</w:t>
      </w:r>
      <w:r w:rsidRPr="00B32982">
        <w:t>.</w:t>
      </w:r>
    </w:p>
    <w:p w14:paraId="35BF5B36" w14:textId="77777777" w:rsidR="00B32982" w:rsidRPr="00B32982" w:rsidRDefault="00B32982" w:rsidP="00B32982">
      <w:pPr>
        <w:numPr>
          <w:ilvl w:val="0"/>
          <w:numId w:val="4"/>
        </w:numPr>
      </w:pPr>
      <w:r w:rsidRPr="00B32982">
        <w:t xml:space="preserve">The contract has </w:t>
      </w:r>
      <w:r w:rsidRPr="00B32982">
        <w:rPr>
          <w:b/>
          <w:bCs/>
        </w:rPr>
        <w:t>commercial substance</w:t>
      </w:r>
      <w:r w:rsidRPr="00B32982">
        <w:t>.</w:t>
      </w:r>
    </w:p>
    <w:p w14:paraId="091AFA8A" w14:textId="77777777" w:rsidR="00B32982" w:rsidRPr="00B32982" w:rsidRDefault="00B32982" w:rsidP="00B32982">
      <w:pPr>
        <w:numPr>
          <w:ilvl w:val="0"/>
          <w:numId w:val="4"/>
        </w:numPr>
      </w:pPr>
      <w:r w:rsidRPr="00B32982">
        <w:t xml:space="preserve">Collection is </w:t>
      </w:r>
      <w:r w:rsidRPr="00B32982">
        <w:rPr>
          <w:b/>
          <w:bCs/>
        </w:rPr>
        <w:t>probable</w:t>
      </w:r>
      <w:r w:rsidRPr="00B32982">
        <w:t xml:space="preserve"> (based on U.S. credit practices and historical experience).</w:t>
      </w:r>
    </w:p>
    <w:p w14:paraId="6B0A4464" w14:textId="77777777" w:rsidR="00B32982" w:rsidRPr="00B32982" w:rsidRDefault="00B32982" w:rsidP="00B32982">
      <w:r w:rsidRPr="00B32982">
        <w:rPr>
          <w:b/>
          <w:bCs/>
        </w:rPr>
        <w:t>U.S.-specific considerations:</w:t>
      </w:r>
    </w:p>
    <w:p w14:paraId="03EE9C61" w14:textId="77777777" w:rsidR="00B32982" w:rsidRPr="00B32982" w:rsidRDefault="00B32982" w:rsidP="00B32982">
      <w:pPr>
        <w:numPr>
          <w:ilvl w:val="0"/>
          <w:numId w:val="5"/>
        </w:numPr>
      </w:pPr>
      <w:r w:rsidRPr="00B32982">
        <w:t xml:space="preserve">Enforceability is assessed under </w:t>
      </w:r>
      <w:r w:rsidRPr="00B32982">
        <w:rPr>
          <w:b/>
          <w:bCs/>
        </w:rPr>
        <w:t>applicable U.S. federal and state contract law</w:t>
      </w:r>
      <w:r w:rsidRPr="00B32982">
        <w:t>.</w:t>
      </w:r>
    </w:p>
    <w:p w14:paraId="73F1E604" w14:textId="77777777" w:rsidR="00B32982" w:rsidRPr="00B32982" w:rsidRDefault="00B32982" w:rsidP="00B32982">
      <w:pPr>
        <w:numPr>
          <w:ilvl w:val="0"/>
          <w:numId w:val="5"/>
        </w:numPr>
      </w:pPr>
      <w:r w:rsidRPr="00B32982">
        <w:t>Master Service Agreements (MSAs) require documented work orders or statements of work to be considered enforceable contracts.</w:t>
      </w:r>
    </w:p>
    <w:p w14:paraId="22120ACF" w14:textId="77777777" w:rsidR="00B32982" w:rsidRPr="00B32982" w:rsidRDefault="00B32982" w:rsidP="00B32982">
      <w:pPr>
        <w:numPr>
          <w:ilvl w:val="0"/>
          <w:numId w:val="5"/>
        </w:numPr>
      </w:pPr>
      <w:r w:rsidRPr="00B32982">
        <w:t>U.S. customary practices such as acceptance clauses or right-of-return laws (e.g., state consumer laws) must be evaluated.</w:t>
      </w:r>
    </w:p>
    <w:p w14:paraId="29357BA5" w14:textId="77777777" w:rsidR="00B32982" w:rsidRPr="00B32982" w:rsidRDefault="00B32982" w:rsidP="00B32982">
      <w:r w:rsidRPr="00B32982">
        <w:pict w14:anchorId="158488F8">
          <v:rect id="_x0000_i1132" style="width:0;height:1.5pt" o:hralign="center" o:hrstd="t" o:hr="t" fillcolor="#a0a0a0" stroked="f"/>
        </w:pict>
      </w:r>
    </w:p>
    <w:p w14:paraId="03D5379F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Step 2 – Identify the Performance Obligations</w:t>
      </w:r>
    </w:p>
    <w:p w14:paraId="25C37799" w14:textId="77777777" w:rsidR="00B32982" w:rsidRPr="00B32982" w:rsidRDefault="00B32982" w:rsidP="00B32982">
      <w:r w:rsidRPr="00B32982">
        <w:t xml:space="preserve">Performance obligations are the </w:t>
      </w:r>
      <w:r w:rsidRPr="00B32982">
        <w:rPr>
          <w:b/>
          <w:bCs/>
        </w:rPr>
        <w:t>distinct</w:t>
      </w:r>
      <w:r w:rsidRPr="00B32982">
        <w:t xml:space="preserve"> goods or services promised in a contract.</w:t>
      </w:r>
    </w:p>
    <w:p w14:paraId="56D00232" w14:textId="77777777" w:rsidR="00B32982" w:rsidRPr="00B32982" w:rsidRDefault="00B32982" w:rsidP="00B32982">
      <w:r w:rsidRPr="00B32982">
        <w:t>Criteria for distinctiveness:</w:t>
      </w:r>
    </w:p>
    <w:p w14:paraId="04F11B4C" w14:textId="77777777" w:rsidR="00B32982" w:rsidRPr="00B32982" w:rsidRDefault="00B32982" w:rsidP="00B32982">
      <w:pPr>
        <w:numPr>
          <w:ilvl w:val="0"/>
          <w:numId w:val="6"/>
        </w:numPr>
      </w:pPr>
      <w:r w:rsidRPr="00B32982">
        <w:t>Customer can benefit from the good/service on its own or with readily available resources.</w:t>
      </w:r>
    </w:p>
    <w:p w14:paraId="30B0F200" w14:textId="77777777" w:rsidR="00B32982" w:rsidRPr="00B32982" w:rsidRDefault="00B32982" w:rsidP="00B32982">
      <w:pPr>
        <w:numPr>
          <w:ilvl w:val="0"/>
          <w:numId w:val="6"/>
        </w:numPr>
      </w:pPr>
      <w:r w:rsidRPr="00B32982">
        <w:lastRenderedPageBreak/>
        <w:t>Promise is separately identifiable from other promises.</w:t>
      </w:r>
    </w:p>
    <w:p w14:paraId="0F40B71B" w14:textId="77777777" w:rsidR="00B32982" w:rsidRPr="00B32982" w:rsidRDefault="00B32982" w:rsidP="00B32982">
      <w:r w:rsidRPr="00B32982">
        <w:rPr>
          <w:b/>
          <w:bCs/>
        </w:rPr>
        <w:t>Common U.S. examples:</w:t>
      </w:r>
    </w:p>
    <w:p w14:paraId="40BD36C3" w14:textId="77777777" w:rsidR="00B32982" w:rsidRPr="00B32982" w:rsidRDefault="00B32982" w:rsidP="00B32982">
      <w:pPr>
        <w:numPr>
          <w:ilvl w:val="0"/>
          <w:numId w:val="7"/>
        </w:numPr>
      </w:pPr>
      <w:r w:rsidRPr="00B32982">
        <w:t>Software license vs. post-contract customer support</w:t>
      </w:r>
    </w:p>
    <w:p w14:paraId="35EABA45" w14:textId="77777777" w:rsidR="00B32982" w:rsidRPr="00B32982" w:rsidRDefault="00B32982" w:rsidP="00B32982">
      <w:pPr>
        <w:numPr>
          <w:ilvl w:val="0"/>
          <w:numId w:val="7"/>
        </w:numPr>
      </w:pPr>
      <w:r w:rsidRPr="00B32982">
        <w:t>Hardware + installation</w:t>
      </w:r>
    </w:p>
    <w:p w14:paraId="08F8C455" w14:textId="77777777" w:rsidR="00B32982" w:rsidRPr="00B32982" w:rsidRDefault="00B32982" w:rsidP="00B32982">
      <w:pPr>
        <w:numPr>
          <w:ilvl w:val="0"/>
          <w:numId w:val="7"/>
        </w:numPr>
      </w:pPr>
      <w:r w:rsidRPr="00B32982">
        <w:t>SaaS subscriptions + optional training</w:t>
      </w:r>
    </w:p>
    <w:p w14:paraId="4A90AD7F" w14:textId="77777777" w:rsidR="00B32982" w:rsidRPr="00B32982" w:rsidRDefault="00B32982" w:rsidP="00B32982">
      <w:pPr>
        <w:numPr>
          <w:ilvl w:val="0"/>
          <w:numId w:val="7"/>
        </w:numPr>
      </w:pPr>
      <w:r w:rsidRPr="00B32982">
        <w:t>Goods + extended warranty</w:t>
      </w:r>
    </w:p>
    <w:p w14:paraId="2B5CB8F4" w14:textId="77777777" w:rsidR="00B32982" w:rsidRPr="00B32982" w:rsidRDefault="00B32982" w:rsidP="00B32982">
      <w:r w:rsidRPr="00B32982">
        <w:rPr>
          <w:b/>
          <w:bCs/>
        </w:rPr>
        <w:t>Policy requirement:</w:t>
      </w:r>
      <w:r w:rsidRPr="00B32982">
        <w:br/>
        <w:t xml:space="preserve">All U.S. business units must prepare a </w:t>
      </w:r>
      <w:r w:rsidRPr="00B32982">
        <w:rPr>
          <w:b/>
          <w:bCs/>
        </w:rPr>
        <w:t>performance obligation checklist</w:t>
      </w:r>
      <w:r w:rsidRPr="00B32982">
        <w:t xml:space="preserve"> for each revenue stream.</w:t>
      </w:r>
    </w:p>
    <w:p w14:paraId="1F303DFC" w14:textId="77777777" w:rsidR="00B32982" w:rsidRPr="00B32982" w:rsidRDefault="00B32982" w:rsidP="00B32982">
      <w:r w:rsidRPr="00B32982">
        <w:pict w14:anchorId="18874F17">
          <v:rect id="_x0000_i1133" style="width:0;height:1.5pt" o:hralign="center" o:hrstd="t" o:hr="t" fillcolor="#a0a0a0" stroked="f"/>
        </w:pict>
      </w:r>
    </w:p>
    <w:p w14:paraId="18C6C21E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Step 3 – Determine the Transaction Price</w:t>
      </w:r>
    </w:p>
    <w:p w14:paraId="1C11BD03" w14:textId="77777777" w:rsidR="00B32982" w:rsidRPr="00B32982" w:rsidRDefault="00B32982" w:rsidP="00B32982">
      <w:r w:rsidRPr="00B32982">
        <w:t>The transaction price includes fixed and variable amounts.</w:t>
      </w:r>
    </w:p>
    <w:p w14:paraId="6F8CD3D5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Variable consideration</w:t>
      </w:r>
    </w:p>
    <w:p w14:paraId="08A797FB" w14:textId="77777777" w:rsidR="00B32982" w:rsidRPr="00B32982" w:rsidRDefault="00B32982" w:rsidP="00B32982">
      <w:r w:rsidRPr="00B32982">
        <w:t>Includes:</w:t>
      </w:r>
    </w:p>
    <w:p w14:paraId="207E2691" w14:textId="77777777" w:rsidR="00B32982" w:rsidRPr="00B32982" w:rsidRDefault="00B32982" w:rsidP="00B32982">
      <w:pPr>
        <w:numPr>
          <w:ilvl w:val="0"/>
          <w:numId w:val="8"/>
        </w:numPr>
      </w:pPr>
      <w:r w:rsidRPr="00B32982">
        <w:t>Discounts, rebates, incentives</w:t>
      </w:r>
    </w:p>
    <w:p w14:paraId="229A4CDD" w14:textId="77777777" w:rsidR="00B32982" w:rsidRPr="00B32982" w:rsidRDefault="00B32982" w:rsidP="00B32982">
      <w:pPr>
        <w:numPr>
          <w:ilvl w:val="0"/>
          <w:numId w:val="8"/>
        </w:numPr>
      </w:pPr>
      <w:r w:rsidRPr="00B32982">
        <w:t>Performance bonuses</w:t>
      </w:r>
    </w:p>
    <w:p w14:paraId="14837901" w14:textId="77777777" w:rsidR="00B32982" w:rsidRPr="00B32982" w:rsidRDefault="00B32982" w:rsidP="00B32982">
      <w:pPr>
        <w:numPr>
          <w:ilvl w:val="0"/>
          <w:numId w:val="8"/>
        </w:numPr>
      </w:pPr>
      <w:r w:rsidRPr="00B32982">
        <w:t>Usage-based or sales-based fees</w:t>
      </w:r>
    </w:p>
    <w:p w14:paraId="12C5D01E" w14:textId="77777777" w:rsidR="00B32982" w:rsidRPr="00B32982" w:rsidRDefault="00B32982" w:rsidP="00B32982">
      <w:pPr>
        <w:numPr>
          <w:ilvl w:val="0"/>
          <w:numId w:val="8"/>
        </w:numPr>
      </w:pPr>
      <w:r w:rsidRPr="00B32982">
        <w:t>Price concessions common in U.S. commercial contracting</w:t>
      </w:r>
    </w:p>
    <w:p w14:paraId="49CDBD94" w14:textId="77777777" w:rsidR="00B32982" w:rsidRPr="00B32982" w:rsidRDefault="00B32982" w:rsidP="00B32982">
      <w:r w:rsidRPr="00B32982">
        <w:t>Company must use either:</w:t>
      </w:r>
    </w:p>
    <w:p w14:paraId="74EEB6D2" w14:textId="77777777" w:rsidR="00B32982" w:rsidRPr="00B32982" w:rsidRDefault="00B32982" w:rsidP="00B32982">
      <w:pPr>
        <w:numPr>
          <w:ilvl w:val="0"/>
          <w:numId w:val="9"/>
        </w:numPr>
      </w:pPr>
      <w:r w:rsidRPr="00B32982">
        <w:rPr>
          <w:b/>
          <w:bCs/>
        </w:rPr>
        <w:t>Expected value method</w:t>
      </w:r>
      <w:r w:rsidRPr="00B32982">
        <w:t>, or</w:t>
      </w:r>
    </w:p>
    <w:p w14:paraId="04E89140" w14:textId="77777777" w:rsidR="00B32982" w:rsidRPr="00B32982" w:rsidRDefault="00B32982" w:rsidP="00B32982">
      <w:pPr>
        <w:numPr>
          <w:ilvl w:val="0"/>
          <w:numId w:val="9"/>
        </w:numPr>
      </w:pPr>
      <w:r w:rsidRPr="00B32982">
        <w:rPr>
          <w:b/>
          <w:bCs/>
        </w:rPr>
        <w:t>Most likely amount method</w:t>
      </w:r>
    </w:p>
    <w:p w14:paraId="6918FA92" w14:textId="77777777" w:rsidR="00B32982" w:rsidRPr="00B32982" w:rsidRDefault="00B32982" w:rsidP="00B32982">
      <w:r w:rsidRPr="00B32982">
        <w:rPr>
          <w:b/>
          <w:bCs/>
        </w:rPr>
        <w:t>Constraint:</w:t>
      </w:r>
      <w:r w:rsidRPr="00B32982">
        <w:t xml:space="preserve"> Revenue is recognized only to the extent it is </w:t>
      </w:r>
      <w:r w:rsidRPr="00B32982">
        <w:rPr>
          <w:b/>
          <w:bCs/>
        </w:rPr>
        <w:t>highly probable</w:t>
      </w:r>
      <w:r w:rsidRPr="00B32982">
        <w:t xml:space="preserve"> that a significant reversal will not occur.</w:t>
      </w:r>
    </w:p>
    <w:p w14:paraId="7E51A753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Significant financing component</w:t>
      </w:r>
    </w:p>
    <w:p w14:paraId="1D8D17C3" w14:textId="77777777" w:rsidR="00B32982" w:rsidRPr="00B32982" w:rsidRDefault="00B32982" w:rsidP="00B32982">
      <w:r w:rsidRPr="00B32982">
        <w:t xml:space="preserve">Applies if timing of payment differs from transfer of goods/services by </w:t>
      </w:r>
      <w:r w:rsidRPr="00B32982">
        <w:rPr>
          <w:b/>
          <w:bCs/>
        </w:rPr>
        <w:t>more than one year</w:t>
      </w:r>
      <w:r w:rsidRPr="00B32982">
        <w:t>, except where:</w:t>
      </w:r>
    </w:p>
    <w:p w14:paraId="48D54A03" w14:textId="77777777" w:rsidR="00B32982" w:rsidRPr="00B32982" w:rsidRDefault="00B32982" w:rsidP="00B32982">
      <w:pPr>
        <w:numPr>
          <w:ilvl w:val="0"/>
          <w:numId w:val="10"/>
        </w:numPr>
      </w:pPr>
      <w:r w:rsidRPr="00B32982">
        <w:t>The difference arises for reasons other than financing (e.g., customer pay-as-you-go patterns common in U.S. SaaS)</w:t>
      </w:r>
    </w:p>
    <w:p w14:paraId="39853B71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Non-cash consideration</w:t>
      </w:r>
    </w:p>
    <w:p w14:paraId="47463C89" w14:textId="77777777" w:rsidR="00B32982" w:rsidRPr="00B32982" w:rsidRDefault="00B32982" w:rsidP="00B32982">
      <w:r w:rsidRPr="00B32982">
        <w:lastRenderedPageBreak/>
        <w:t>Measured at fair value using U.S. GAAP-aligned valuation where relevant.</w:t>
      </w:r>
    </w:p>
    <w:p w14:paraId="6C8D2F7B" w14:textId="77777777" w:rsidR="00B32982" w:rsidRPr="00B32982" w:rsidRDefault="00B32982" w:rsidP="00B32982">
      <w:r w:rsidRPr="00B32982">
        <w:pict w14:anchorId="19F1D34A">
          <v:rect id="_x0000_i1134" style="width:0;height:1.5pt" o:hralign="center" o:hrstd="t" o:hr="t" fillcolor="#a0a0a0" stroked="f"/>
        </w:pict>
      </w:r>
    </w:p>
    <w:p w14:paraId="7F63681B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Step 4 – Allocate the Transaction Price to the Performance Obligations</w:t>
      </w:r>
    </w:p>
    <w:p w14:paraId="239DDFB4" w14:textId="77777777" w:rsidR="00B32982" w:rsidRPr="00B32982" w:rsidRDefault="00B32982" w:rsidP="00B32982">
      <w:r w:rsidRPr="00B32982">
        <w:t xml:space="preserve">In general, allocation is based on the </w:t>
      </w:r>
      <w:r w:rsidRPr="00B32982">
        <w:rPr>
          <w:b/>
          <w:bCs/>
        </w:rPr>
        <w:t>stand-alone selling price</w:t>
      </w:r>
      <w:r w:rsidRPr="00B32982">
        <w:t xml:space="preserve"> (SSP) of each obligation.</w:t>
      </w:r>
    </w:p>
    <w:p w14:paraId="7A9BB4A9" w14:textId="77777777" w:rsidR="00B32982" w:rsidRPr="00B32982" w:rsidRDefault="00B32982" w:rsidP="00B32982">
      <w:r w:rsidRPr="00B32982">
        <w:t>Acceptable estimation methods:</w:t>
      </w:r>
    </w:p>
    <w:p w14:paraId="426EA10B" w14:textId="77777777" w:rsidR="00B32982" w:rsidRPr="00B32982" w:rsidRDefault="00B32982" w:rsidP="00B32982">
      <w:pPr>
        <w:numPr>
          <w:ilvl w:val="0"/>
          <w:numId w:val="11"/>
        </w:numPr>
      </w:pPr>
      <w:r w:rsidRPr="00B32982">
        <w:t>Adjusted market assessment</w:t>
      </w:r>
    </w:p>
    <w:p w14:paraId="29250155" w14:textId="77777777" w:rsidR="00B32982" w:rsidRPr="00B32982" w:rsidRDefault="00B32982" w:rsidP="00B32982">
      <w:pPr>
        <w:numPr>
          <w:ilvl w:val="0"/>
          <w:numId w:val="11"/>
        </w:numPr>
      </w:pPr>
      <w:r w:rsidRPr="00B32982">
        <w:t>Expected cost plus margin</w:t>
      </w:r>
    </w:p>
    <w:p w14:paraId="0BB0E7A8" w14:textId="77777777" w:rsidR="00B32982" w:rsidRPr="00B32982" w:rsidRDefault="00B32982" w:rsidP="00B32982">
      <w:pPr>
        <w:numPr>
          <w:ilvl w:val="0"/>
          <w:numId w:val="11"/>
        </w:numPr>
      </w:pPr>
      <w:r w:rsidRPr="00B32982">
        <w:t>Residual approach (only when SSPs are highly variable)</w:t>
      </w:r>
    </w:p>
    <w:p w14:paraId="1CB3E057" w14:textId="77777777" w:rsidR="00B32982" w:rsidRPr="00B32982" w:rsidRDefault="00B32982" w:rsidP="00B32982">
      <w:r w:rsidRPr="00B32982">
        <w:rPr>
          <w:b/>
          <w:bCs/>
        </w:rPr>
        <w:t>U.S. considerations:</w:t>
      </w:r>
    </w:p>
    <w:p w14:paraId="3BB227F2" w14:textId="77777777" w:rsidR="00B32982" w:rsidRPr="00B32982" w:rsidRDefault="00B32982" w:rsidP="00B32982">
      <w:pPr>
        <w:numPr>
          <w:ilvl w:val="0"/>
          <w:numId w:val="12"/>
        </w:numPr>
      </w:pPr>
      <w:r w:rsidRPr="00B32982">
        <w:t>SSP documentation must comply with SOX 404 auditability requirements.</w:t>
      </w:r>
    </w:p>
    <w:p w14:paraId="3CB34D8D" w14:textId="77777777" w:rsidR="00B32982" w:rsidRPr="00B32982" w:rsidRDefault="00B32982" w:rsidP="00B32982">
      <w:pPr>
        <w:numPr>
          <w:ilvl w:val="0"/>
          <w:numId w:val="12"/>
        </w:numPr>
      </w:pPr>
      <w:r w:rsidRPr="00B32982">
        <w:t>Discounts or incentives specific to a performance obligation must be allocated proportionally unless controlled by observable evidence.</w:t>
      </w:r>
    </w:p>
    <w:p w14:paraId="45B2DD82" w14:textId="77777777" w:rsidR="00B32982" w:rsidRPr="00B32982" w:rsidRDefault="00B32982" w:rsidP="00B32982">
      <w:r w:rsidRPr="00B32982">
        <w:pict w14:anchorId="6D437E9E">
          <v:rect id="_x0000_i1135" style="width:0;height:1.5pt" o:hralign="center" o:hrstd="t" o:hr="t" fillcolor="#a0a0a0" stroked="f"/>
        </w:pict>
      </w:r>
    </w:p>
    <w:p w14:paraId="79E8A269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Step 5 – Recognize Revenue as Performance Obligations Are Satisfied</w:t>
      </w:r>
    </w:p>
    <w:p w14:paraId="6CAB7C58" w14:textId="77777777" w:rsidR="00B32982" w:rsidRPr="00B32982" w:rsidRDefault="00B32982" w:rsidP="00B32982">
      <w:r w:rsidRPr="00B32982">
        <w:t>Revenue is recognized either:</w:t>
      </w:r>
    </w:p>
    <w:p w14:paraId="09CE32E2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At a point in time</w:t>
      </w:r>
    </w:p>
    <w:p w14:paraId="4682C5C4" w14:textId="77777777" w:rsidR="00B32982" w:rsidRPr="00B32982" w:rsidRDefault="00B32982" w:rsidP="00B32982">
      <w:r w:rsidRPr="00B32982">
        <w:t>Indicators include:</w:t>
      </w:r>
    </w:p>
    <w:p w14:paraId="21E9DCDA" w14:textId="77777777" w:rsidR="00B32982" w:rsidRPr="00B32982" w:rsidRDefault="00B32982" w:rsidP="00B32982">
      <w:pPr>
        <w:numPr>
          <w:ilvl w:val="0"/>
          <w:numId w:val="13"/>
        </w:numPr>
      </w:pPr>
      <w:r w:rsidRPr="00B32982">
        <w:t>Legal title transfers (e.g., UCC Article 2 rules)</w:t>
      </w:r>
    </w:p>
    <w:p w14:paraId="23CA5936" w14:textId="77777777" w:rsidR="00B32982" w:rsidRPr="00B32982" w:rsidRDefault="00B32982" w:rsidP="00B32982">
      <w:pPr>
        <w:numPr>
          <w:ilvl w:val="0"/>
          <w:numId w:val="13"/>
        </w:numPr>
      </w:pPr>
      <w:r w:rsidRPr="00B32982">
        <w:t>Physical possession transferred</w:t>
      </w:r>
    </w:p>
    <w:p w14:paraId="24CD2112" w14:textId="77777777" w:rsidR="00B32982" w:rsidRPr="00B32982" w:rsidRDefault="00B32982" w:rsidP="00B32982">
      <w:pPr>
        <w:numPr>
          <w:ilvl w:val="0"/>
          <w:numId w:val="13"/>
        </w:numPr>
      </w:pPr>
      <w:r w:rsidRPr="00B32982">
        <w:t>Customer acceptance</w:t>
      </w:r>
    </w:p>
    <w:p w14:paraId="6C7A68B5" w14:textId="77777777" w:rsidR="00B32982" w:rsidRPr="00B32982" w:rsidRDefault="00B32982" w:rsidP="00B32982">
      <w:pPr>
        <w:numPr>
          <w:ilvl w:val="0"/>
          <w:numId w:val="13"/>
        </w:numPr>
      </w:pPr>
      <w:r w:rsidRPr="00B32982">
        <w:t>Control of the asset transferred</w:t>
      </w:r>
    </w:p>
    <w:p w14:paraId="2F0FD84C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Over time</w:t>
      </w:r>
    </w:p>
    <w:p w14:paraId="0DE9AEDC" w14:textId="77777777" w:rsidR="00B32982" w:rsidRPr="00B32982" w:rsidRDefault="00B32982" w:rsidP="00B32982">
      <w:r w:rsidRPr="00B32982">
        <w:t>Applicable when:</w:t>
      </w:r>
    </w:p>
    <w:p w14:paraId="58E5D9D4" w14:textId="77777777" w:rsidR="00B32982" w:rsidRPr="00B32982" w:rsidRDefault="00B32982" w:rsidP="00B32982">
      <w:pPr>
        <w:numPr>
          <w:ilvl w:val="0"/>
          <w:numId w:val="14"/>
        </w:numPr>
      </w:pPr>
      <w:r w:rsidRPr="00B32982">
        <w:t>Customer receives and consumes benefits as performed</w:t>
      </w:r>
    </w:p>
    <w:p w14:paraId="04E284CB" w14:textId="77777777" w:rsidR="00B32982" w:rsidRPr="00B32982" w:rsidRDefault="00B32982" w:rsidP="00B32982">
      <w:pPr>
        <w:numPr>
          <w:ilvl w:val="0"/>
          <w:numId w:val="14"/>
        </w:numPr>
      </w:pPr>
      <w:r w:rsidRPr="00B32982">
        <w:t>Company’s work creates/enhances an asset controlled by customer</w:t>
      </w:r>
    </w:p>
    <w:p w14:paraId="010D0D02" w14:textId="77777777" w:rsidR="00B32982" w:rsidRPr="00B32982" w:rsidRDefault="00B32982" w:rsidP="00B32982">
      <w:pPr>
        <w:numPr>
          <w:ilvl w:val="0"/>
          <w:numId w:val="14"/>
        </w:numPr>
      </w:pPr>
      <w:r w:rsidRPr="00B32982">
        <w:t>Asset created has no alternative use + Company has enforceable right to payment (consider U.S. state contract law)</w:t>
      </w:r>
    </w:p>
    <w:p w14:paraId="6CB8AE1C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Measure of progress</w:t>
      </w:r>
    </w:p>
    <w:p w14:paraId="03FC64B5" w14:textId="77777777" w:rsidR="00B32982" w:rsidRPr="00B32982" w:rsidRDefault="00B32982" w:rsidP="00B32982">
      <w:pPr>
        <w:numPr>
          <w:ilvl w:val="0"/>
          <w:numId w:val="15"/>
        </w:numPr>
      </w:pPr>
      <w:r w:rsidRPr="00B32982">
        <w:lastRenderedPageBreak/>
        <w:t>Output methods (e.g., milestones, units delivered)</w:t>
      </w:r>
    </w:p>
    <w:p w14:paraId="04B02E6D" w14:textId="77777777" w:rsidR="00B32982" w:rsidRPr="00B32982" w:rsidRDefault="00B32982" w:rsidP="00B32982">
      <w:pPr>
        <w:numPr>
          <w:ilvl w:val="0"/>
          <w:numId w:val="15"/>
        </w:numPr>
      </w:pPr>
      <w:r w:rsidRPr="00B32982">
        <w:t>Input methods (e.g., cost-to-cost)</w:t>
      </w:r>
    </w:p>
    <w:p w14:paraId="75F1C7B0" w14:textId="77777777" w:rsidR="00B32982" w:rsidRPr="00B32982" w:rsidRDefault="00B32982" w:rsidP="00B32982">
      <w:r w:rsidRPr="00B32982">
        <w:t xml:space="preserve">Progress measures must be </w:t>
      </w:r>
      <w:r w:rsidRPr="00B32982">
        <w:rPr>
          <w:b/>
          <w:bCs/>
        </w:rPr>
        <w:t>reviewed quarterly</w:t>
      </w:r>
      <w:r w:rsidRPr="00B32982">
        <w:t xml:space="preserve"> for reasonableness and updated for changes in estimates.</w:t>
      </w:r>
    </w:p>
    <w:p w14:paraId="57869EB3" w14:textId="77777777" w:rsidR="00B32982" w:rsidRPr="00B32982" w:rsidRDefault="00B32982" w:rsidP="00B32982">
      <w:r w:rsidRPr="00B32982">
        <w:pict w14:anchorId="515D7134">
          <v:rect id="_x0000_i1136" style="width:0;height:1.5pt" o:hralign="center" o:hrstd="t" o:hr="t" fillcolor="#a0a0a0" stroked="f"/>
        </w:pict>
      </w:r>
    </w:p>
    <w:p w14:paraId="62832B4B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5. Contract Modifications</w:t>
      </w:r>
    </w:p>
    <w:p w14:paraId="5D20B629" w14:textId="77777777" w:rsidR="00B32982" w:rsidRPr="00B32982" w:rsidRDefault="00B32982" w:rsidP="00B32982">
      <w:r w:rsidRPr="00B32982">
        <w:t>Modifications are accounted for as:</w:t>
      </w:r>
    </w:p>
    <w:p w14:paraId="4AF91B89" w14:textId="77777777" w:rsidR="00B32982" w:rsidRPr="00B32982" w:rsidRDefault="00B32982" w:rsidP="00B32982">
      <w:pPr>
        <w:numPr>
          <w:ilvl w:val="0"/>
          <w:numId w:val="16"/>
        </w:numPr>
      </w:pPr>
      <w:r w:rsidRPr="00B32982">
        <w:rPr>
          <w:b/>
          <w:bCs/>
        </w:rPr>
        <w:t>Separate contracts</w:t>
      </w:r>
      <w:r w:rsidRPr="00B32982">
        <w:t>,</w:t>
      </w:r>
    </w:p>
    <w:p w14:paraId="51A22C0A" w14:textId="77777777" w:rsidR="00B32982" w:rsidRPr="00B32982" w:rsidRDefault="00B32982" w:rsidP="00B32982">
      <w:pPr>
        <w:numPr>
          <w:ilvl w:val="0"/>
          <w:numId w:val="16"/>
        </w:numPr>
      </w:pPr>
      <w:r w:rsidRPr="00B32982">
        <w:rPr>
          <w:b/>
          <w:bCs/>
        </w:rPr>
        <w:t>Prospective adjustments</w:t>
      </w:r>
      <w:r w:rsidRPr="00B32982">
        <w:t>, or</w:t>
      </w:r>
    </w:p>
    <w:p w14:paraId="55804A3B" w14:textId="77777777" w:rsidR="00B32982" w:rsidRPr="00B32982" w:rsidRDefault="00B32982" w:rsidP="00B32982">
      <w:pPr>
        <w:numPr>
          <w:ilvl w:val="0"/>
          <w:numId w:val="16"/>
        </w:numPr>
      </w:pPr>
      <w:r w:rsidRPr="00B32982">
        <w:rPr>
          <w:b/>
          <w:bCs/>
        </w:rPr>
        <w:t>Cumulative catch-up adjustments</w:t>
      </w:r>
    </w:p>
    <w:p w14:paraId="35ACA807" w14:textId="77777777" w:rsidR="00B32982" w:rsidRPr="00B32982" w:rsidRDefault="00B32982" w:rsidP="00B32982">
      <w:r w:rsidRPr="00B32982">
        <w:t>depending on whether added goods/services are distinct and priced at SSP.</w:t>
      </w:r>
    </w:p>
    <w:p w14:paraId="3BB6F247" w14:textId="77777777" w:rsidR="00B32982" w:rsidRPr="00B32982" w:rsidRDefault="00B32982" w:rsidP="00B32982">
      <w:r w:rsidRPr="00B32982">
        <w:t>U.S. considerations:</w:t>
      </w:r>
    </w:p>
    <w:p w14:paraId="7479708C" w14:textId="77777777" w:rsidR="00B32982" w:rsidRPr="00B32982" w:rsidRDefault="00B32982" w:rsidP="00B32982">
      <w:pPr>
        <w:numPr>
          <w:ilvl w:val="0"/>
          <w:numId w:val="17"/>
        </w:numPr>
      </w:pPr>
      <w:r w:rsidRPr="00B32982">
        <w:t xml:space="preserve">Written amendments are </w:t>
      </w:r>
      <w:proofErr w:type="gramStart"/>
      <w:r w:rsidRPr="00B32982">
        <w:t>preferred;</w:t>
      </w:r>
      <w:proofErr w:type="gramEnd"/>
      <w:r w:rsidRPr="00B32982">
        <w:t xml:space="preserve"> verbal modifications valid only if enforceable under state law.</w:t>
      </w:r>
    </w:p>
    <w:p w14:paraId="71DF9422" w14:textId="77777777" w:rsidR="00B32982" w:rsidRPr="00B32982" w:rsidRDefault="00B32982" w:rsidP="00B32982">
      <w:pPr>
        <w:numPr>
          <w:ilvl w:val="0"/>
          <w:numId w:val="17"/>
        </w:numPr>
      </w:pPr>
      <w:r w:rsidRPr="00B32982">
        <w:t>Change orders in U.S. construction require documented customer authorization.</w:t>
      </w:r>
    </w:p>
    <w:p w14:paraId="2942BE22" w14:textId="77777777" w:rsidR="00B32982" w:rsidRPr="00B32982" w:rsidRDefault="00B32982" w:rsidP="00B32982">
      <w:r w:rsidRPr="00B32982">
        <w:pict w14:anchorId="08CCB0D6">
          <v:rect id="_x0000_i1137" style="width:0;height:1.5pt" o:hralign="center" o:hrstd="t" o:hr="t" fillcolor="#a0a0a0" stroked="f"/>
        </w:pict>
      </w:r>
    </w:p>
    <w:p w14:paraId="0084F9D8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6. Principal vs Agent Evaluation</w:t>
      </w:r>
    </w:p>
    <w:p w14:paraId="08717EA2" w14:textId="77777777" w:rsidR="00B32982" w:rsidRPr="00B32982" w:rsidRDefault="00B32982" w:rsidP="00B32982">
      <w:r w:rsidRPr="00B32982">
        <w:t xml:space="preserve">Entity is a </w:t>
      </w:r>
      <w:r w:rsidRPr="00B32982">
        <w:rPr>
          <w:b/>
          <w:bCs/>
        </w:rPr>
        <w:t>principal</w:t>
      </w:r>
      <w:r w:rsidRPr="00B32982">
        <w:t xml:space="preserve"> if it controls the good/service before transfer.</w:t>
      </w:r>
    </w:p>
    <w:p w14:paraId="0513B1F2" w14:textId="77777777" w:rsidR="00B32982" w:rsidRPr="00B32982" w:rsidRDefault="00B32982" w:rsidP="00B32982">
      <w:r w:rsidRPr="00B32982">
        <w:t>Indicators:</w:t>
      </w:r>
    </w:p>
    <w:p w14:paraId="5F9E4C85" w14:textId="77777777" w:rsidR="00B32982" w:rsidRPr="00B32982" w:rsidRDefault="00B32982" w:rsidP="00B32982">
      <w:pPr>
        <w:numPr>
          <w:ilvl w:val="0"/>
          <w:numId w:val="18"/>
        </w:numPr>
      </w:pPr>
      <w:r w:rsidRPr="00B32982">
        <w:t xml:space="preserve">Primary responsibility for </w:t>
      </w:r>
      <w:proofErr w:type="spellStart"/>
      <w:r w:rsidRPr="00B32982">
        <w:t>fulfillment</w:t>
      </w:r>
      <w:proofErr w:type="spellEnd"/>
    </w:p>
    <w:p w14:paraId="56EA63F8" w14:textId="77777777" w:rsidR="00B32982" w:rsidRPr="00B32982" w:rsidRDefault="00B32982" w:rsidP="00B32982">
      <w:pPr>
        <w:numPr>
          <w:ilvl w:val="0"/>
          <w:numId w:val="18"/>
        </w:numPr>
      </w:pPr>
      <w:r w:rsidRPr="00B32982">
        <w:t>Inventory risk</w:t>
      </w:r>
    </w:p>
    <w:p w14:paraId="7909F490" w14:textId="77777777" w:rsidR="00B32982" w:rsidRPr="00B32982" w:rsidRDefault="00B32982" w:rsidP="00B32982">
      <w:pPr>
        <w:numPr>
          <w:ilvl w:val="0"/>
          <w:numId w:val="18"/>
        </w:numPr>
      </w:pPr>
      <w:r w:rsidRPr="00B32982">
        <w:t>Pricing discretion</w:t>
      </w:r>
    </w:p>
    <w:p w14:paraId="0DF81F7E" w14:textId="77777777" w:rsidR="00B32982" w:rsidRPr="00B32982" w:rsidRDefault="00B32982" w:rsidP="00B32982">
      <w:r w:rsidRPr="00B32982">
        <w:t>U.S. examples:</w:t>
      </w:r>
    </w:p>
    <w:p w14:paraId="02DCDCE6" w14:textId="77777777" w:rsidR="00B32982" w:rsidRPr="00B32982" w:rsidRDefault="00B32982" w:rsidP="00B32982">
      <w:pPr>
        <w:numPr>
          <w:ilvl w:val="0"/>
          <w:numId w:val="19"/>
        </w:numPr>
      </w:pPr>
      <w:r w:rsidRPr="00B32982">
        <w:t>Marketplace platforms</w:t>
      </w:r>
    </w:p>
    <w:p w14:paraId="6E1318E7" w14:textId="77777777" w:rsidR="00B32982" w:rsidRPr="00B32982" w:rsidRDefault="00B32982" w:rsidP="00B32982">
      <w:pPr>
        <w:numPr>
          <w:ilvl w:val="0"/>
          <w:numId w:val="19"/>
        </w:numPr>
      </w:pPr>
      <w:r w:rsidRPr="00B32982">
        <w:t>Software resellers</w:t>
      </w:r>
    </w:p>
    <w:p w14:paraId="6DAF3C58" w14:textId="77777777" w:rsidR="00B32982" w:rsidRPr="00B32982" w:rsidRDefault="00B32982" w:rsidP="00B32982">
      <w:pPr>
        <w:numPr>
          <w:ilvl w:val="0"/>
          <w:numId w:val="19"/>
        </w:numPr>
      </w:pPr>
      <w:r w:rsidRPr="00B32982">
        <w:t>Drop-shipment arrangements</w:t>
      </w:r>
    </w:p>
    <w:p w14:paraId="76AAF86C" w14:textId="77777777" w:rsidR="00B32982" w:rsidRPr="00B32982" w:rsidRDefault="00B32982" w:rsidP="00B32982">
      <w:r w:rsidRPr="00B32982">
        <w:pict w14:anchorId="2FA8A629">
          <v:rect id="_x0000_i1138" style="width:0;height:1.5pt" o:hralign="center" o:hrstd="t" o:hr="t" fillcolor="#a0a0a0" stroked="f"/>
        </w:pict>
      </w:r>
    </w:p>
    <w:p w14:paraId="18093C33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7. Contract Costs (IFRS 15.91–104)</w:t>
      </w:r>
    </w:p>
    <w:p w14:paraId="355738D6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Capitalizable costs</w:t>
      </w:r>
    </w:p>
    <w:p w14:paraId="6E2C2814" w14:textId="77777777" w:rsidR="00B32982" w:rsidRPr="00B32982" w:rsidRDefault="00B32982" w:rsidP="00B32982">
      <w:pPr>
        <w:numPr>
          <w:ilvl w:val="0"/>
          <w:numId w:val="20"/>
        </w:numPr>
      </w:pPr>
      <w:r w:rsidRPr="00B32982">
        <w:lastRenderedPageBreak/>
        <w:t>Incremental costs to obtain a contract (e.g., U.S. sales commissions)</w:t>
      </w:r>
    </w:p>
    <w:p w14:paraId="2F0A8C44" w14:textId="77777777" w:rsidR="00B32982" w:rsidRPr="00B32982" w:rsidRDefault="00B32982" w:rsidP="00B32982">
      <w:pPr>
        <w:numPr>
          <w:ilvl w:val="0"/>
          <w:numId w:val="20"/>
        </w:numPr>
      </w:pPr>
      <w:proofErr w:type="spellStart"/>
      <w:r w:rsidRPr="00B32982">
        <w:t>Fulfillment</w:t>
      </w:r>
      <w:proofErr w:type="spellEnd"/>
      <w:r w:rsidRPr="00B32982">
        <w:t xml:space="preserve"> costs not within scope of other standards</w:t>
      </w:r>
    </w:p>
    <w:p w14:paraId="42B3D010" w14:textId="77777777" w:rsidR="00B32982" w:rsidRPr="00B32982" w:rsidRDefault="00B32982" w:rsidP="00B32982">
      <w:r w:rsidRPr="00B32982">
        <w:t xml:space="preserve">Amortized on a </w:t>
      </w:r>
      <w:r w:rsidRPr="00B32982">
        <w:rPr>
          <w:b/>
          <w:bCs/>
        </w:rPr>
        <w:t>systematic basis</w:t>
      </w:r>
      <w:r w:rsidRPr="00B32982">
        <w:t xml:space="preserve"> consistent with transfer of related goods/services.</w:t>
      </w:r>
    </w:p>
    <w:p w14:paraId="0741DAF8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Impairment</w:t>
      </w:r>
    </w:p>
    <w:p w14:paraId="047A17D1" w14:textId="77777777" w:rsidR="00B32982" w:rsidRPr="00B32982" w:rsidRDefault="00B32982" w:rsidP="00B32982">
      <w:r w:rsidRPr="00B32982">
        <w:t>Tested when indicators exist.</w:t>
      </w:r>
    </w:p>
    <w:p w14:paraId="5AF0577C" w14:textId="77777777" w:rsidR="00B32982" w:rsidRPr="00B32982" w:rsidRDefault="00B32982" w:rsidP="00B32982">
      <w:r w:rsidRPr="00B32982">
        <w:pict w14:anchorId="73FB3102">
          <v:rect id="_x0000_i1139" style="width:0;height:1.5pt" o:hralign="center" o:hrstd="t" o:hr="t" fillcolor="#a0a0a0" stroked="f"/>
        </w:pict>
      </w:r>
    </w:p>
    <w:p w14:paraId="5159107B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8. Disclosures (IFRS 15.110–129)</w:t>
      </w:r>
    </w:p>
    <w:p w14:paraId="60DA0FC1" w14:textId="77777777" w:rsidR="00B32982" w:rsidRPr="00B32982" w:rsidRDefault="00B32982" w:rsidP="00B32982">
      <w:r w:rsidRPr="00B32982">
        <w:t>U.S. entities must disclose:</w:t>
      </w:r>
    </w:p>
    <w:p w14:paraId="289B4D7C" w14:textId="77777777" w:rsidR="00B32982" w:rsidRPr="00B32982" w:rsidRDefault="00B32982" w:rsidP="00B32982">
      <w:pPr>
        <w:numPr>
          <w:ilvl w:val="0"/>
          <w:numId w:val="21"/>
        </w:numPr>
      </w:pPr>
      <w:r w:rsidRPr="00B32982">
        <w:t>Disaggregation of revenue (e.g., region, customer type)</w:t>
      </w:r>
    </w:p>
    <w:p w14:paraId="68F856E0" w14:textId="77777777" w:rsidR="00B32982" w:rsidRPr="00B32982" w:rsidRDefault="00B32982" w:rsidP="00B32982">
      <w:pPr>
        <w:numPr>
          <w:ilvl w:val="0"/>
          <w:numId w:val="21"/>
        </w:numPr>
      </w:pPr>
      <w:r w:rsidRPr="00B32982">
        <w:t>Opening and closing contract balances</w:t>
      </w:r>
    </w:p>
    <w:p w14:paraId="1A29BE7F" w14:textId="77777777" w:rsidR="00B32982" w:rsidRPr="00B32982" w:rsidRDefault="00B32982" w:rsidP="00B32982">
      <w:pPr>
        <w:numPr>
          <w:ilvl w:val="0"/>
          <w:numId w:val="21"/>
        </w:numPr>
      </w:pPr>
      <w:r w:rsidRPr="00B32982">
        <w:t>Performance obligations &amp; remaining obligations</w:t>
      </w:r>
    </w:p>
    <w:p w14:paraId="4E7DCFEC" w14:textId="77777777" w:rsidR="00B32982" w:rsidRPr="00B32982" w:rsidRDefault="00B32982" w:rsidP="00B32982">
      <w:pPr>
        <w:numPr>
          <w:ilvl w:val="0"/>
          <w:numId w:val="21"/>
        </w:numPr>
      </w:pPr>
      <w:r w:rsidRPr="00B32982">
        <w:t>Judgments and estimates</w:t>
      </w:r>
    </w:p>
    <w:p w14:paraId="4B9E7D01" w14:textId="77777777" w:rsidR="00B32982" w:rsidRPr="00B32982" w:rsidRDefault="00B32982" w:rsidP="00B32982">
      <w:pPr>
        <w:numPr>
          <w:ilvl w:val="0"/>
          <w:numId w:val="21"/>
        </w:numPr>
      </w:pPr>
      <w:r w:rsidRPr="00B32982">
        <w:t>Contract costs</w:t>
      </w:r>
    </w:p>
    <w:p w14:paraId="1A2E7B43" w14:textId="77777777" w:rsidR="00B32982" w:rsidRPr="00B32982" w:rsidRDefault="00B32982" w:rsidP="00B32982">
      <w:r w:rsidRPr="00B32982">
        <w:t xml:space="preserve">Disclosures must align with </w:t>
      </w:r>
      <w:r w:rsidRPr="00B32982">
        <w:rPr>
          <w:b/>
          <w:bCs/>
        </w:rPr>
        <w:t>SEC-style MD&amp;A</w:t>
      </w:r>
      <w:r w:rsidRPr="00B32982">
        <w:t xml:space="preserve"> where applicable for U.S. reporting packages.</w:t>
      </w:r>
    </w:p>
    <w:p w14:paraId="043B8266" w14:textId="77777777" w:rsidR="00B32982" w:rsidRPr="00B32982" w:rsidRDefault="00B32982" w:rsidP="00B32982">
      <w:r w:rsidRPr="00B32982">
        <w:pict w14:anchorId="069409D3">
          <v:rect id="_x0000_i1140" style="width:0;height:1.5pt" o:hralign="center" o:hrstd="t" o:hr="t" fillcolor="#a0a0a0" stroked="f"/>
        </w:pict>
      </w:r>
    </w:p>
    <w:p w14:paraId="7A063A59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9. Internal Controls and Documentation (U.S.-Specific)</w:t>
      </w:r>
    </w:p>
    <w:p w14:paraId="5BF96A7B" w14:textId="77777777" w:rsidR="00B32982" w:rsidRPr="00B32982" w:rsidRDefault="00B32982" w:rsidP="00B32982">
      <w:r w:rsidRPr="00B32982">
        <w:t xml:space="preserve">The Company must maintain controls compliant with </w:t>
      </w:r>
      <w:r w:rsidRPr="00B32982">
        <w:rPr>
          <w:b/>
          <w:bCs/>
        </w:rPr>
        <w:t>SOX 404</w:t>
      </w:r>
      <w:r w:rsidRPr="00B32982">
        <w:t>, including:</w:t>
      </w:r>
    </w:p>
    <w:p w14:paraId="0A76DE28" w14:textId="77777777" w:rsidR="00B32982" w:rsidRPr="00B32982" w:rsidRDefault="00B32982" w:rsidP="00B32982">
      <w:pPr>
        <w:numPr>
          <w:ilvl w:val="0"/>
          <w:numId w:val="22"/>
        </w:numPr>
      </w:pPr>
      <w:r w:rsidRPr="00B32982">
        <w:t>Contract approval workflow</w:t>
      </w:r>
    </w:p>
    <w:p w14:paraId="0D356679" w14:textId="77777777" w:rsidR="00B32982" w:rsidRPr="00B32982" w:rsidRDefault="00B32982" w:rsidP="00B32982">
      <w:pPr>
        <w:numPr>
          <w:ilvl w:val="0"/>
          <w:numId w:val="22"/>
        </w:numPr>
      </w:pPr>
      <w:r w:rsidRPr="00B32982">
        <w:t>Identification and review of performance obligations</w:t>
      </w:r>
    </w:p>
    <w:p w14:paraId="54A8DD70" w14:textId="77777777" w:rsidR="00B32982" w:rsidRPr="00B32982" w:rsidRDefault="00B32982" w:rsidP="00B32982">
      <w:pPr>
        <w:numPr>
          <w:ilvl w:val="0"/>
          <w:numId w:val="22"/>
        </w:numPr>
      </w:pPr>
      <w:r w:rsidRPr="00B32982">
        <w:t>SSP determination controls</w:t>
      </w:r>
    </w:p>
    <w:p w14:paraId="6D43F557" w14:textId="77777777" w:rsidR="00B32982" w:rsidRPr="00B32982" w:rsidRDefault="00B32982" w:rsidP="00B32982">
      <w:pPr>
        <w:numPr>
          <w:ilvl w:val="0"/>
          <w:numId w:val="22"/>
        </w:numPr>
      </w:pPr>
      <w:r w:rsidRPr="00B32982">
        <w:t>Period-end cut-off procedures</w:t>
      </w:r>
    </w:p>
    <w:p w14:paraId="6327FAC5" w14:textId="77777777" w:rsidR="00B32982" w:rsidRPr="00B32982" w:rsidRDefault="00B32982" w:rsidP="00B32982">
      <w:pPr>
        <w:numPr>
          <w:ilvl w:val="0"/>
          <w:numId w:val="22"/>
        </w:numPr>
      </w:pPr>
      <w:r w:rsidRPr="00B32982">
        <w:t>Review of variable consideration estimates</w:t>
      </w:r>
    </w:p>
    <w:p w14:paraId="0FCC54A0" w14:textId="77777777" w:rsidR="00B32982" w:rsidRPr="00B32982" w:rsidRDefault="00B32982" w:rsidP="00B32982">
      <w:pPr>
        <w:numPr>
          <w:ilvl w:val="0"/>
          <w:numId w:val="22"/>
        </w:numPr>
      </w:pPr>
      <w:r w:rsidRPr="00B32982">
        <w:t>Management review of percent-of-completion metrics</w:t>
      </w:r>
    </w:p>
    <w:p w14:paraId="2CD737AC" w14:textId="77777777" w:rsidR="00B32982" w:rsidRPr="00B32982" w:rsidRDefault="00B32982" w:rsidP="00B32982">
      <w:pPr>
        <w:numPr>
          <w:ilvl w:val="0"/>
          <w:numId w:val="22"/>
        </w:numPr>
      </w:pPr>
      <w:r w:rsidRPr="00B32982">
        <w:t>IT controls over revenue systems</w:t>
      </w:r>
    </w:p>
    <w:p w14:paraId="577F8824" w14:textId="77777777" w:rsidR="00B32982" w:rsidRPr="00B32982" w:rsidRDefault="00B32982" w:rsidP="00B32982">
      <w:pPr>
        <w:numPr>
          <w:ilvl w:val="0"/>
          <w:numId w:val="22"/>
        </w:numPr>
      </w:pPr>
      <w:r w:rsidRPr="00B32982">
        <w:t>Documentation retention under U.S. statutory requirements</w:t>
      </w:r>
    </w:p>
    <w:p w14:paraId="5296B1EE" w14:textId="77777777" w:rsidR="00B32982" w:rsidRPr="00B32982" w:rsidRDefault="00B32982" w:rsidP="00B32982">
      <w:r w:rsidRPr="00B32982">
        <w:pict w14:anchorId="78498CEF">
          <v:rect id="_x0000_i1141" style="width:0;height:1.5pt" o:hralign="center" o:hrstd="t" o:hr="t" fillcolor="#a0a0a0" stroked="f"/>
        </w:pict>
      </w:r>
    </w:p>
    <w:p w14:paraId="7A34E407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10. Interaction with U.S. ASC 606</w:t>
      </w:r>
    </w:p>
    <w:p w14:paraId="5A1CE850" w14:textId="77777777" w:rsidR="00B32982" w:rsidRPr="00B32982" w:rsidRDefault="00B32982" w:rsidP="00B32982">
      <w:r w:rsidRPr="00B32982">
        <w:lastRenderedPageBreak/>
        <w:t>Although IFRS 15 and ASC 606 are largely converged, differences may exist (e.g., incremental costs guidance, collectability thresholds, some disclosure requirements).</w:t>
      </w:r>
    </w:p>
    <w:p w14:paraId="22092400" w14:textId="77777777" w:rsidR="00B32982" w:rsidRPr="00B32982" w:rsidRDefault="00B32982" w:rsidP="00B32982">
      <w:r w:rsidRPr="00B32982">
        <w:t xml:space="preserve">If the U.S. legal entity prepares </w:t>
      </w:r>
      <w:r w:rsidRPr="00B32982">
        <w:rPr>
          <w:b/>
          <w:bCs/>
        </w:rPr>
        <w:t>dual reporting</w:t>
      </w:r>
      <w:r w:rsidRPr="00B32982">
        <w:t>, IFRS 15 shall be the primary basis for consolidation, with ASC 606 adjustments maintained in supplemental reconciliation schedules.</w:t>
      </w:r>
    </w:p>
    <w:p w14:paraId="53B6CCCB" w14:textId="77777777" w:rsidR="00B32982" w:rsidRPr="00B32982" w:rsidRDefault="00B32982" w:rsidP="00B32982">
      <w:r w:rsidRPr="00B32982">
        <w:pict w14:anchorId="38B0B040">
          <v:rect id="_x0000_i1142" style="width:0;height:1.5pt" o:hralign="center" o:hrstd="t" o:hr="t" fillcolor="#a0a0a0" stroked="f"/>
        </w:pict>
      </w:r>
    </w:p>
    <w:p w14:paraId="26DB7BD0" w14:textId="77777777" w:rsidR="00B32982" w:rsidRPr="00B32982" w:rsidRDefault="00B32982" w:rsidP="00B32982">
      <w:pPr>
        <w:rPr>
          <w:b/>
          <w:bCs/>
        </w:rPr>
      </w:pPr>
      <w:r w:rsidRPr="00B32982">
        <w:rPr>
          <w:b/>
          <w:bCs/>
        </w:rPr>
        <w:t>11. Effective Date and Review</w:t>
      </w:r>
    </w:p>
    <w:p w14:paraId="4D299BE6" w14:textId="77777777" w:rsidR="00B32982" w:rsidRPr="00B32982" w:rsidRDefault="00B32982" w:rsidP="00B32982">
      <w:r w:rsidRPr="00B32982">
        <w:t xml:space="preserve">This policy is reviewed </w:t>
      </w:r>
      <w:r w:rsidRPr="00B32982">
        <w:rPr>
          <w:b/>
          <w:bCs/>
        </w:rPr>
        <w:t>annually</w:t>
      </w:r>
      <w:r w:rsidRPr="00B32982">
        <w:t xml:space="preserve"> by:</w:t>
      </w:r>
    </w:p>
    <w:p w14:paraId="504EAF61" w14:textId="77777777" w:rsidR="00B32982" w:rsidRPr="00B32982" w:rsidRDefault="00B32982" w:rsidP="00B32982">
      <w:pPr>
        <w:numPr>
          <w:ilvl w:val="0"/>
          <w:numId w:val="23"/>
        </w:numPr>
      </w:pPr>
      <w:r w:rsidRPr="00B32982">
        <w:t>Corporate Accounting</w:t>
      </w:r>
    </w:p>
    <w:p w14:paraId="75AAFA7F" w14:textId="77777777" w:rsidR="00B32982" w:rsidRPr="00B32982" w:rsidRDefault="00B32982" w:rsidP="00B32982">
      <w:pPr>
        <w:numPr>
          <w:ilvl w:val="0"/>
          <w:numId w:val="23"/>
        </w:numPr>
      </w:pPr>
      <w:r w:rsidRPr="00B32982">
        <w:t>Internal Audit</w:t>
      </w:r>
    </w:p>
    <w:p w14:paraId="3B58C74F" w14:textId="77777777" w:rsidR="00B32982" w:rsidRPr="00B32982" w:rsidRDefault="00B32982" w:rsidP="00B32982">
      <w:pPr>
        <w:numPr>
          <w:ilvl w:val="0"/>
          <w:numId w:val="23"/>
        </w:numPr>
      </w:pPr>
      <w:r w:rsidRPr="00B32982">
        <w:t>U.S. Legal Counsel</w:t>
      </w:r>
    </w:p>
    <w:sectPr w:rsidR="00B32982" w:rsidRPr="00B32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9B4"/>
    <w:multiLevelType w:val="multilevel"/>
    <w:tmpl w:val="ECE6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48D4"/>
    <w:multiLevelType w:val="multilevel"/>
    <w:tmpl w:val="71DE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51F72"/>
    <w:multiLevelType w:val="multilevel"/>
    <w:tmpl w:val="FDC0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719DE"/>
    <w:multiLevelType w:val="multilevel"/>
    <w:tmpl w:val="3186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73EB4"/>
    <w:multiLevelType w:val="multilevel"/>
    <w:tmpl w:val="62F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82748"/>
    <w:multiLevelType w:val="multilevel"/>
    <w:tmpl w:val="6E8A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A308A"/>
    <w:multiLevelType w:val="multilevel"/>
    <w:tmpl w:val="9E0C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64099"/>
    <w:multiLevelType w:val="multilevel"/>
    <w:tmpl w:val="DE1C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15E39"/>
    <w:multiLevelType w:val="multilevel"/>
    <w:tmpl w:val="F81C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043DC2"/>
    <w:multiLevelType w:val="multilevel"/>
    <w:tmpl w:val="E18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209A7"/>
    <w:multiLevelType w:val="multilevel"/>
    <w:tmpl w:val="FEF4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87095"/>
    <w:multiLevelType w:val="multilevel"/>
    <w:tmpl w:val="883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B5D93"/>
    <w:multiLevelType w:val="multilevel"/>
    <w:tmpl w:val="5830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324FA"/>
    <w:multiLevelType w:val="multilevel"/>
    <w:tmpl w:val="66C6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15B99"/>
    <w:multiLevelType w:val="multilevel"/>
    <w:tmpl w:val="AE7A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741E4"/>
    <w:multiLevelType w:val="multilevel"/>
    <w:tmpl w:val="F112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41EBD"/>
    <w:multiLevelType w:val="multilevel"/>
    <w:tmpl w:val="EE2E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05988"/>
    <w:multiLevelType w:val="multilevel"/>
    <w:tmpl w:val="08D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33B1B"/>
    <w:multiLevelType w:val="multilevel"/>
    <w:tmpl w:val="7118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933BC"/>
    <w:multiLevelType w:val="multilevel"/>
    <w:tmpl w:val="E096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4150C"/>
    <w:multiLevelType w:val="multilevel"/>
    <w:tmpl w:val="385A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A2817"/>
    <w:multiLevelType w:val="multilevel"/>
    <w:tmpl w:val="8E6A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415449"/>
    <w:multiLevelType w:val="multilevel"/>
    <w:tmpl w:val="596E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763738">
    <w:abstractNumId w:val="12"/>
  </w:num>
  <w:num w:numId="2" w16cid:durableId="325019656">
    <w:abstractNumId w:val="22"/>
  </w:num>
  <w:num w:numId="3" w16cid:durableId="1085342510">
    <w:abstractNumId w:val="10"/>
  </w:num>
  <w:num w:numId="4" w16cid:durableId="697970734">
    <w:abstractNumId w:val="8"/>
  </w:num>
  <w:num w:numId="5" w16cid:durableId="1370645050">
    <w:abstractNumId w:val="2"/>
  </w:num>
  <w:num w:numId="6" w16cid:durableId="553467797">
    <w:abstractNumId w:val="3"/>
  </w:num>
  <w:num w:numId="7" w16cid:durableId="1245996946">
    <w:abstractNumId w:val="20"/>
  </w:num>
  <w:num w:numId="8" w16cid:durableId="117921609">
    <w:abstractNumId w:val="5"/>
  </w:num>
  <w:num w:numId="9" w16cid:durableId="816915173">
    <w:abstractNumId w:val="16"/>
  </w:num>
  <w:num w:numId="10" w16cid:durableId="532962029">
    <w:abstractNumId w:val="11"/>
  </w:num>
  <w:num w:numId="11" w16cid:durableId="1562642185">
    <w:abstractNumId w:val="0"/>
  </w:num>
  <w:num w:numId="12" w16cid:durableId="1092510757">
    <w:abstractNumId w:val="6"/>
  </w:num>
  <w:num w:numId="13" w16cid:durableId="848105998">
    <w:abstractNumId w:val="7"/>
  </w:num>
  <w:num w:numId="14" w16cid:durableId="1027296312">
    <w:abstractNumId w:val="19"/>
  </w:num>
  <w:num w:numId="15" w16cid:durableId="1336037197">
    <w:abstractNumId w:val="14"/>
  </w:num>
  <w:num w:numId="16" w16cid:durableId="254942098">
    <w:abstractNumId w:val="4"/>
  </w:num>
  <w:num w:numId="17" w16cid:durableId="835728378">
    <w:abstractNumId w:val="15"/>
  </w:num>
  <w:num w:numId="18" w16cid:durableId="1095904003">
    <w:abstractNumId w:val="9"/>
  </w:num>
  <w:num w:numId="19" w16cid:durableId="2063022635">
    <w:abstractNumId w:val="18"/>
  </w:num>
  <w:num w:numId="20" w16cid:durableId="895435953">
    <w:abstractNumId w:val="13"/>
  </w:num>
  <w:num w:numId="21" w16cid:durableId="1385329514">
    <w:abstractNumId w:val="1"/>
  </w:num>
  <w:num w:numId="22" w16cid:durableId="482237244">
    <w:abstractNumId w:val="21"/>
  </w:num>
  <w:num w:numId="23" w16cid:durableId="9905274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82"/>
    <w:rsid w:val="004A58C4"/>
    <w:rsid w:val="007379C5"/>
    <w:rsid w:val="00B32982"/>
    <w:rsid w:val="00D1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27ED"/>
  <w15:chartTrackingRefBased/>
  <w15:docId w15:val="{6FB36294-7D85-452E-AB64-36BF3E6A1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488211-7279-4FFD-AA29-EBB6BDDC7452}"/>
</file>

<file path=customXml/itemProps2.xml><?xml version="1.0" encoding="utf-8"?>
<ds:datastoreItem xmlns:ds="http://schemas.openxmlformats.org/officeDocument/2006/customXml" ds:itemID="{19C625FA-F4FF-4945-8DBE-4B4079B890F1}"/>
</file>

<file path=customXml/itemProps3.xml><?xml version="1.0" encoding="utf-8"?>
<ds:datastoreItem xmlns:ds="http://schemas.openxmlformats.org/officeDocument/2006/customXml" ds:itemID="{0B936E8E-C4E2-47CF-8375-8FBAE0E92C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1064</Words>
  <Characters>6069</Characters>
  <Application>Microsoft Office Word</Application>
  <DocSecurity>0</DocSecurity>
  <Lines>50</Lines>
  <Paragraphs>14</Paragraphs>
  <ScaleCrop>false</ScaleCrop>
  <Company>EY</Company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Khoji</dc:creator>
  <cp:keywords/>
  <dc:description/>
  <cp:lastModifiedBy>Himanshu Khoji</cp:lastModifiedBy>
  <cp:revision>1</cp:revision>
  <dcterms:created xsi:type="dcterms:W3CDTF">2025-12-01T07:12:00Z</dcterms:created>
  <dcterms:modified xsi:type="dcterms:W3CDTF">2025-12-01T07:15:00Z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