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End-to-End R2R Automation Architecture</w:t>
      </w:r>
    </w:p>
    <w:p>
      <w:pPr>
        <w:pStyle w:val="Heading2"/>
      </w:pPr>
      <w:r>
        <w:t>1. Source Systems (ERP Layer)</w:t>
      </w:r>
    </w:p>
    <w:p>
      <w:r>
        <w:t>Examples: SAP, Oracle ERP, Microsoft Dynamics</w:t>
        <w:br/>
        <w:t>Data Types:</w:t>
        <w:br/>
        <w:t>- GL balances</w:t>
        <w:br/>
        <w:t>- Journal entries</w:t>
        <w:br/>
        <w:t>- Subledger transactions</w:t>
        <w:br/>
        <w:t>- Bank statements</w:t>
        <w:br/>
        <w:t>Integration:</w:t>
        <w:br/>
        <w:t>- API/BAPI calls</w:t>
        <w:br/>
        <w:t>- Flat file exports</w:t>
        <w:br/>
        <w:t>- Real-time connectors</w:t>
      </w:r>
    </w:p>
    <w:p>
      <w:pPr>
        <w:pStyle w:val="Heading2"/>
      </w:pPr>
      <w:r>
        <w:t>2. BlackLine (Finance Automation Platform)</w:t>
      </w:r>
    </w:p>
    <w:p>
      <w:r>
        <w:t>Modules Used:</w:t>
        <w:br/>
        <w:t>- Account Reconciliation</w:t>
        <w:br/>
        <w:t>- Journal Entry Automation</w:t>
        <w:br/>
        <w:t>- Task Management</w:t>
        <w:br/>
        <w:t>- Matching Engine</w:t>
        <w:br/>
        <w:t>Functions:</w:t>
        <w:br/>
        <w:t>- Auto-certification of reconciliations</w:t>
        <w:br/>
        <w:t>- JE creation and approval workflows</w:t>
        <w:br/>
        <w:t>- Close calendar orchestration</w:t>
        <w:br/>
        <w:t>Integration:</w:t>
        <w:br/>
        <w:t>- ERP connectors</w:t>
        <w:br/>
        <w:t>- Data push/pull via SFTP/API</w:t>
      </w:r>
    </w:p>
    <w:p>
      <w:pPr>
        <w:pStyle w:val="Heading2"/>
      </w:pPr>
      <w:r>
        <w:t>3. Snowflake (Data Lake / Analytics Layer)</w:t>
      </w:r>
    </w:p>
    <w:p>
      <w:r>
        <w:t>Purpose:</w:t>
        <w:br/>
        <w:t>- Centralized storage of structured/unstructured finance data</w:t>
        <w:br/>
        <w:t>- Historical trend analysis</w:t>
        <w:br/>
        <w:t>- Data enrichment</w:t>
        <w:br/>
        <w:t>Data Sources:</w:t>
        <w:br/>
        <w:t>- ERP exports</w:t>
        <w:br/>
        <w:t>- BlackLine logs and metadata</w:t>
        <w:br/>
        <w:t>- External benchmarks</w:t>
        <w:br/>
        <w:t>Use Cases:</w:t>
        <w:br/>
        <w:t>- Variance analysis</w:t>
        <w:br/>
        <w:t>- Audit trail consolidation</w:t>
        <w:br/>
        <w:t>- Data modeling for AI</w:t>
      </w:r>
    </w:p>
    <w:p>
      <w:pPr>
        <w:pStyle w:val="Heading2"/>
      </w:pPr>
      <w:r>
        <w:t>4. AI Layer (Insights &amp; Automation)</w:t>
      </w:r>
    </w:p>
    <w:p>
      <w:r>
        <w:t>Capabilities:</w:t>
        <w:br/>
        <w:t>- Predictive accrual models</w:t>
        <w:br/>
        <w:t>- Anomaly detection in JEs</w:t>
        <w:br/>
        <w:t>- Auto-generated commentary</w:t>
        <w:br/>
        <w:t>- Exception resolution bots</w:t>
        <w:br/>
        <w:t>Tools:</w:t>
        <w:br/>
        <w:t>- Azure ML / AWS SageMaker / OpenAI APIs</w:t>
        <w:br/>
        <w:t>- Embedded in dashboards or workflow tools</w:t>
        <w:br/>
        <w:t>Outputs:</w:t>
        <w:br/>
        <w:t>- Insights pushed to BlackLine or BI tools</w:t>
        <w:br/>
        <w:t>- Alerts and recommendations</w:t>
        <w:br/>
        <w:t>- Commentary injected into reports</w:t>
      </w:r>
    </w:p>
    <w:p>
      <w:pPr>
        <w:pStyle w:val="Heading2"/>
      </w:pPr>
      <w:r>
        <w:t>5. Reporting &amp; Visualization</w:t>
      </w:r>
    </w:p>
    <w:p>
      <w:r>
        <w:t>Tools: Power BI, Tableau, Workiva, Oracle Narrative Reporting</w:t>
        <w:br/>
        <w:t>Features:</w:t>
        <w:br/>
        <w:t>- Dynamic dashboards</w:t>
        <w:br/>
        <w:t>- Commentary overlays</w:t>
        <w:br/>
        <w:t>- Drill-down into reconciliations and exceptions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B6B13C-A4D8-4E41-A208-49A85BE3F1ED}"/>
</file>

<file path=customXml/itemProps3.xml><?xml version="1.0" encoding="utf-8"?>
<ds:datastoreItem xmlns:ds="http://schemas.openxmlformats.org/officeDocument/2006/customXml" ds:itemID="{EA34467B-3934-4D8A-8584-90F8642A9DB8}"/>
</file>

<file path=customXml/itemProps4.xml><?xml version="1.0" encoding="utf-8"?>
<ds:datastoreItem xmlns:ds="http://schemas.openxmlformats.org/officeDocument/2006/customXml" ds:itemID="{973F9339-BA2C-4F05-80F3-F8A3549428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