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Decision Tree for Financial Close Automation Tool Selection</w:t>
      </w:r>
    </w:p>
    <w:p>
      <w:pPr>
        <w:pStyle w:val="Heading1"/>
      </w:pPr>
      <w:r>
        <w:t>Overview</w:t>
      </w:r>
    </w:p>
    <w:p>
      <w:pPr>
        <w:spacing w:after="120"/>
      </w:pPr>
      <w:r>
        <w:t>This document provides a structured decision tree framework to guide the selection of financial close automation tools—BlackLine, Trintech, and Oracle ARCS—based on client size and process maturity.</w:t>
      </w:r>
    </w:p>
    <w:p>
      <w:pPr>
        <w:spacing w:after="120"/>
      </w:pPr>
      <w:r>
        <w:t>It includes tool descriptions, strengths, ideal scenarios, and a summary decision matrix to support transformation planning and automation strategy.</w:t>
      </w:r>
    </w:p>
    <w:p>
      <w:pPr>
        <w:pStyle w:val="Heading1"/>
      </w:pPr>
      <w:r>
        <w:t>Tool Descriptions</w:t>
      </w:r>
    </w:p>
    <w:p>
      <w:pPr>
        <w:pStyle w:val="Heading1"/>
      </w:pPr>
      <w:r>
        <w:t>BlackLine</w:t>
      </w:r>
    </w:p>
    <w:p>
      <w:pPr>
        <w:spacing w:after="120"/>
      </w:pPr>
      <w:r>
        <w:t>Best Fit For: Mid to large enterprises with medium to high process maturity.</w:t>
      </w:r>
    </w:p>
    <w:p>
      <w:pPr>
        <w:spacing w:after="120"/>
      </w:pPr>
      <w:r>
        <w:t>Strengths: Account reconciliation, journal entry automation, task management, and close orchestration.</w:t>
      </w:r>
    </w:p>
    <w:p>
      <w:pPr>
        <w:spacing w:after="120"/>
      </w:pPr>
      <w:r>
        <w:t>Ideal Scenarios: Companies using SAP, Oracle, or NetSuite; seeking rapid deployment and cloud-native solutions; requiring strong audit trail and compliance.</w:t>
      </w:r>
    </w:p>
    <w:p>
      <w:pPr>
        <w:pStyle w:val="Heading1"/>
      </w:pPr>
      <w:r>
        <w:t>Trintech (Cadency / Adra)</w:t>
      </w:r>
    </w:p>
    <w:p>
      <w:pPr>
        <w:spacing w:after="120"/>
      </w:pPr>
      <w:r>
        <w:t>Best Fit For: SMEs (Adra) and large enterprises (Cadency) with low to medium (Adra) or medium to high (Cadency) process maturity.</w:t>
      </w:r>
    </w:p>
    <w:p>
      <w:pPr>
        <w:spacing w:after="120"/>
      </w:pPr>
      <w:r>
        <w:t>Strengths: Risk-based reconciliation, compliance and controls, workflow automation.</w:t>
      </w:r>
    </w:p>
    <w:p>
      <w:pPr>
        <w:spacing w:after="120"/>
      </w:pPr>
      <w:r>
        <w:t>Ideal Scenarios: Organizations with strong governance focus, multi-entity reconciliation needs, and ERP integration (e.g., Microsoft Dynamics, Oracle).</w:t>
      </w:r>
    </w:p>
    <w:p>
      <w:pPr>
        <w:pStyle w:val="Heading1"/>
      </w:pPr>
      <w:r>
        <w:t>Oracle ARCS (Account Reconciliation Cloud Service)</w:t>
      </w:r>
    </w:p>
    <w:p>
      <w:pPr>
        <w:spacing w:after="120"/>
      </w:pPr>
      <w:r>
        <w:t>Best Fit For: Large enterprises with high process maturity.</w:t>
      </w:r>
    </w:p>
    <w:p>
      <w:pPr>
        <w:spacing w:after="120"/>
      </w:pPr>
      <w:r>
        <w:t>Strengths: Deep integration with Oracle ERP Cloud, high configurability and scalability, advanced reconciliation logic and automation.</w:t>
      </w:r>
    </w:p>
    <w:p>
      <w:pPr>
        <w:spacing w:after="120"/>
      </w:pPr>
      <w:r>
        <w:t>Ideal Scenarios: Oracle-first environments, complex reconciliation needs, global operations with high volume transactions.</w:t>
      </w:r>
    </w:p>
    <w:p>
      <w:pPr>
        <w:pStyle w:val="Heading1"/>
      </w:pPr>
      <w:r>
        <w:t>Decision Tree Logic Summary</w:t>
      </w:r>
    </w:p>
    <w:p>
      <w:pPr>
        <w:spacing w:after="120"/>
      </w:pPr>
      <w:r>
        <w:t>The following matrix summarizes the recommended tool based on client size and process maturity: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Client Size</w:t>
            </w:r>
          </w:p>
        </w:tc>
        <w:tc>
          <w:tcPr>
            <w:tcW w:type="dxa" w:w="2880"/>
          </w:tcPr>
          <w:p>
            <w:r>
              <w:t>Process Maturity</w:t>
            </w:r>
          </w:p>
        </w:tc>
        <w:tc>
          <w:tcPr>
            <w:tcW w:type="dxa" w:w="2880"/>
          </w:tcPr>
          <w:p>
            <w:r>
              <w:t>Recommended Tool</w:t>
            </w:r>
          </w:p>
        </w:tc>
      </w:tr>
      <w:tr>
        <w:tc>
          <w:tcPr>
            <w:tcW w:type="dxa" w:w="2880"/>
          </w:tcPr>
          <w:p>
            <w:r>
              <w:t>SME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Trintech Adra</w:t>
            </w:r>
          </w:p>
        </w:tc>
      </w:tr>
      <w:tr>
        <w:tc>
          <w:tcPr>
            <w:tcW w:type="dxa" w:w="2880"/>
          </w:tcPr>
          <w:p>
            <w:r>
              <w:t>SME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Trintech Adra / BlackLine</w:t>
            </w:r>
          </w:p>
        </w:tc>
      </w:tr>
      <w:tr>
        <w:tc>
          <w:tcPr>
            <w:tcW w:type="dxa" w:w="2880"/>
          </w:tcPr>
          <w:p>
            <w:r>
              <w:t>Large Enterprise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Trintech Cadency</w:t>
            </w:r>
          </w:p>
        </w:tc>
      </w:tr>
      <w:tr>
        <w:tc>
          <w:tcPr>
            <w:tcW w:type="dxa" w:w="2880"/>
          </w:tcPr>
          <w:p>
            <w:r>
              <w:t>Large Enterprise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BlackLine / Trintech Cadency</w:t>
            </w:r>
          </w:p>
        </w:tc>
      </w:tr>
      <w:tr>
        <w:tc>
          <w:tcPr>
            <w:tcW w:type="dxa" w:w="2880"/>
          </w:tcPr>
          <w:p>
            <w:r>
              <w:t>Large Enterprise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Oracle ARCS / BlackLine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CBCC72-838F-4045-A33F-95538629570A}"/>
</file>

<file path=customXml/itemProps3.xml><?xml version="1.0" encoding="utf-8"?>
<ds:datastoreItem xmlns:ds="http://schemas.openxmlformats.org/officeDocument/2006/customXml" ds:itemID="{C7A5C06C-ABF0-44FF-B82A-1D5200FEEC54}"/>
</file>

<file path=customXml/itemProps4.xml><?xml version="1.0" encoding="utf-8"?>
<ds:datastoreItem xmlns:ds="http://schemas.openxmlformats.org/officeDocument/2006/customXml" ds:itemID="{1EC41750-6B0F-45A3-AA7D-D7A8F856C6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