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E74EB" w14:textId="6AFE8884" w:rsidR="002A2BE6" w:rsidRDefault="002A2BE6" w:rsidP="00E97058">
      <w:pPr>
        <w:pStyle w:val="TOCHeading"/>
        <w:rPr>
          <w:rFonts w:ascii="Verdana" w:hAnsi="Verdana"/>
          <w:sz w:val="10"/>
          <w:szCs w:val="10"/>
        </w:rPr>
      </w:pPr>
      <w:r w:rsidRPr="00BC75F9">
        <w:rPr>
          <w:rFonts w:ascii="Verdana" w:hAnsi="Verdana"/>
          <w:noProof/>
        </w:rPr>
        <mc:AlternateContent>
          <mc:Choice Requires="wps">
            <w:drawing>
              <wp:anchor distT="0" distB="0" distL="114300" distR="114300" simplePos="0" relativeHeight="251663360" behindDoc="0" locked="0" layoutInCell="1" allowOverlap="1" wp14:anchorId="7ECC4E5C" wp14:editId="590B2ACA">
                <wp:simplePos x="0" y="0"/>
                <wp:positionH relativeFrom="page">
                  <wp:posOffset>3307743</wp:posOffset>
                </wp:positionH>
                <wp:positionV relativeFrom="margin">
                  <wp:posOffset>-11347</wp:posOffset>
                </wp:positionV>
                <wp:extent cx="2875915" cy="3414119"/>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4141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EFB6E6" w14:textId="5BE34319" w:rsidR="002A2BE6" w:rsidRPr="002A2BE6" w:rsidRDefault="002A2BE6" w:rsidP="002A2BE6">
                            <w:pPr>
                              <w:spacing w:before="240"/>
                              <w:jc w:val="center"/>
                              <w:rPr>
                                <w:rFonts w:ascii="Arial" w:hAnsi="Arial" w:cs="Arial"/>
                                <w:b/>
                                <w:bCs/>
                                <w:color w:val="FFFFFF" w:themeColor="background1"/>
                                <w:sz w:val="32"/>
                                <w:szCs w:val="32"/>
                              </w:rPr>
                            </w:pPr>
                            <w:r w:rsidRPr="002A2BE6">
                              <w:rPr>
                                <w:rFonts w:ascii="Arial" w:hAnsi="Arial" w:cs="Arial"/>
                                <w:b/>
                                <w:bCs/>
                                <w:color w:val="FFFFFF" w:themeColor="background1"/>
                                <w:sz w:val="32"/>
                                <w:szCs w:val="32"/>
                              </w:rPr>
                              <w:t>R2R Training Academy</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7ECC4E5C" id="Rectangle 467" o:spid="_x0000_s1026" style="position:absolute;margin-left:260.45pt;margin-top:-.9pt;width:226.45pt;height:268.85pt;z-index:251663360;visibility:visible;mso-wrap-style:square;mso-width-percent:370;mso-height-percent:0;mso-wrap-distance-left:9pt;mso-wrap-distance-top:0;mso-wrap-distance-right:9pt;mso-wrap-distance-bottom:0;mso-position-horizontal:absolute;mso-position-horizontal-relative:page;mso-position-vertical:absolute;mso-position-vertical-relative:margin;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" fillcolor="black [3213]" stroked="f" strokeweight="1pt">
                <v:textbox inset="14.4pt,14.4pt,14.4pt,28.8pt">
                  <w:txbxContent>
                    <w:p w14:paraId="33EFB6E6" w14:textId="5BE34319" w:rsidR="002A2BE6" w:rsidRPr="002A2BE6" w:rsidRDefault="002A2BE6" w:rsidP="002A2BE6">
                      <w:pPr>
                        <w:spacing w:before="240"/>
                        <w:jc w:val="center"/>
                        <w:rPr>
                          <w:rFonts w:ascii="Arial" w:hAnsi="Arial" w:cs="Arial"/>
                          <w:b/>
                          <w:bCs/>
                          <w:color w:val="FFFFFF" w:themeColor="background1"/>
                          <w:sz w:val="32"/>
                          <w:szCs w:val="32"/>
                        </w:rPr>
                      </w:pPr>
                      <w:r w:rsidRPr="002A2BE6">
                        <w:rPr>
                          <w:rFonts w:ascii="Arial" w:hAnsi="Arial" w:cs="Arial"/>
                          <w:b/>
                          <w:bCs/>
                          <w:color w:val="FFFFFF" w:themeColor="background1"/>
                          <w:sz w:val="32"/>
                          <w:szCs w:val="32"/>
                        </w:rPr>
                        <w:t>R2R Training Academy</w:t>
                      </w:r>
                    </w:p>
                  </w:txbxContent>
                </v:textbox>
                <w10:wrap anchorx="page" anchory="margin"/>
              </v:rect>
            </w:pict>
          </mc:Fallback>
        </mc:AlternateContent>
      </w:r>
      <w:r w:rsidRPr="00BC75F9">
        <w:rPr>
          <w:rFonts w:ascii="Verdana" w:hAnsi="Verdana"/>
          <w:noProof/>
        </w:rPr>
        <mc:AlternateContent>
          <mc:Choice Requires="wps">
            <w:drawing>
              <wp:anchor distT="0" distB="0" distL="114300" distR="114300" simplePos="0" relativeHeight="251661312" behindDoc="0" locked="0" layoutInCell="1" allowOverlap="1" wp14:anchorId="59FA8244" wp14:editId="70F38D31">
                <wp:simplePos x="0" y="0"/>
                <wp:positionH relativeFrom="page">
                  <wp:posOffset>3199814</wp:posOffset>
                </wp:positionH>
                <wp:positionV relativeFrom="page">
                  <wp:posOffset>731275</wp:posOffset>
                </wp:positionV>
                <wp:extent cx="3108960" cy="7595235"/>
                <wp:effectExtent l="0" t="0" r="0" b="5715"/>
                <wp:wrapNone/>
                <wp:docPr id="468" name="Rectangle 468"/>
                <wp:cNvGraphicFramePr/>
                <a:graphic xmlns:a="http://schemas.openxmlformats.org/drawingml/2006/main">
                  <a:graphicData uri="http://schemas.microsoft.com/office/word/2010/wordprocessingShape">
                    <wps:wsp>
                      <wps:cNvSpPr/>
                      <wps:spPr>
                        <a:xfrm>
                          <a:off x="0" y="0"/>
                          <a:ext cx="3108960" cy="7595235"/>
                        </a:xfrm>
                        <a:prstGeom prst="rect">
                          <a:avLst/>
                        </a:prstGeom>
                        <a:solidFill>
                          <a:schemeClr val="bg1"/>
                        </a:solidFill>
                        <a:ln w="158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0</wp14:pctHeight>
                </wp14:sizeRelV>
              </wp:anchor>
            </w:drawing>
          </mc:Choice>
          <mc:Fallback>
            <w:pict>
              <v:rect w14:anchorId="11437CBF" id="Rectangle 468" o:spid="_x0000_s1026" style="position:absolute;margin-left:251.95pt;margin-top:57.6pt;width:244.8pt;height:598.05pt;z-index:251661312;visibility:visible;mso-wrap-style:square;mso-width-percent:400;mso-height-percent:0;mso-wrap-distance-left:9pt;mso-wrap-distance-top:0;mso-wrap-distance-right:9pt;mso-wrap-distance-bottom:0;mso-position-horizontal:absolute;mso-position-horizontal-relative:page;mso-position-vertical:absolute;mso-position-vertical-relative:page;mso-width-percent:4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" fillcolor="white [3212]" stroked="f" strokeweight="1.25pt">
                <w10:wrap anchorx="page" anchory="page"/>
              </v:rect>
            </w:pict>
          </mc:Fallback>
        </mc:AlternateContent>
      </w:r>
      <w:r w:rsidRPr="00BC75F9">
        <w:rPr>
          <w:rFonts w:ascii="Verdana" w:hAnsi="Verdana"/>
          <w:noProof/>
        </w:rPr>
        <mc:AlternateContent>
          <mc:Choice Requires="wps">
            <w:drawing>
              <wp:anchor distT="0" distB="0" distL="114300" distR="114300" simplePos="0" relativeHeight="251659264" behindDoc="1" locked="0" layoutInCell="1" allowOverlap="1" wp14:anchorId="33E39FD6" wp14:editId="5A94B88B">
                <wp:simplePos x="0" y="0"/>
                <wp:positionH relativeFrom="margin">
                  <wp:posOffset>-372500</wp:posOffset>
                </wp:positionH>
                <wp:positionV relativeFrom="page">
                  <wp:posOffset>768204</wp:posOffset>
                </wp:positionV>
                <wp:extent cx="6500495" cy="8432800"/>
                <wp:effectExtent l="0" t="0" r="0" b="635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0495" cy="8432800"/>
                        </a:xfrm>
                        <a:prstGeom prst="rect">
                          <a:avLst/>
                        </a:prstGeom>
                        <a:solidFill>
                          <a:schemeClr val="bg1">
                            <a:lumMod val="85000"/>
                          </a:schemeClr>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C65741E" w14:textId="2405FFE3" w:rsidR="002A2BE6" w:rsidRDefault="002A2BE6" w:rsidP="002A2BE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E39FD6" id="Rectangle 466" o:spid="_x0000_s1027" style="position:absolute;margin-left:-29.35pt;margin-top:60.5pt;width:511.85pt;height:66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" fillcolor="#d8d8d8 [2732]" stroked="f" strokeweight="1pt">
                <v:textbox inset="21.6pt,,21.6pt">
                  <w:txbxContent>
                    <w:p w14:paraId="3C65741E" w14:textId="2405FFE3" w:rsidR="002A2BE6" w:rsidRDefault="002A2BE6" w:rsidP="002A2BE6"/>
                  </w:txbxContent>
                </v:textbox>
                <w10:wrap anchorx="margin" anchory="page"/>
              </v:rect>
            </w:pict>
          </mc:Fallback>
        </mc:AlternateContent>
      </w:r>
    </w:p>
    <w:p w14:paraId="13AB359E" w14:textId="7C1E6542" w:rsidR="002A2BE6" w:rsidRDefault="00867363">
      <w:pPr>
        <w:rPr>
          <w:rFonts w:ascii="Verdana" w:eastAsiaTheme="majorEastAsia" w:hAnsi="Verdana" w:cstheme="majorBidi"/>
          <w:color w:val="2F5496" w:themeColor="accent1" w:themeShade="BF"/>
          <w:kern w:val="0"/>
          <w:sz w:val="10"/>
          <w:szCs w:val="10"/>
          <w:lang w:val="en-US"/>
          <w14:ligatures w14:val="none"/>
        </w:rPr>
      </w:pPr>
      <w:r w:rsidRPr="00BC75F9">
        <w:rPr>
          <w:rFonts w:ascii="Verdana" w:hAnsi="Verdana"/>
          <w:noProof/>
        </w:rPr>
        <mc:AlternateContent>
          <mc:Choice Requires="wps">
            <w:drawing>
              <wp:anchor distT="0" distB="0" distL="114300" distR="114300" simplePos="0" relativeHeight="251667456" behindDoc="0" locked="0" layoutInCell="1" allowOverlap="1" wp14:anchorId="670009B1" wp14:editId="5D12C07F">
                <wp:simplePos x="0" y="0"/>
                <wp:positionH relativeFrom="page">
                  <wp:posOffset>3319145</wp:posOffset>
                </wp:positionH>
                <wp:positionV relativeFrom="margin">
                  <wp:posOffset>3436620</wp:posOffset>
                </wp:positionV>
                <wp:extent cx="2779395" cy="2249805"/>
                <wp:effectExtent l="0" t="0" r="0" b="0"/>
                <wp:wrapSquare wrapText="bothSides"/>
                <wp:docPr id="818682862" name="Text Box 818682862"/>
                <wp:cNvGraphicFramePr/>
                <a:graphic xmlns:a="http://schemas.openxmlformats.org/drawingml/2006/main">
                  <a:graphicData uri="http://schemas.microsoft.com/office/word/2010/wordprocessingShape">
                    <wps:wsp>
                      <wps:cNvSpPr txBox="1"/>
                      <wps:spPr>
                        <a:xfrm>
                          <a:off x="0" y="0"/>
                          <a:ext cx="2779395" cy="2249805"/>
                        </a:xfrm>
                        <a:prstGeom prst="rect">
                          <a:avLst/>
                        </a:prstGeom>
                        <a:noFill/>
                        <a:ln w="6350">
                          <a:noFill/>
                        </a:ln>
                        <a:effectLst/>
                      </wps:spPr>
                      <wps:txbx>
                        <w:txbxContent>
                          <w:p w14:paraId="6B28B1E0" w14:textId="086C76BE" w:rsidR="002A2BE6" w:rsidRPr="00E97058" w:rsidRDefault="00000000" w:rsidP="00E97058">
                            <w:pPr>
                              <w:rPr>
                                <w:rFonts w:asciiTheme="majorHAnsi" w:eastAsiaTheme="majorEastAsia" w:hAnsiTheme="majorHAnsi" w:cstheme="majorBidi"/>
                                <w:noProof/>
                                <w:color w:val="ED7D31" w:themeColor="accent2"/>
                                <w:sz w:val="72"/>
                                <w:szCs w:val="144"/>
                              </w:rPr>
                            </w:pPr>
                            <w:sdt>
                              <w:sdtPr>
                                <w:rPr>
                                  <w:rFonts w:asciiTheme="majorHAnsi" w:eastAsiaTheme="majorEastAsia" w:hAnsiTheme="majorHAnsi" w:cstheme="majorBidi"/>
                                  <w:noProof/>
                                  <w:color w:val="FF9E18"/>
                                  <w:sz w:val="72"/>
                                  <w:szCs w:val="72"/>
                                  <w:lang w:val="en-GB" w:eastAsia="en-GB"/>
                                </w:rPr>
                                <w:alias w:val="Title"/>
                                <w:id w:val="-936594241"/>
                                <w:showingPlcHdr/>
                                <w:dataBinding w:prefixMappings="xmlns:ns0='http://schemas.openxmlformats.org/package/2006/metadata/core-properties' xmlns:ns1='http://purl.org/dc/elements/1.1/'" w:xpath="/ns0:coreProperties[1]/ns1:title[1]" w:storeItemID="{6C3C8BC8-F283-45AE-878A-BAB7291924A1}"/>
                                <w:text/>
                              </w:sdtPr>
                              <w:sdtContent>
                                <w:r w:rsidR="002A2BE6">
                                  <w:rPr>
                                    <w:rFonts w:asciiTheme="majorHAnsi" w:eastAsiaTheme="majorEastAsia" w:hAnsiTheme="majorHAnsi" w:cstheme="majorBidi"/>
                                    <w:noProof/>
                                    <w:color w:val="FF9E18"/>
                                    <w:sz w:val="72"/>
                                    <w:szCs w:val="72"/>
                                    <w:lang w:val="en-GB" w:eastAsia="en-GB"/>
                                  </w:rPr>
                                  <w:t xml:space="preserve">     </w:t>
                                </w:r>
                              </w:sdtContent>
                            </w:sdt>
                            <w:r w:rsidR="002A2BE6" w:rsidRPr="002A2BE6">
                              <w:rPr>
                                <w:rFonts w:asciiTheme="majorHAnsi" w:eastAsiaTheme="majorEastAsia" w:hAnsiTheme="majorHAnsi" w:cstheme="majorBidi"/>
                                <w:b/>
                                <w:bCs/>
                                <w:noProof/>
                                <w:color w:val="000000" w:themeColor="text1"/>
                                <w:sz w:val="44"/>
                                <w:szCs w:val="52"/>
                              </w:rPr>
                              <w:t xml:space="preserve">Finance Master </w:t>
                            </w:r>
                            <w:r w:rsidR="002A2BE6" w:rsidRPr="00E97058">
                              <w:rPr>
                                <w:rFonts w:asciiTheme="majorHAnsi" w:eastAsiaTheme="majorEastAsia" w:hAnsiTheme="majorHAnsi" w:cstheme="majorBidi"/>
                                <w:b/>
                                <w:bCs/>
                                <w:noProof/>
                                <w:color w:val="000000" w:themeColor="text1"/>
                                <w:sz w:val="44"/>
                                <w:szCs w:val="52"/>
                                <w:u w:val="single"/>
                              </w:rPr>
                              <w:t>Data and A</w:t>
                            </w:r>
                            <w:r w:rsidR="00CD0202">
                              <w:rPr>
                                <w:rFonts w:asciiTheme="majorHAnsi" w:eastAsiaTheme="majorEastAsia" w:hAnsiTheme="majorHAnsi" w:cstheme="majorBidi"/>
                                <w:b/>
                                <w:bCs/>
                                <w:noProof/>
                                <w:color w:val="000000" w:themeColor="text1"/>
                                <w:sz w:val="44"/>
                                <w:szCs w:val="52"/>
                                <w:u w:val="single"/>
                              </w:rPr>
                              <w:t>n</w:t>
                            </w:r>
                            <w:r w:rsidR="002A2BE6" w:rsidRPr="00E97058">
                              <w:rPr>
                                <w:rFonts w:asciiTheme="majorHAnsi" w:eastAsiaTheme="majorEastAsia" w:hAnsiTheme="majorHAnsi" w:cstheme="majorBidi"/>
                                <w:b/>
                                <w:bCs/>
                                <w:noProof/>
                                <w:color w:val="000000" w:themeColor="text1"/>
                                <w:sz w:val="44"/>
                                <w:szCs w:val="52"/>
                                <w:u w:val="single"/>
                              </w:rPr>
                              <w:t>alytics Layer</w:t>
                            </w:r>
                          </w:p>
                          <w:p w14:paraId="764CE2A1" w14:textId="77777777" w:rsidR="002A2BE6" w:rsidRDefault="002A2BE6" w:rsidP="002A2BE6">
                            <w:pPr>
                              <w:rPr>
                                <w:rFonts w:asciiTheme="majorHAnsi" w:eastAsiaTheme="majorEastAsia" w:hAnsiTheme="majorHAnsi" w:cstheme="majorBidi"/>
                                <w:b/>
                                <w:bCs/>
                                <w:noProof/>
                                <w:color w:val="000000" w:themeColor="text1"/>
                                <w:sz w:val="44"/>
                                <w:szCs w:val="52"/>
                              </w:rPr>
                            </w:pPr>
                          </w:p>
                          <w:p w14:paraId="59C5B4BD" w14:textId="602E8D88" w:rsidR="00E97058" w:rsidRPr="00E97058" w:rsidRDefault="00A41220" w:rsidP="00E97058">
                            <w:pPr>
                              <w:jc w:val="center"/>
                              <w:rPr>
                                <w:rFonts w:asciiTheme="majorHAnsi" w:eastAsiaTheme="majorEastAsia" w:hAnsiTheme="majorHAnsi" w:cstheme="majorBidi"/>
                                <w:b/>
                                <w:bCs/>
                                <w:noProof/>
                                <w:color w:val="1F3864" w:themeColor="accent1" w:themeShade="80"/>
                                <w:sz w:val="36"/>
                                <w:szCs w:val="44"/>
                              </w:rPr>
                            </w:pPr>
                            <w:r>
                              <w:rPr>
                                <w:rFonts w:asciiTheme="majorHAnsi" w:eastAsiaTheme="majorEastAsia" w:hAnsiTheme="majorHAnsi" w:cstheme="majorBidi"/>
                                <w:b/>
                                <w:bCs/>
                                <w:noProof/>
                                <w:color w:val="1F3864" w:themeColor="accent1" w:themeShade="80"/>
                                <w:sz w:val="36"/>
                                <w:szCs w:val="44"/>
                              </w:rPr>
                              <w:t>Benchmarking Process</w:t>
                            </w:r>
                          </w:p>
                          <w:p w14:paraId="2673C922" w14:textId="5FEDBBA0" w:rsidR="00E97058" w:rsidRPr="00E97058" w:rsidRDefault="00E97058" w:rsidP="002A2BE6">
                            <w:pPr>
                              <w:rPr>
                                <w:rFonts w:asciiTheme="majorHAnsi" w:eastAsiaTheme="majorEastAsia" w:hAnsiTheme="majorHAnsi" w:cstheme="majorBidi"/>
                                <w:b/>
                                <w:bCs/>
                                <w:noProof/>
                                <w:color w:val="000000" w:themeColor="text1"/>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0009B1" id="_x0000_t202" coordsize="21600,21600" o:spt="202" path="m,l,21600r21600,l21600,xe">
                <v:stroke joinstyle="miter"/>
                <v:path gradientshapeok="t" o:connecttype="rect"/>
              </v:shapetype>
              <v:shape id="Text Box 818682862" o:spid="_x0000_s1028" type="#_x0000_t202" style="position:absolute;margin-left:261.35pt;margin-top:270.6pt;width:218.85pt;height:177.1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" filled="f" stroked="f" strokeweight=".5pt">
                <v:textbox>
                  <w:txbxContent>
                    <w:p w14:paraId="6B28B1E0" w14:textId="086C76BE" w:rsidR="002A2BE6" w:rsidRPr="00E97058" w:rsidRDefault="00000000" w:rsidP="00E97058">
                      <w:pPr>
                        <w:rPr>
                          <w:rFonts w:asciiTheme="majorHAnsi" w:eastAsiaTheme="majorEastAsia" w:hAnsiTheme="majorHAnsi" w:cstheme="majorBidi"/>
                          <w:noProof/>
                          <w:color w:val="ED7D31" w:themeColor="accent2"/>
                          <w:sz w:val="72"/>
                          <w:szCs w:val="144"/>
                        </w:rPr>
                      </w:pPr>
                      <w:sdt>
                        <w:sdtPr>
                          <w:rPr>
                            <w:rFonts w:asciiTheme="majorHAnsi" w:eastAsiaTheme="majorEastAsia" w:hAnsiTheme="majorHAnsi" w:cstheme="majorBidi"/>
                            <w:noProof/>
                            <w:color w:val="FF9E18"/>
                            <w:sz w:val="72"/>
                            <w:szCs w:val="72"/>
                            <w:lang w:val="en-GB" w:eastAsia="en-GB"/>
                          </w:rPr>
                          <w:alias w:val="Title"/>
                          <w:id w:val="-936594241"/>
                          <w:showingPlcHdr/>
                          <w:dataBinding w:prefixMappings="xmlns:ns0='http://schemas.openxmlformats.org/package/2006/metadata/core-properties' xmlns:ns1='http://purl.org/dc/elements/1.1/'" w:xpath="/ns0:coreProperties[1]/ns1:title[1]" w:storeItemID="{6C3C8BC8-F283-45AE-878A-BAB7291924A1}"/>
                          <w:text/>
                        </w:sdtPr>
                        <w:sdtContent>
                          <w:r w:rsidR="002A2BE6">
                            <w:rPr>
                              <w:rFonts w:asciiTheme="majorHAnsi" w:eastAsiaTheme="majorEastAsia" w:hAnsiTheme="majorHAnsi" w:cstheme="majorBidi"/>
                              <w:noProof/>
                              <w:color w:val="FF9E18"/>
                              <w:sz w:val="72"/>
                              <w:szCs w:val="72"/>
                              <w:lang w:val="en-GB" w:eastAsia="en-GB"/>
                            </w:rPr>
                            <w:t xml:space="preserve">     </w:t>
                          </w:r>
                        </w:sdtContent>
                      </w:sdt>
                      <w:r w:rsidR="002A2BE6" w:rsidRPr="002A2BE6">
                        <w:rPr>
                          <w:rFonts w:asciiTheme="majorHAnsi" w:eastAsiaTheme="majorEastAsia" w:hAnsiTheme="majorHAnsi" w:cstheme="majorBidi"/>
                          <w:b/>
                          <w:bCs/>
                          <w:noProof/>
                          <w:color w:val="000000" w:themeColor="text1"/>
                          <w:sz w:val="44"/>
                          <w:szCs w:val="52"/>
                        </w:rPr>
                        <w:t xml:space="preserve">Finance Master </w:t>
                      </w:r>
                      <w:r w:rsidR="002A2BE6" w:rsidRPr="00E97058">
                        <w:rPr>
                          <w:rFonts w:asciiTheme="majorHAnsi" w:eastAsiaTheme="majorEastAsia" w:hAnsiTheme="majorHAnsi" w:cstheme="majorBidi"/>
                          <w:b/>
                          <w:bCs/>
                          <w:noProof/>
                          <w:color w:val="000000" w:themeColor="text1"/>
                          <w:sz w:val="44"/>
                          <w:szCs w:val="52"/>
                          <w:u w:val="single"/>
                        </w:rPr>
                        <w:t>Data and A</w:t>
                      </w:r>
                      <w:r w:rsidR="00CD0202">
                        <w:rPr>
                          <w:rFonts w:asciiTheme="majorHAnsi" w:eastAsiaTheme="majorEastAsia" w:hAnsiTheme="majorHAnsi" w:cstheme="majorBidi"/>
                          <w:b/>
                          <w:bCs/>
                          <w:noProof/>
                          <w:color w:val="000000" w:themeColor="text1"/>
                          <w:sz w:val="44"/>
                          <w:szCs w:val="52"/>
                          <w:u w:val="single"/>
                        </w:rPr>
                        <w:t>n</w:t>
                      </w:r>
                      <w:r w:rsidR="002A2BE6" w:rsidRPr="00E97058">
                        <w:rPr>
                          <w:rFonts w:asciiTheme="majorHAnsi" w:eastAsiaTheme="majorEastAsia" w:hAnsiTheme="majorHAnsi" w:cstheme="majorBidi"/>
                          <w:b/>
                          <w:bCs/>
                          <w:noProof/>
                          <w:color w:val="000000" w:themeColor="text1"/>
                          <w:sz w:val="44"/>
                          <w:szCs w:val="52"/>
                          <w:u w:val="single"/>
                        </w:rPr>
                        <w:t>alytics Layer</w:t>
                      </w:r>
                    </w:p>
                    <w:p w14:paraId="764CE2A1" w14:textId="77777777" w:rsidR="002A2BE6" w:rsidRDefault="002A2BE6" w:rsidP="002A2BE6">
                      <w:pPr>
                        <w:rPr>
                          <w:rFonts w:asciiTheme="majorHAnsi" w:eastAsiaTheme="majorEastAsia" w:hAnsiTheme="majorHAnsi" w:cstheme="majorBidi"/>
                          <w:b/>
                          <w:bCs/>
                          <w:noProof/>
                          <w:color w:val="000000" w:themeColor="text1"/>
                          <w:sz w:val="44"/>
                          <w:szCs w:val="52"/>
                        </w:rPr>
                      </w:pPr>
                    </w:p>
                    <w:p w14:paraId="59C5B4BD" w14:textId="602E8D88" w:rsidR="00E97058" w:rsidRPr="00E97058" w:rsidRDefault="00A41220" w:rsidP="00E97058">
                      <w:pPr>
                        <w:jc w:val="center"/>
                        <w:rPr>
                          <w:rFonts w:asciiTheme="majorHAnsi" w:eastAsiaTheme="majorEastAsia" w:hAnsiTheme="majorHAnsi" w:cstheme="majorBidi"/>
                          <w:b/>
                          <w:bCs/>
                          <w:noProof/>
                          <w:color w:val="1F3864" w:themeColor="accent1" w:themeShade="80"/>
                          <w:sz w:val="36"/>
                          <w:szCs w:val="44"/>
                        </w:rPr>
                      </w:pPr>
                      <w:r>
                        <w:rPr>
                          <w:rFonts w:asciiTheme="majorHAnsi" w:eastAsiaTheme="majorEastAsia" w:hAnsiTheme="majorHAnsi" w:cstheme="majorBidi"/>
                          <w:b/>
                          <w:bCs/>
                          <w:noProof/>
                          <w:color w:val="1F3864" w:themeColor="accent1" w:themeShade="80"/>
                          <w:sz w:val="36"/>
                          <w:szCs w:val="44"/>
                        </w:rPr>
                        <w:t>Benchmarking Process</w:t>
                      </w:r>
                    </w:p>
                    <w:p w14:paraId="2673C922" w14:textId="5FEDBBA0" w:rsidR="00E97058" w:rsidRPr="00E97058" w:rsidRDefault="00E97058" w:rsidP="002A2BE6">
                      <w:pPr>
                        <w:rPr>
                          <w:rFonts w:asciiTheme="majorHAnsi" w:eastAsiaTheme="majorEastAsia" w:hAnsiTheme="majorHAnsi" w:cstheme="majorBidi"/>
                          <w:b/>
                          <w:bCs/>
                          <w:noProof/>
                          <w:color w:val="000000" w:themeColor="text1"/>
                          <w:szCs w:val="28"/>
                        </w:rPr>
                      </w:pPr>
                    </w:p>
                  </w:txbxContent>
                </v:textbox>
                <w10:wrap type="square" anchorx="page" anchory="margin"/>
              </v:shape>
            </w:pict>
          </mc:Fallback>
        </mc:AlternateContent>
      </w:r>
      <w:r w:rsidR="00E97058">
        <w:rPr>
          <w:rFonts w:ascii="Verdana" w:hAnsi="Verdana"/>
          <w:noProof/>
        </w:rPr>
        <mc:AlternateContent>
          <mc:Choice Requires="wps">
            <w:drawing>
              <wp:anchor distT="0" distB="0" distL="114300" distR="114300" simplePos="0" relativeHeight="251668480" behindDoc="0" locked="0" layoutInCell="1" allowOverlap="1" wp14:anchorId="3B4191F9" wp14:editId="044D0C3A">
                <wp:simplePos x="0" y="0"/>
                <wp:positionH relativeFrom="column">
                  <wp:posOffset>2444391</wp:posOffset>
                </wp:positionH>
                <wp:positionV relativeFrom="paragraph">
                  <wp:posOffset>6903968</wp:posOffset>
                </wp:positionV>
                <wp:extent cx="2532184" cy="253219"/>
                <wp:effectExtent l="0" t="0" r="20955" b="13970"/>
                <wp:wrapNone/>
                <wp:docPr id="1103163163" name="Text Box 1"/>
                <wp:cNvGraphicFramePr/>
                <a:graphic xmlns:a="http://schemas.openxmlformats.org/drawingml/2006/main">
                  <a:graphicData uri="http://schemas.microsoft.com/office/word/2010/wordprocessingShape">
                    <wps:wsp>
                      <wps:cNvSpPr txBox="1"/>
                      <wps:spPr>
                        <a:xfrm>
                          <a:off x="0" y="0"/>
                          <a:ext cx="2532184" cy="253219"/>
                        </a:xfrm>
                        <a:prstGeom prst="rect">
                          <a:avLst/>
                        </a:prstGeom>
                        <a:solidFill>
                          <a:schemeClr val="tx1"/>
                        </a:solidFill>
                        <a:ln w="6350">
                          <a:solidFill>
                            <a:prstClr val="black"/>
                          </a:solidFill>
                        </a:ln>
                      </wps:spPr>
                      <wps:txbx>
                        <w:txbxContent>
                          <w:p w14:paraId="29130ADE" w14:textId="5F0CEAC6" w:rsidR="00E97058" w:rsidRPr="00E97058" w:rsidRDefault="00E97058">
                            <w:pPr>
                              <w:rPr>
                                <w:b/>
                                <w:bCs/>
                              </w:rPr>
                            </w:pPr>
                            <w:r w:rsidRPr="00E97058">
                              <w:rPr>
                                <w:rFonts w:cstheme="minorHAnsi"/>
                                <w:b/>
                                <w:bCs/>
                              </w:rPr>
                              <w:t>©</w:t>
                            </w:r>
                            <w:r w:rsidRPr="00E97058">
                              <w:rPr>
                                <w:b/>
                                <w:bCs/>
                              </w:rPr>
                              <w:t xml:space="preserve"> EY Internal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191F9" id="Text Box 1" o:spid="_x0000_s1029" type="#_x0000_t202" style="position:absolute;margin-left:192.45pt;margin-top:543.6pt;width:199.4pt;height:19.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" fillcolor="black [3213]" strokeweight=".5pt">
                <v:textbox>
                  <w:txbxContent>
                    <w:p w14:paraId="29130ADE" w14:textId="5F0CEAC6" w:rsidR="00E97058" w:rsidRPr="00E97058" w:rsidRDefault="00E97058">
                      <w:pPr>
                        <w:rPr>
                          <w:b/>
                          <w:bCs/>
                        </w:rPr>
                      </w:pPr>
                      <w:r w:rsidRPr="00E97058">
                        <w:rPr>
                          <w:rFonts w:cstheme="minorHAnsi"/>
                          <w:b/>
                          <w:bCs/>
                        </w:rPr>
                        <w:t>©</w:t>
                      </w:r>
                      <w:r w:rsidRPr="00E97058">
                        <w:rPr>
                          <w:b/>
                          <w:bCs/>
                        </w:rPr>
                        <w:t xml:space="preserve"> EY Internal Document</w:t>
                      </w:r>
                    </w:p>
                  </w:txbxContent>
                </v:textbox>
              </v:shape>
            </w:pict>
          </mc:Fallback>
        </mc:AlternateContent>
      </w:r>
      <w:r w:rsidR="002A2BE6">
        <w:rPr>
          <w:rFonts w:ascii="Verdana" w:hAnsi="Verdana"/>
          <w:sz w:val="10"/>
          <w:szCs w:val="10"/>
        </w:rPr>
        <w:br w:type="page"/>
      </w:r>
    </w:p>
    <w:sdt>
      <w:sdtPr>
        <w:rPr>
          <w:rFonts w:ascii="Verdana" w:eastAsiaTheme="minorHAnsi" w:hAnsi="Verdana" w:cstheme="minorBidi"/>
          <w:color w:val="auto"/>
          <w:kern w:val="2"/>
          <w:sz w:val="20"/>
          <w:szCs w:val="20"/>
          <w:lang w:val="en-IN"/>
          <w14:ligatures w14:val="standardContextual"/>
        </w:rPr>
        <w:id w:val="-2099167266"/>
        <w:docPartObj>
          <w:docPartGallery w:val="Table of Contents"/>
          <w:docPartUnique/>
        </w:docPartObj>
      </w:sdtPr>
      <w:sdtEndPr>
        <w:rPr>
          <w:noProof/>
        </w:rPr>
      </w:sdtEndPr>
      <w:sdtContent>
        <w:p w14:paraId="2F112DC6" w14:textId="2F881C1C" w:rsidR="00BB540E" w:rsidRPr="00A66F97" w:rsidRDefault="00834910" w:rsidP="00BB540E">
          <w:pPr>
            <w:pStyle w:val="TOCHeading"/>
            <w:jc w:val="center"/>
            <w:rPr>
              <w:rFonts w:ascii="Verdana" w:hAnsi="Verdana"/>
              <w:color w:val="000000" w:themeColor="text1"/>
              <w:sz w:val="20"/>
              <w:szCs w:val="20"/>
              <w:u w:val="single"/>
            </w:rPr>
          </w:pPr>
          <w:r w:rsidRPr="00A66F97">
            <w:rPr>
              <w:rFonts w:ascii="Verdana" w:hAnsi="Verdana"/>
              <w:color w:val="000000" w:themeColor="text1"/>
              <w:sz w:val="20"/>
              <w:szCs w:val="20"/>
              <w:u w:val="single"/>
            </w:rPr>
            <w:t>Table of Contents</w:t>
          </w:r>
        </w:p>
        <w:p w14:paraId="59C82A3A" w14:textId="77777777" w:rsidR="002A2BE6" w:rsidRPr="00A66F97" w:rsidRDefault="002A2BE6" w:rsidP="002A2BE6">
          <w:pPr>
            <w:rPr>
              <w:rFonts w:ascii="Verdana" w:hAnsi="Verdana"/>
              <w:sz w:val="20"/>
              <w:szCs w:val="20"/>
              <w:lang w:val="en-US"/>
            </w:rPr>
          </w:pPr>
        </w:p>
        <w:p w14:paraId="1E5401BC" w14:textId="0FCCCC36" w:rsidR="00A66F97" w:rsidRPr="00A66F97" w:rsidRDefault="00AF332A" w:rsidP="00AD13A8">
          <w:pPr>
            <w:pStyle w:val="TOC1"/>
            <w:rPr>
              <w:rFonts w:eastAsiaTheme="minorEastAsia" w:cstheme="minorBidi"/>
              <w:kern w:val="2"/>
              <w14:ligatures w14:val="standardContextual"/>
            </w:rPr>
          </w:pPr>
          <w:r w:rsidRPr="00A66F97">
            <w:fldChar w:fldCharType="begin"/>
          </w:r>
          <w:r w:rsidRPr="00A66F97">
            <w:instrText xml:space="preserve"> TOC \o "1-3" \h \z \u </w:instrText>
          </w:r>
          <w:r w:rsidRPr="00A66F97">
            <w:fldChar w:fldCharType="separate"/>
          </w:r>
          <w:hyperlink w:anchor="_Toc206613701" w:history="1">
            <w:r w:rsidR="00A66F97" w:rsidRPr="00AD13A8">
              <w:rPr>
                <w:rStyle w:val="Hyperlink"/>
              </w:rPr>
              <w:t>1. What is the Benchmarking process</w:t>
            </w:r>
            <w:r w:rsidR="00A66F97" w:rsidRPr="00A66F97">
              <w:rPr>
                <w:webHidden/>
              </w:rPr>
              <w:tab/>
            </w:r>
            <w:r w:rsidR="00A66F97" w:rsidRPr="00A66F97">
              <w:rPr>
                <w:webHidden/>
              </w:rPr>
              <w:fldChar w:fldCharType="begin"/>
            </w:r>
            <w:r w:rsidR="00A66F97" w:rsidRPr="00A66F97">
              <w:rPr>
                <w:webHidden/>
              </w:rPr>
              <w:instrText xml:space="preserve"> PAGEREF _Toc206613701 \h </w:instrText>
            </w:r>
            <w:r w:rsidR="00A66F97" w:rsidRPr="00A66F97">
              <w:rPr>
                <w:webHidden/>
              </w:rPr>
            </w:r>
            <w:r w:rsidR="00A66F97" w:rsidRPr="00A66F97">
              <w:rPr>
                <w:webHidden/>
              </w:rPr>
              <w:fldChar w:fldCharType="separate"/>
            </w:r>
            <w:r w:rsidR="00A66F97" w:rsidRPr="00A66F97">
              <w:rPr>
                <w:webHidden/>
              </w:rPr>
              <w:t>3</w:t>
            </w:r>
            <w:r w:rsidR="00A66F97" w:rsidRPr="00A66F97">
              <w:rPr>
                <w:webHidden/>
              </w:rPr>
              <w:fldChar w:fldCharType="end"/>
            </w:r>
          </w:hyperlink>
        </w:p>
        <w:p w14:paraId="17D3502F" w14:textId="63E4424A" w:rsidR="00A66F97" w:rsidRPr="00AD13A8" w:rsidRDefault="00A66F97" w:rsidP="00AD13A8">
          <w:pPr>
            <w:pStyle w:val="TOC1"/>
            <w:rPr>
              <w:rFonts w:eastAsiaTheme="minorEastAsia" w:cstheme="minorBidi"/>
              <w:kern w:val="2"/>
              <w14:ligatures w14:val="standardContextual"/>
            </w:rPr>
          </w:pPr>
          <w:hyperlink w:anchor="_Toc206613702" w:history="1">
            <w:r w:rsidRPr="00AD13A8">
              <w:rPr>
                <w:rStyle w:val="Hyperlink"/>
              </w:rPr>
              <w:t>2. Types of Benchmarking process</w:t>
            </w:r>
            <w:r w:rsidRPr="00AD13A8">
              <w:rPr>
                <w:webHidden/>
              </w:rPr>
              <w:tab/>
            </w:r>
            <w:r w:rsidRPr="00AD13A8">
              <w:rPr>
                <w:webHidden/>
              </w:rPr>
              <w:fldChar w:fldCharType="begin"/>
            </w:r>
            <w:r w:rsidRPr="00AD13A8">
              <w:rPr>
                <w:webHidden/>
              </w:rPr>
              <w:instrText xml:space="preserve"> PAGEREF _Toc206613702 \h </w:instrText>
            </w:r>
            <w:r w:rsidRPr="00AD13A8">
              <w:rPr>
                <w:webHidden/>
              </w:rPr>
            </w:r>
            <w:r w:rsidRPr="00AD13A8">
              <w:rPr>
                <w:webHidden/>
              </w:rPr>
              <w:fldChar w:fldCharType="separate"/>
            </w:r>
            <w:r w:rsidRPr="00AD13A8">
              <w:rPr>
                <w:webHidden/>
              </w:rPr>
              <w:t>3</w:t>
            </w:r>
            <w:r w:rsidRPr="00AD13A8">
              <w:rPr>
                <w:webHidden/>
              </w:rPr>
              <w:fldChar w:fldCharType="end"/>
            </w:r>
          </w:hyperlink>
        </w:p>
        <w:p w14:paraId="20B7C81C" w14:textId="4BAD79E6"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3" w:history="1">
            <w:r w:rsidRPr="00A66F97">
              <w:rPr>
                <w:rStyle w:val="Hyperlink"/>
                <w:rFonts w:ascii="Verdana" w:eastAsia="Times New Roman" w:hAnsi="Verdana" w:cs="Arial"/>
                <w:noProof/>
                <w:kern w:val="0"/>
                <w:sz w:val="20"/>
                <w:szCs w:val="20"/>
                <w:lang w:val="en-US"/>
                <w14:ligatures w14:val="none"/>
              </w:rPr>
              <w:t>2.1. Internal Benchmarking</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_Toc206613703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3</w:t>
            </w:r>
            <w:r w:rsidRPr="00A66F97">
              <w:rPr>
                <w:rFonts w:ascii="Verdana" w:hAnsi="Verdana"/>
                <w:noProof/>
                <w:webHidden/>
                <w:sz w:val="20"/>
                <w:szCs w:val="20"/>
              </w:rPr>
              <w:fldChar w:fldCharType="end"/>
            </w:r>
          </w:hyperlink>
        </w:p>
        <w:p w14:paraId="45849404" w14:textId="574BBDF4"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4" w:history="1">
            <w:r w:rsidRPr="00A66F97">
              <w:rPr>
                <w:rStyle w:val="Hyperlink"/>
                <w:rFonts w:ascii="Verdana" w:eastAsia="Times New Roman" w:hAnsi="Verdana" w:cs="Arial"/>
                <w:noProof/>
                <w:kern w:val="0"/>
                <w:sz w:val="20"/>
                <w:szCs w:val="20"/>
                <w:lang w:val="en-US"/>
                <w14:ligatures w14:val="none"/>
              </w:rPr>
              <w:t>2.2. External Benchmarking</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_Toc206613704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3</w:t>
            </w:r>
            <w:r w:rsidRPr="00A66F97">
              <w:rPr>
                <w:rFonts w:ascii="Verdana" w:hAnsi="Verdana"/>
                <w:noProof/>
                <w:webHidden/>
                <w:sz w:val="20"/>
                <w:szCs w:val="20"/>
              </w:rPr>
              <w:fldChar w:fldCharType="end"/>
            </w:r>
          </w:hyperlink>
        </w:p>
        <w:p w14:paraId="0A2F3FFD" w14:textId="6A13184F"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5" w:history="1">
            <w:r w:rsidRPr="00A66F97">
              <w:rPr>
                <w:rStyle w:val="Hyperlink"/>
                <w:rFonts w:ascii="Verdana" w:eastAsia="Times New Roman" w:hAnsi="Verdana" w:cs="Arial"/>
                <w:noProof/>
                <w:kern w:val="0"/>
                <w:sz w:val="20"/>
                <w:szCs w:val="20"/>
                <w:lang w:val="en-US"/>
                <w14:ligatures w14:val="none"/>
              </w:rPr>
              <w:t>2.3. Best practice Benchmarking</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_Toc206613705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3</w:t>
            </w:r>
            <w:r w:rsidRPr="00A66F97">
              <w:rPr>
                <w:rFonts w:ascii="Verdana" w:hAnsi="Verdana"/>
                <w:noProof/>
                <w:webHidden/>
                <w:sz w:val="20"/>
                <w:szCs w:val="20"/>
              </w:rPr>
              <w:fldChar w:fldCharType="end"/>
            </w:r>
          </w:hyperlink>
        </w:p>
        <w:p w14:paraId="51B67AEA" w14:textId="4BEAB376" w:rsidR="00A66F97" w:rsidRPr="00AD13A8" w:rsidRDefault="00A66F97" w:rsidP="00AD13A8">
          <w:pPr>
            <w:pStyle w:val="TOC1"/>
            <w:rPr>
              <w:rFonts w:eastAsiaTheme="minorEastAsia" w:cstheme="minorBidi"/>
              <w:kern w:val="2"/>
              <w14:ligatures w14:val="standardContextual"/>
            </w:rPr>
          </w:pPr>
          <w:hyperlink w:anchor="_Toc206613706" w:history="1">
            <w:r w:rsidRPr="00AD13A8">
              <w:rPr>
                <w:rStyle w:val="Hyperlink"/>
              </w:rPr>
              <w:t>3.How Benchmarking process helps</w:t>
            </w:r>
            <w:r w:rsidRPr="00AD13A8">
              <w:rPr>
                <w:webHidden/>
              </w:rPr>
              <w:tab/>
            </w:r>
            <w:r w:rsidRPr="00AD13A8">
              <w:rPr>
                <w:webHidden/>
              </w:rPr>
              <w:fldChar w:fldCharType="begin"/>
            </w:r>
            <w:r w:rsidRPr="00AD13A8">
              <w:rPr>
                <w:webHidden/>
              </w:rPr>
              <w:instrText xml:space="preserve"> PAGEREF _Toc206613706 \h </w:instrText>
            </w:r>
            <w:r w:rsidRPr="00AD13A8">
              <w:rPr>
                <w:webHidden/>
              </w:rPr>
            </w:r>
            <w:r w:rsidRPr="00AD13A8">
              <w:rPr>
                <w:webHidden/>
              </w:rPr>
              <w:fldChar w:fldCharType="separate"/>
            </w:r>
            <w:r w:rsidRPr="00AD13A8">
              <w:rPr>
                <w:webHidden/>
              </w:rPr>
              <w:t>4</w:t>
            </w:r>
            <w:r w:rsidRPr="00AD13A8">
              <w:rPr>
                <w:webHidden/>
              </w:rPr>
              <w:fldChar w:fldCharType="end"/>
            </w:r>
          </w:hyperlink>
        </w:p>
        <w:p w14:paraId="60965113" w14:textId="1A995D81"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7" w:history="1">
            <w:r w:rsidRPr="00A66F97">
              <w:rPr>
                <w:rStyle w:val="Hyperlink"/>
                <w:rFonts w:ascii="Verdana" w:eastAsia="Times New Roman" w:hAnsi="Verdana" w:cs="Arial"/>
                <w:noProof/>
                <w:kern w:val="0"/>
                <w:sz w:val="20"/>
                <w:szCs w:val="20"/>
                <w:lang w:val="en-US"/>
                <w14:ligatures w14:val="none"/>
              </w:rPr>
              <w:t>3.1. Performance measurement and KPIs</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_Toc206613707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4</w:t>
            </w:r>
            <w:r w:rsidRPr="00A66F97">
              <w:rPr>
                <w:rFonts w:ascii="Verdana" w:hAnsi="Verdana"/>
                <w:noProof/>
                <w:webHidden/>
                <w:sz w:val="20"/>
                <w:szCs w:val="20"/>
              </w:rPr>
              <w:fldChar w:fldCharType="end"/>
            </w:r>
          </w:hyperlink>
        </w:p>
        <w:p w14:paraId="01B13F97" w14:textId="1F18AC2F"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8" w:history="1">
            <w:r w:rsidRPr="00A66F97">
              <w:rPr>
                <w:rStyle w:val="Hyperlink"/>
                <w:rFonts w:ascii="Verdana" w:eastAsia="Times New Roman" w:hAnsi="Verdana" w:cs="Arial"/>
                <w:noProof/>
                <w:kern w:val="0"/>
                <w:sz w:val="20"/>
                <w:szCs w:val="20"/>
                <w:lang w:val="en-US"/>
                <w14:ligatures w14:val="none"/>
              </w:rPr>
              <w:t>3.2. Process optimization</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_Toc206613708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4</w:t>
            </w:r>
            <w:r w:rsidRPr="00A66F97">
              <w:rPr>
                <w:rFonts w:ascii="Verdana" w:hAnsi="Verdana"/>
                <w:noProof/>
                <w:webHidden/>
                <w:sz w:val="20"/>
                <w:szCs w:val="20"/>
              </w:rPr>
              <w:fldChar w:fldCharType="end"/>
            </w:r>
          </w:hyperlink>
        </w:p>
        <w:p w14:paraId="07E136BC" w14:textId="2E3EEC89"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09" w:history="1">
            <w:r w:rsidRPr="00A66F97">
              <w:rPr>
                <w:rStyle w:val="Hyperlink"/>
                <w:rFonts w:ascii="Verdana" w:eastAsia="Times New Roman" w:hAnsi="Verdana" w:cs="Arial"/>
                <w:noProof/>
                <w:kern w:val="0"/>
                <w:sz w:val="20"/>
                <w:szCs w:val="20"/>
                <w:lang w:val="en-US"/>
                <w14:ligatures w14:val="none"/>
              </w:rPr>
              <w:t>3.3. Cost efficiency</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_Toc206613709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4</w:t>
            </w:r>
            <w:r w:rsidRPr="00A66F97">
              <w:rPr>
                <w:rFonts w:ascii="Verdana" w:hAnsi="Verdana"/>
                <w:noProof/>
                <w:webHidden/>
                <w:sz w:val="20"/>
                <w:szCs w:val="20"/>
              </w:rPr>
              <w:fldChar w:fldCharType="end"/>
            </w:r>
          </w:hyperlink>
        </w:p>
        <w:p w14:paraId="65FD8A96" w14:textId="27596114"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0" w:history="1">
            <w:r w:rsidRPr="00A66F97">
              <w:rPr>
                <w:rStyle w:val="Hyperlink"/>
                <w:rFonts w:ascii="Verdana" w:eastAsia="Times New Roman" w:hAnsi="Verdana" w:cs="Arial"/>
                <w:noProof/>
                <w:kern w:val="0"/>
                <w:sz w:val="20"/>
                <w:szCs w:val="20"/>
                <w:lang w:val="en-US"/>
                <w14:ligatures w14:val="none"/>
              </w:rPr>
              <w:t>3.4. Technology Adoption</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_Toc206613710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5</w:t>
            </w:r>
            <w:r w:rsidRPr="00A66F97">
              <w:rPr>
                <w:rFonts w:ascii="Verdana" w:hAnsi="Verdana"/>
                <w:noProof/>
                <w:webHidden/>
                <w:sz w:val="20"/>
                <w:szCs w:val="20"/>
              </w:rPr>
              <w:fldChar w:fldCharType="end"/>
            </w:r>
          </w:hyperlink>
        </w:p>
        <w:p w14:paraId="4ABA877B" w14:textId="2EDAC59F"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1" w:history="1">
            <w:r w:rsidRPr="00A66F97">
              <w:rPr>
                <w:rStyle w:val="Hyperlink"/>
                <w:rFonts w:ascii="Verdana" w:eastAsia="Times New Roman" w:hAnsi="Verdana" w:cs="Arial"/>
                <w:noProof/>
                <w:kern w:val="0"/>
                <w:sz w:val="20"/>
                <w:szCs w:val="20"/>
                <w:lang w:val="en-US"/>
                <w14:ligatures w14:val="none"/>
              </w:rPr>
              <w:t>3.5. Risk and Compliance</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_Toc206613711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5</w:t>
            </w:r>
            <w:r w:rsidRPr="00A66F97">
              <w:rPr>
                <w:rFonts w:ascii="Verdana" w:hAnsi="Verdana"/>
                <w:noProof/>
                <w:webHidden/>
                <w:sz w:val="20"/>
                <w:szCs w:val="20"/>
              </w:rPr>
              <w:fldChar w:fldCharType="end"/>
            </w:r>
          </w:hyperlink>
        </w:p>
        <w:p w14:paraId="70EC52EC" w14:textId="6B5CF177"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2" w:history="1">
            <w:r w:rsidRPr="00A66F97">
              <w:rPr>
                <w:rStyle w:val="Hyperlink"/>
                <w:rFonts w:ascii="Verdana" w:eastAsia="Times New Roman" w:hAnsi="Verdana" w:cs="Arial"/>
                <w:noProof/>
                <w:kern w:val="0"/>
                <w:sz w:val="20"/>
                <w:szCs w:val="20"/>
                <w:lang w:val="en-US"/>
                <w14:ligatures w14:val="none"/>
              </w:rPr>
              <w:t>3.6. Strategic decision support</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_Toc206613712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5</w:t>
            </w:r>
            <w:r w:rsidRPr="00A66F97">
              <w:rPr>
                <w:rFonts w:ascii="Verdana" w:hAnsi="Verdana"/>
                <w:noProof/>
                <w:webHidden/>
                <w:sz w:val="20"/>
                <w:szCs w:val="20"/>
              </w:rPr>
              <w:fldChar w:fldCharType="end"/>
            </w:r>
          </w:hyperlink>
        </w:p>
        <w:p w14:paraId="35360E63" w14:textId="4AFFF66A" w:rsidR="00A66F97" w:rsidRPr="00AD13A8" w:rsidRDefault="00A66F97" w:rsidP="00AD13A8">
          <w:pPr>
            <w:pStyle w:val="TOC1"/>
            <w:rPr>
              <w:rFonts w:eastAsiaTheme="minorEastAsia" w:cstheme="minorBidi"/>
              <w:kern w:val="2"/>
              <w14:ligatures w14:val="standardContextual"/>
            </w:rPr>
          </w:pPr>
          <w:hyperlink w:anchor="_Toc206613713" w:history="1">
            <w:r w:rsidRPr="00AD13A8">
              <w:rPr>
                <w:rStyle w:val="Hyperlink"/>
              </w:rPr>
              <w:t>4. Standard Benchmarking - Finance</w:t>
            </w:r>
            <w:r w:rsidRPr="00AD13A8">
              <w:rPr>
                <w:webHidden/>
              </w:rPr>
              <w:tab/>
            </w:r>
            <w:r w:rsidRPr="00AD13A8">
              <w:rPr>
                <w:webHidden/>
              </w:rPr>
              <w:fldChar w:fldCharType="begin"/>
            </w:r>
            <w:r w:rsidRPr="00AD13A8">
              <w:rPr>
                <w:webHidden/>
              </w:rPr>
              <w:instrText xml:space="preserve"> PAGEREF _Toc206613713 \h </w:instrText>
            </w:r>
            <w:r w:rsidRPr="00AD13A8">
              <w:rPr>
                <w:webHidden/>
              </w:rPr>
            </w:r>
            <w:r w:rsidRPr="00AD13A8">
              <w:rPr>
                <w:webHidden/>
              </w:rPr>
              <w:fldChar w:fldCharType="separate"/>
            </w:r>
            <w:r w:rsidRPr="00AD13A8">
              <w:rPr>
                <w:webHidden/>
              </w:rPr>
              <w:t>5</w:t>
            </w:r>
            <w:r w:rsidRPr="00AD13A8">
              <w:rPr>
                <w:webHidden/>
              </w:rPr>
              <w:fldChar w:fldCharType="end"/>
            </w:r>
          </w:hyperlink>
        </w:p>
        <w:p w14:paraId="75D2C01B" w14:textId="4E987FAB"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4" w:history="1">
            <w:r w:rsidRPr="00A66F97">
              <w:rPr>
                <w:rStyle w:val="Hyperlink"/>
                <w:rFonts w:ascii="Verdana" w:eastAsia="Times New Roman" w:hAnsi="Verdana" w:cs="Arial"/>
                <w:noProof/>
                <w:kern w:val="0"/>
                <w:sz w:val="20"/>
                <w:szCs w:val="20"/>
                <w:lang w:val="en-US"/>
                <w14:ligatures w14:val="none"/>
              </w:rPr>
              <w:t>4.1. Record to report (R2R)</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_Toc206613714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5</w:t>
            </w:r>
            <w:r w:rsidRPr="00A66F97">
              <w:rPr>
                <w:rFonts w:ascii="Verdana" w:hAnsi="Verdana"/>
                <w:noProof/>
                <w:webHidden/>
                <w:sz w:val="20"/>
                <w:szCs w:val="20"/>
              </w:rPr>
              <w:fldChar w:fldCharType="end"/>
            </w:r>
          </w:hyperlink>
        </w:p>
        <w:p w14:paraId="3120CB56" w14:textId="68558080"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5" w:history="1">
            <w:r w:rsidRPr="00A66F97">
              <w:rPr>
                <w:rStyle w:val="Hyperlink"/>
                <w:rFonts w:ascii="Verdana" w:eastAsia="Times New Roman" w:hAnsi="Verdana" w:cs="Arial"/>
                <w:noProof/>
                <w:kern w:val="0"/>
                <w:sz w:val="20"/>
                <w:szCs w:val="20"/>
                <w:lang w:val="en-US"/>
                <w14:ligatures w14:val="none"/>
              </w:rPr>
              <w:t>4.2. Procure to Pay (P2P)</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_Toc206613715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6</w:t>
            </w:r>
            <w:r w:rsidRPr="00A66F97">
              <w:rPr>
                <w:rFonts w:ascii="Verdana" w:hAnsi="Verdana"/>
                <w:noProof/>
                <w:webHidden/>
                <w:sz w:val="20"/>
                <w:szCs w:val="20"/>
              </w:rPr>
              <w:fldChar w:fldCharType="end"/>
            </w:r>
          </w:hyperlink>
        </w:p>
        <w:p w14:paraId="52258213" w14:textId="6051C18F"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6" w:history="1">
            <w:r w:rsidRPr="00A66F97">
              <w:rPr>
                <w:rStyle w:val="Hyperlink"/>
                <w:rFonts w:ascii="Verdana" w:eastAsia="Times New Roman" w:hAnsi="Verdana" w:cs="Arial"/>
                <w:noProof/>
                <w:kern w:val="0"/>
                <w:sz w:val="20"/>
                <w:szCs w:val="20"/>
                <w:lang w:val="en-US"/>
                <w14:ligatures w14:val="none"/>
              </w:rPr>
              <w:t>4.3. Order to Cash (O2C)</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_Toc206613716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6</w:t>
            </w:r>
            <w:r w:rsidRPr="00A66F97">
              <w:rPr>
                <w:rFonts w:ascii="Verdana" w:hAnsi="Verdana"/>
                <w:noProof/>
                <w:webHidden/>
                <w:sz w:val="20"/>
                <w:szCs w:val="20"/>
              </w:rPr>
              <w:fldChar w:fldCharType="end"/>
            </w:r>
          </w:hyperlink>
        </w:p>
        <w:p w14:paraId="03FBF8F5" w14:textId="3435574E"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7" w:history="1">
            <w:r w:rsidRPr="00A66F97">
              <w:rPr>
                <w:rStyle w:val="Hyperlink"/>
                <w:rFonts w:ascii="Verdana" w:eastAsia="Times New Roman" w:hAnsi="Verdana" w:cs="Arial"/>
                <w:noProof/>
                <w:kern w:val="0"/>
                <w:sz w:val="20"/>
                <w:szCs w:val="20"/>
                <w:lang w:val="en-US"/>
                <w14:ligatures w14:val="none"/>
              </w:rPr>
              <w:t>4.4. Treasury and Cash management</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_Toc206613717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6</w:t>
            </w:r>
            <w:r w:rsidRPr="00A66F97">
              <w:rPr>
                <w:rFonts w:ascii="Verdana" w:hAnsi="Verdana"/>
                <w:noProof/>
                <w:webHidden/>
                <w:sz w:val="20"/>
                <w:szCs w:val="20"/>
              </w:rPr>
              <w:fldChar w:fldCharType="end"/>
            </w:r>
          </w:hyperlink>
        </w:p>
        <w:p w14:paraId="748A919D" w14:textId="71ED7649"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18" w:history="1">
            <w:r w:rsidRPr="00A66F97">
              <w:rPr>
                <w:rStyle w:val="Hyperlink"/>
                <w:rFonts w:ascii="Verdana" w:eastAsia="Times New Roman" w:hAnsi="Verdana" w:cs="Arial"/>
                <w:noProof/>
                <w:kern w:val="0"/>
                <w:sz w:val="20"/>
                <w:szCs w:val="20"/>
                <w:lang w:val="en-US"/>
                <w14:ligatures w14:val="none"/>
              </w:rPr>
              <w:t>4.5. Compliance and Control</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_Toc206613718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7</w:t>
            </w:r>
            <w:r w:rsidRPr="00A66F97">
              <w:rPr>
                <w:rFonts w:ascii="Verdana" w:hAnsi="Verdana"/>
                <w:noProof/>
                <w:webHidden/>
                <w:sz w:val="20"/>
                <w:szCs w:val="20"/>
              </w:rPr>
              <w:fldChar w:fldCharType="end"/>
            </w:r>
          </w:hyperlink>
        </w:p>
        <w:p w14:paraId="0301203C" w14:textId="1F3BEC48" w:rsidR="00A66F97" w:rsidRPr="00AD13A8" w:rsidRDefault="00A66F97" w:rsidP="00AD13A8">
          <w:pPr>
            <w:pStyle w:val="TOC1"/>
            <w:rPr>
              <w:rFonts w:eastAsiaTheme="minorEastAsia" w:cstheme="minorBidi"/>
              <w:kern w:val="2"/>
              <w14:ligatures w14:val="standardContextual"/>
            </w:rPr>
          </w:pPr>
          <w:hyperlink w:anchor="_Toc206613719" w:history="1">
            <w:r w:rsidRPr="00AD13A8">
              <w:rPr>
                <w:rStyle w:val="Hyperlink"/>
              </w:rPr>
              <w:t>5. Best in class vs. Average Benchmarking</w:t>
            </w:r>
            <w:r w:rsidRPr="00AD13A8">
              <w:rPr>
                <w:webHidden/>
              </w:rPr>
              <w:tab/>
            </w:r>
            <w:r w:rsidRPr="00AD13A8">
              <w:rPr>
                <w:webHidden/>
              </w:rPr>
              <w:fldChar w:fldCharType="begin"/>
            </w:r>
            <w:r w:rsidRPr="00AD13A8">
              <w:rPr>
                <w:webHidden/>
              </w:rPr>
              <w:instrText xml:space="preserve"> PAGEREF _Toc206613719 \h </w:instrText>
            </w:r>
            <w:r w:rsidRPr="00AD13A8">
              <w:rPr>
                <w:webHidden/>
              </w:rPr>
            </w:r>
            <w:r w:rsidRPr="00AD13A8">
              <w:rPr>
                <w:webHidden/>
              </w:rPr>
              <w:fldChar w:fldCharType="separate"/>
            </w:r>
            <w:r w:rsidRPr="00AD13A8">
              <w:rPr>
                <w:webHidden/>
              </w:rPr>
              <w:t>7</w:t>
            </w:r>
            <w:r w:rsidRPr="00AD13A8">
              <w:rPr>
                <w:webHidden/>
              </w:rPr>
              <w:fldChar w:fldCharType="end"/>
            </w:r>
          </w:hyperlink>
        </w:p>
        <w:p w14:paraId="5D3E5C5C" w14:textId="75E9932D" w:rsidR="00A66F97" w:rsidRPr="00AD13A8" w:rsidRDefault="00A66F97" w:rsidP="00AD13A8">
          <w:pPr>
            <w:pStyle w:val="TOC1"/>
            <w:rPr>
              <w:rFonts w:eastAsiaTheme="minorEastAsia" w:cstheme="minorBidi"/>
              <w:kern w:val="2"/>
              <w14:ligatures w14:val="standardContextual"/>
            </w:rPr>
          </w:pPr>
          <w:hyperlink w:anchor="_Toc206613720" w:history="1">
            <w:r w:rsidRPr="00AD13A8">
              <w:rPr>
                <w:rStyle w:val="Hyperlink"/>
              </w:rPr>
              <w:t>6. Benchmarking process for Journal Entries</w:t>
            </w:r>
            <w:r w:rsidRPr="00AD13A8">
              <w:rPr>
                <w:webHidden/>
              </w:rPr>
              <w:tab/>
            </w:r>
            <w:r w:rsidRPr="00AD13A8">
              <w:rPr>
                <w:webHidden/>
              </w:rPr>
              <w:fldChar w:fldCharType="begin"/>
            </w:r>
            <w:r w:rsidRPr="00AD13A8">
              <w:rPr>
                <w:webHidden/>
              </w:rPr>
              <w:instrText xml:space="preserve"> PAGEREF _Toc206613720 \h </w:instrText>
            </w:r>
            <w:r w:rsidRPr="00AD13A8">
              <w:rPr>
                <w:webHidden/>
              </w:rPr>
            </w:r>
            <w:r w:rsidRPr="00AD13A8">
              <w:rPr>
                <w:webHidden/>
              </w:rPr>
              <w:fldChar w:fldCharType="separate"/>
            </w:r>
            <w:r w:rsidRPr="00AD13A8">
              <w:rPr>
                <w:webHidden/>
              </w:rPr>
              <w:t>8</w:t>
            </w:r>
            <w:r w:rsidRPr="00AD13A8">
              <w:rPr>
                <w:webHidden/>
              </w:rPr>
              <w:fldChar w:fldCharType="end"/>
            </w:r>
          </w:hyperlink>
        </w:p>
        <w:p w14:paraId="3C6A28F7" w14:textId="701080BE"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1" w:history="1">
            <w:r w:rsidRPr="00A66F97">
              <w:rPr>
                <w:rStyle w:val="Hyperlink"/>
                <w:rFonts w:ascii="Verdana" w:eastAsia="Times New Roman" w:hAnsi="Verdana" w:cs="Arial"/>
                <w:noProof/>
                <w:kern w:val="0"/>
                <w:sz w:val="20"/>
                <w:szCs w:val="20"/>
                <w:lang w:val="en-US"/>
                <w14:ligatures w14:val="none"/>
              </w:rPr>
              <w:t>6.1. Define Scope</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_Toc206613721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8</w:t>
            </w:r>
            <w:r w:rsidRPr="00A66F97">
              <w:rPr>
                <w:rFonts w:ascii="Verdana" w:hAnsi="Verdana"/>
                <w:noProof/>
                <w:webHidden/>
                <w:sz w:val="20"/>
                <w:szCs w:val="20"/>
              </w:rPr>
              <w:fldChar w:fldCharType="end"/>
            </w:r>
          </w:hyperlink>
        </w:p>
        <w:p w14:paraId="4FB259A8" w14:textId="49BB6D5D"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2" w:history="1">
            <w:r w:rsidRPr="00A66F97">
              <w:rPr>
                <w:rStyle w:val="Hyperlink"/>
                <w:rFonts w:ascii="Verdana" w:eastAsia="Times New Roman" w:hAnsi="Verdana" w:cs="Arial"/>
                <w:noProof/>
                <w:kern w:val="0"/>
                <w:sz w:val="20"/>
                <w:szCs w:val="20"/>
                <w:lang w:val="en-US"/>
                <w14:ligatures w14:val="none"/>
              </w:rPr>
              <w:t>6.2. Identify Key KPIs to Benchmark</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_Toc206613722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9</w:t>
            </w:r>
            <w:r w:rsidRPr="00A66F97">
              <w:rPr>
                <w:rFonts w:ascii="Verdana" w:hAnsi="Verdana"/>
                <w:noProof/>
                <w:webHidden/>
                <w:sz w:val="20"/>
                <w:szCs w:val="20"/>
              </w:rPr>
              <w:fldChar w:fldCharType="end"/>
            </w:r>
          </w:hyperlink>
        </w:p>
        <w:p w14:paraId="08265847" w14:textId="239EDFF2"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3" w:history="1">
            <w:r w:rsidRPr="00A66F97">
              <w:rPr>
                <w:rStyle w:val="Hyperlink"/>
                <w:rFonts w:ascii="Verdana" w:eastAsia="Times New Roman" w:hAnsi="Verdana" w:cs="Arial"/>
                <w:noProof/>
                <w:kern w:val="0"/>
                <w:sz w:val="20"/>
                <w:szCs w:val="20"/>
                <w:lang w:val="en-US"/>
                <w14:ligatures w14:val="none"/>
              </w:rPr>
              <w:t>6.3. Data Collection</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_Toc206613723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9</w:t>
            </w:r>
            <w:r w:rsidRPr="00A66F97">
              <w:rPr>
                <w:rFonts w:ascii="Verdana" w:hAnsi="Verdana"/>
                <w:noProof/>
                <w:webHidden/>
                <w:sz w:val="20"/>
                <w:szCs w:val="20"/>
              </w:rPr>
              <w:fldChar w:fldCharType="end"/>
            </w:r>
          </w:hyperlink>
        </w:p>
        <w:p w14:paraId="421551E4" w14:textId="13F0E58B"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4" w:history="1">
            <w:r w:rsidRPr="00A66F97">
              <w:rPr>
                <w:rStyle w:val="Hyperlink"/>
                <w:rFonts w:ascii="Verdana" w:eastAsia="Times New Roman" w:hAnsi="Verdana" w:cs="Arial"/>
                <w:noProof/>
                <w:kern w:val="0"/>
                <w:sz w:val="20"/>
                <w:szCs w:val="20"/>
                <w:lang w:val="en-US"/>
                <w14:ligatures w14:val="none"/>
              </w:rPr>
              <w:t>6.3. Benchmarking Analysis</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_Toc206613724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10</w:t>
            </w:r>
            <w:r w:rsidRPr="00A66F97">
              <w:rPr>
                <w:rFonts w:ascii="Verdana" w:hAnsi="Verdana"/>
                <w:noProof/>
                <w:webHidden/>
                <w:sz w:val="20"/>
                <w:szCs w:val="20"/>
              </w:rPr>
              <w:fldChar w:fldCharType="end"/>
            </w:r>
          </w:hyperlink>
        </w:p>
        <w:p w14:paraId="46F37736" w14:textId="29178D0B"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5" w:history="1">
            <w:r w:rsidRPr="00A66F97">
              <w:rPr>
                <w:rStyle w:val="Hyperlink"/>
                <w:rFonts w:ascii="Verdana" w:eastAsia="Times New Roman" w:hAnsi="Verdana" w:cs="Arial"/>
                <w:noProof/>
                <w:kern w:val="0"/>
                <w:sz w:val="20"/>
                <w:szCs w:val="20"/>
                <w:lang w:val="en-US"/>
                <w14:ligatures w14:val="none"/>
              </w:rPr>
              <w:t>6.3. Improvement Levers</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_Toc206613725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10</w:t>
            </w:r>
            <w:r w:rsidRPr="00A66F97">
              <w:rPr>
                <w:rFonts w:ascii="Verdana" w:hAnsi="Verdana"/>
                <w:noProof/>
                <w:webHidden/>
                <w:sz w:val="20"/>
                <w:szCs w:val="20"/>
              </w:rPr>
              <w:fldChar w:fldCharType="end"/>
            </w:r>
          </w:hyperlink>
        </w:p>
        <w:p w14:paraId="0531353A" w14:textId="7F62AC1E" w:rsidR="00A66F97" w:rsidRPr="00A66F97" w:rsidRDefault="00A66F97">
          <w:pPr>
            <w:pStyle w:val="TOC3"/>
            <w:tabs>
              <w:tab w:val="right" w:leader="dot" w:pos="9016"/>
            </w:tabs>
            <w:rPr>
              <w:rFonts w:ascii="Verdana" w:eastAsiaTheme="minorEastAsia" w:hAnsi="Verdana"/>
              <w:noProof/>
              <w:sz w:val="20"/>
              <w:szCs w:val="20"/>
              <w:lang w:val="en-US"/>
            </w:rPr>
          </w:pPr>
          <w:hyperlink w:anchor="_Toc206613726" w:history="1">
            <w:r w:rsidRPr="00A66F97">
              <w:rPr>
                <w:rStyle w:val="Hyperlink"/>
                <w:rFonts w:ascii="Verdana" w:eastAsia="Times New Roman" w:hAnsi="Verdana" w:cs="Arial"/>
                <w:noProof/>
                <w:kern w:val="0"/>
                <w:sz w:val="20"/>
                <w:szCs w:val="20"/>
                <w:lang w:val="en-US"/>
                <w14:ligatures w14:val="none"/>
              </w:rPr>
              <w:t>6.4. Benchmarking Outcome</w:t>
            </w:r>
            <w:r w:rsidRPr="00A66F97">
              <w:rPr>
                <w:rFonts w:ascii="Verdana" w:hAnsi="Verdana"/>
                <w:noProof/>
                <w:webHidden/>
                <w:sz w:val="20"/>
                <w:szCs w:val="20"/>
              </w:rPr>
              <w:tab/>
            </w:r>
            <w:r w:rsidRPr="00A66F97">
              <w:rPr>
                <w:rFonts w:ascii="Verdana" w:hAnsi="Verdana"/>
                <w:noProof/>
                <w:webHidden/>
                <w:sz w:val="20"/>
                <w:szCs w:val="20"/>
              </w:rPr>
              <w:fldChar w:fldCharType="begin"/>
            </w:r>
            <w:r w:rsidRPr="00A66F97">
              <w:rPr>
                <w:rFonts w:ascii="Verdana" w:hAnsi="Verdana"/>
                <w:noProof/>
                <w:webHidden/>
                <w:sz w:val="20"/>
                <w:szCs w:val="20"/>
              </w:rPr>
              <w:instrText xml:space="preserve"> PAGEREF _Toc206613726 \h </w:instrText>
            </w:r>
            <w:r w:rsidRPr="00A66F97">
              <w:rPr>
                <w:rFonts w:ascii="Verdana" w:hAnsi="Verdana"/>
                <w:noProof/>
                <w:webHidden/>
                <w:sz w:val="20"/>
                <w:szCs w:val="20"/>
              </w:rPr>
            </w:r>
            <w:r w:rsidRPr="00A66F97">
              <w:rPr>
                <w:rFonts w:ascii="Verdana" w:hAnsi="Verdana"/>
                <w:noProof/>
                <w:webHidden/>
                <w:sz w:val="20"/>
                <w:szCs w:val="20"/>
              </w:rPr>
              <w:fldChar w:fldCharType="separate"/>
            </w:r>
            <w:r w:rsidRPr="00A66F97">
              <w:rPr>
                <w:rFonts w:ascii="Verdana" w:hAnsi="Verdana"/>
                <w:noProof/>
                <w:webHidden/>
                <w:sz w:val="20"/>
                <w:szCs w:val="20"/>
              </w:rPr>
              <w:t>10</w:t>
            </w:r>
            <w:r w:rsidRPr="00A66F97">
              <w:rPr>
                <w:rFonts w:ascii="Verdana" w:hAnsi="Verdana"/>
                <w:noProof/>
                <w:webHidden/>
                <w:sz w:val="20"/>
                <w:szCs w:val="20"/>
              </w:rPr>
              <w:fldChar w:fldCharType="end"/>
            </w:r>
          </w:hyperlink>
        </w:p>
        <w:p w14:paraId="3F5210F1" w14:textId="4BD3A70B" w:rsidR="00AF332A" w:rsidRDefault="00AF332A" w:rsidP="00BB540E">
          <w:pPr>
            <w:rPr>
              <w:rFonts w:ascii="Verdana" w:hAnsi="Verdana"/>
              <w:noProof/>
              <w:sz w:val="10"/>
              <w:szCs w:val="10"/>
            </w:rPr>
          </w:pPr>
          <w:r w:rsidRPr="00A66F97">
            <w:rPr>
              <w:rFonts w:ascii="Verdana" w:hAnsi="Verdana"/>
              <w:noProof/>
              <w:sz w:val="20"/>
              <w:szCs w:val="20"/>
            </w:rPr>
            <w:fldChar w:fldCharType="end"/>
          </w:r>
        </w:p>
      </w:sdtContent>
    </w:sdt>
    <w:p w14:paraId="5B05FD3F" w14:textId="77777777" w:rsidR="00F264AD" w:rsidRPr="000206AE" w:rsidRDefault="00F264AD" w:rsidP="00BB540E">
      <w:pPr>
        <w:rPr>
          <w:rFonts w:ascii="Verdana" w:hAnsi="Verdana"/>
          <w:noProof/>
          <w:sz w:val="10"/>
          <w:szCs w:val="10"/>
        </w:rPr>
      </w:pPr>
    </w:p>
    <w:p w14:paraId="5926AC5D"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50F75B4D"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2813BC3E"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07F69AE7"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36A9369E"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014A32F0"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4B0AC8A6"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2BDC577E"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70AD7D84" w14:textId="77777777" w:rsidR="00715EAE" w:rsidRPr="00715EAE" w:rsidRDefault="00715EAE" w:rsidP="00715EAE">
      <w:pPr>
        <w:rPr>
          <w:lang w:val="en-US"/>
        </w:rPr>
      </w:pPr>
    </w:p>
    <w:p w14:paraId="1180B43B" w14:textId="77777777" w:rsidR="000206AE" w:rsidRDefault="000206AE"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p>
    <w:p w14:paraId="506A2C43" w14:textId="2359DC1E" w:rsidR="00415DE5" w:rsidRDefault="00AF332A"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0" w:name="_Toc206613701"/>
      <w:r>
        <w:rPr>
          <w:rFonts w:ascii="Verdana" w:eastAsia="Times New Roman" w:hAnsi="Verdana" w:cs="Arial"/>
          <w:b/>
          <w:bCs/>
          <w:color w:val="auto"/>
          <w:kern w:val="0"/>
          <w:sz w:val="28"/>
          <w:szCs w:val="32"/>
          <w:lang w:val="en-US"/>
          <w14:ligatures w14:val="none"/>
        </w:rPr>
        <w:t>1.</w:t>
      </w:r>
      <w:r w:rsidR="00BB540E">
        <w:rPr>
          <w:rFonts w:ascii="Verdana" w:eastAsia="Times New Roman" w:hAnsi="Verdana" w:cs="Arial"/>
          <w:b/>
          <w:bCs/>
          <w:color w:val="auto"/>
          <w:kern w:val="0"/>
          <w:sz w:val="28"/>
          <w:szCs w:val="32"/>
          <w:lang w:val="en-US"/>
          <w14:ligatures w14:val="none"/>
        </w:rPr>
        <w:t xml:space="preserve"> </w:t>
      </w:r>
      <w:r w:rsidR="00415DE5" w:rsidRPr="00AF332A">
        <w:rPr>
          <w:rFonts w:ascii="Verdana" w:eastAsia="Times New Roman" w:hAnsi="Verdana" w:cs="Arial"/>
          <w:b/>
          <w:bCs/>
          <w:color w:val="auto"/>
          <w:kern w:val="0"/>
          <w:sz w:val="28"/>
          <w:szCs w:val="32"/>
          <w:lang w:val="en-US"/>
          <w14:ligatures w14:val="none"/>
        </w:rPr>
        <w:t xml:space="preserve">What is </w:t>
      </w:r>
      <w:r w:rsidR="00A66F97">
        <w:rPr>
          <w:rFonts w:ascii="Verdana" w:eastAsia="Times New Roman" w:hAnsi="Verdana" w:cs="Arial"/>
          <w:b/>
          <w:bCs/>
          <w:color w:val="auto"/>
          <w:kern w:val="0"/>
          <w:sz w:val="28"/>
          <w:szCs w:val="32"/>
          <w:lang w:val="en-US"/>
          <w14:ligatures w14:val="none"/>
        </w:rPr>
        <w:t>the Benchmarking</w:t>
      </w:r>
      <w:r w:rsidR="003C5F52">
        <w:rPr>
          <w:rFonts w:ascii="Verdana" w:eastAsia="Times New Roman" w:hAnsi="Verdana" w:cs="Arial"/>
          <w:b/>
          <w:bCs/>
          <w:color w:val="auto"/>
          <w:kern w:val="0"/>
          <w:sz w:val="28"/>
          <w:szCs w:val="32"/>
          <w:lang w:val="en-US"/>
          <w14:ligatures w14:val="none"/>
        </w:rPr>
        <w:t xml:space="preserve"> process</w:t>
      </w:r>
      <w:bookmarkEnd w:id="0"/>
    </w:p>
    <w:p w14:paraId="1565BE46" w14:textId="77777777" w:rsidR="00AF332A" w:rsidRPr="00AF332A" w:rsidRDefault="00AF332A" w:rsidP="00AF332A">
      <w:pPr>
        <w:rPr>
          <w:lang w:val="en-US"/>
        </w:rPr>
      </w:pPr>
    </w:p>
    <w:p w14:paraId="524304FC" w14:textId="77777777" w:rsidR="00B97833" w:rsidRPr="00B97833" w:rsidRDefault="00B97833" w:rsidP="00B97833">
      <w:pPr>
        <w:rPr>
          <w:rFonts w:ascii="Verdana" w:hAnsi="Verdana"/>
          <w:sz w:val="20"/>
          <w:szCs w:val="20"/>
        </w:rPr>
      </w:pPr>
      <w:r w:rsidRPr="00B97833">
        <w:rPr>
          <w:rFonts w:ascii="Verdana" w:hAnsi="Verdana"/>
          <w:sz w:val="20"/>
          <w:szCs w:val="20"/>
        </w:rPr>
        <w:t>Benchmarking is a systematic process of comparing an organization’s processes, performance metrics, or practices against:</w:t>
      </w:r>
    </w:p>
    <w:p w14:paraId="70231C2C" w14:textId="77777777" w:rsidR="00B97833" w:rsidRPr="00B97833" w:rsidRDefault="00B97833" w:rsidP="00CD0202">
      <w:pPr>
        <w:numPr>
          <w:ilvl w:val="0"/>
          <w:numId w:val="1"/>
        </w:numPr>
        <w:rPr>
          <w:rFonts w:ascii="Verdana" w:hAnsi="Verdana"/>
          <w:sz w:val="20"/>
          <w:szCs w:val="20"/>
        </w:rPr>
      </w:pPr>
      <w:r w:rsidRPr="00B97833">
        <w:rPr>
          <w:rFonts w:ascii="Verdana" w:hAnsi="Verdana"/>
          <w:sz w:val="20"/>
          <w:szCs w:val="20"/>
        </w:rPr>
        <w:t>Internal standards (between departments/entities),</w:t>
      </w:r>
    </w:p>
    <w:p w14:paraId="0DFCC204" w14:textId="77777777" w:rsidR="00B97833" w:rsidRPr="00B97833" w:rsidRDefault="00B97833" w:rsidP="00CD0202">
      <w:pPr>
        <w:numPr>
          <w:ilvl w:val="0"/>
          <w:numId w:val="1"/>
        </w:numPr>
        <w:rPr>
          <w:rFonts w:ascii="Verdana" w:hAnsi="Verdana"/>
          <w:sz w:val="20"/>
          <w:szCs w:val="20"/>
        </w:rPr>
      </w:pPr>
      <w:r w:rsidRPr="00B97833">
        <w:rPr>
          <w:rFonts w:ascii="Verdana" w:hAnsi="Verdana"/>
          <w:sz w:val="20"/>
          <w:szCs w:val="20"/>
        </w:rPr>
        <w:t>Industry best practices, or</w:t>
      </w:r>
    </w:p>
    <w:p w14:paraId="34ABDB03" w14:textId="77777777" w:rsidR="00B97833" w:rsidRPr="00B97833" w:rsidRDefault="00B97833" w:rsidP="00CD0202">
      <w:pPr>
        <w:numPr>
          <w:ilvl w:val="0"/>
          <w:numId w:val="1"/>
        </w:numPr>
        <w:rPr>
          <w:rFonts w:ascii="Verdana" w:hAnsi="Verdana"/>
          <w:sz w:val="20"/>
          <w:szCs w:val="20"/>
        </w:rPr>
      </w:pPr>
      <w:r w:rsidRPr="00B97833">
        <w:rPr>
          <w:rFonts w:ascii="Verdana" w:hAnsi="Verdana"/>
          <w:sz w:val="20"/>
          <w:szCs w:val="20"/>
        </w:rPr>
        <w:t>Competitors/peer companies.</w:t>
      </w:r>
    </w:p>
    <w:p w14:paraId="3FFDC779" w14:textId="7D2426A9" w:rsidR="00B97833" w:rsidRPr="00B97833" w:rsidRDefault="00B97833" w:rsidP="00B97833">
      <w:pPr>
        <w:rPr>
          <w:rFonts w:ascii="Verdana" w:hAnsi="Verdana"/>
          <w:sz w:val="20"/>
          <w:szCs w:val="20"/>
        </w:rPr>
      </w:pPr>
      <w:r w:rsidRPr="00B97833">
        <w:rPr>
          <w:rFonts w:ascii="Verdana" w:hAnsi="Verdana"/>
          <w:sz w:val="20"/>
          <w:szCs w:val="20"/>
        </w:rPr>
        <w:t>The goal is to identify gaps, inefficiencies, and improvement opportunities, and then adopt practices that improve efficiency, effectiveness, and performance.</w:t>
      </w:r>
    </w:p>
    <w:p w14:paraId="457123C6" w14:textId="6FFC6AF4" w:rsidR="00415DE5" w:rsidRPr="00AF332A" w:rsidRDefault="00415DE5" w:rsidP="00415DE5">
      <w:pPr>
        <w:rPr>
          <w:rFonts w:ascii="Verdana" w:hAnsi="Verdana"/>
          <w:sz w:val="20"/>
          <w:szCs w:val="20"/>
        </w:rPr>
      </w:pPr>
    </w:p>
    <w:p w14:paraId="13F7A503" w14:textId="4F57DF96" w:rsidR="00AF332A" w:rsidRDefault="00AF332A" w:rsidP="00AF332A">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1" w:name="_Toc206613702"/>
      <w:r>
        <w:rPr>
          <w:rFonts w:ascii="Verdana" w:eastAsia="Times New Roman" w:hAnsi="Verdana" w:cs="Arial"/>
          <w:b/>
          <w:bCs/>
          <w:color w:val="auto"/>
          <w:kern w:val="0"/>
          <w:sz w:val="28"/>
          <w:szCs w:val="32"/>
          <w:lang w:val="en-US"/>
          <w14:ligatures w14:val="none"/>
        </w:rPr>
        <w:t>2.</w:t>
      </w:r>
      <w:r w:rsidR="00BB540E">
        <w:rPr>
          <w:rFonts w:ascii="Verdana" w:eastAsia="Times New Roman" w:hAnsi="Verdana" w:cs="Arial"/>
          <w:b/>
          <w:bCs/>
          <w:color w:val="auto"/>
          <w:kern w:val="0"/>
          <w:sz w:val="28"/>
          <w:szCs w:val="32"/>
          <w:lang w:val="en-US"/>
          <w14:ligatures w14:val="none"/>
        </w:rPr>
        <w:t xml:space="preserve"> </w:t>
      </w:r>
      <w:r w:rsidR="003C5F52">
        <w:rPr>
          <w:rFonts w:ascii="Verdana" w:eastAsia="Times New Roman" w:hAnsi="Verdana" w:cs="Arial"/>
          <w:b/>
          <w:bCs/>
          <w:color w:val="auto"/>
          <w:kern w:val="0"/>
          <w:sz w:val="28"/>
          <w:szCs w:val="32"/>
          <w:lang w:val="en-US"/>
          <w14:ligatures w14:val="none"/>
        </w:rPr>
        <w:t>Types of Benchmarking process</w:t>
      </w:r>
      <w:bookmarkEnd w:id="1"/>
    </w:p>
    <w:p w14:paraId="2B003FB1" w14:textId="77777777" w:rsidR="00AF332A" w:rsidRPr="00AF332A" w:rsidRDefault="00AF332A" w:rsidP="00AF332A">
      <w:pPr>
        <w:rPr>
          <w:lang w:val="en-US"/>
        </w:rPr>
      </w:pPr>
    </w:p>
    <w:p w14:paraId="0106CD08" w14:textId="3F8B43C8" w:rsidR="00415DE5" w:rsidRDefault="00AF332A" w:rsidP="00AF332A">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 w:name="_Toc206613703"/>
      <w:r>
        <w:rPr>
          <w:rFonts w:ascii="Verdana" w:eastAsia="Times New Roman" w:hAnsi="Verdana" w:cs="Arial"/>
          <w:b/>
          <w:bCs/>
          <w:color w:val="auto"/>
          <w:kern w:val="0"/>
          <w:sz w:val="22"/>
          <w:szCs w:val="26"/>
          <w:lang w:val="en-US"/>
          <w14:ligatures w14:val="none"/>
        </w:rPr>
        <w:t>2.1</w:t>
      </w:r>
      <w:r w:rsidR="00415DE5" w:rsidRPr="00AF332A">
        <w:rPr>
          <w:rFonts w:ascii="Verdana" w:eastAsia="Times New Roman" w:hAnsi="Verdana" w:cs="Arial"/>
          <w:b/>
          <w:bCs/>
          <w:color w:val="auto"/>
          <w:kern w:val="0"/>
          <w:sz w:val="22"/>
          <w:szCs w:val="26"/>
          <w:lang w:val="en-US"/>
          <w14:ligatures w14:val="none"/>
        </w:rPr>
        <w:t xml:space="preserve">. </w:t>
      </w:r>
      <w:r w:rsidR="007D6EFD">
        <w:rPr>
          <w:rFonts w:ascii="Verdana" w:eastAsia="Times New Roman" w:hAnsi="Verdana" w:cs="Arial"/>
          <w:b/>
          <w:bCs/>
          <w:color w:val="auto"/>
          <w:kern w:val="0"/>
          <w:sz w:val="22"/>
          <w:szCs w:val="26"/>
          <w:lang w:val="en-US"/>
          <w14:ligatures w14:val="none"/>
        </w:rPr>
        <w:t>Int</w:t>
      </w:r>
      <w:r w:rsidR="00C96D8B">
        <w:rPr>
          <w:rFonts w:ascii="Verdana" w:eastAsia="Times New Roman" w:hAnsi="Verdana" w:cs="Arial"/>
          <w:b/>
          <w:bCs/>
          <w:color w:val="auto"/>
          <w:kern w:val="0"/>
          <w:sz w:val="22"/>
          <w:szCs w:val="26"/>
          <w:lang w:val="en-US"/>
          <w14:ligatures w14:val="none"/>
        </w:rPr>
        <w:t>ernal Benchmarking</w:t>
      </w:r>
      <w:bookmarkEnd w:id="2"/>
    </w:p>
    <w:p w14:paraId="17BCCF29" w14:textId="77777777" w:rsidR="00896BD2" w:rsidRPr="00896BD2" w:rsidRDefault="00896BD2" w:rsidP="00896BD2">
      <w:pPr>
        <w:rPr>
          <w:lang w:val="en-US"/>
        </w:rPr>
      </w:pPr>
    </w:p>
    <w:p w14:paraId="179A56CE" w14:textId="77777777" w:rsidR="0032018D" w:rsidRPr="005416C4" w:rsidRDefault="0032018D" w:rsidP="0032018D">
      <w:pPr>
        <w:rPr>
          <w:rFonts w:ascii="Verdana" w:hAnsi="Verdana"/>
          <w:sz w:val="20"/>
          <w:szCs w:val="20"/>
        </w:rPr>
      </w:pPr>
      <w:r w:rsidRPr="005416C4">
        <w:rPr>
          <w:rFonts w:ascii="Verdana" w:hAnsi="Verdana"/>
          <w:sz w:val="20"/>
          <w:szCs w:val="20"/>
        </w:rPr>
        <w:t>Compare performance across business units, subsidiaries, or functions.</w:t>
      </w:r>
    </w:p>
    <w:p w14:paraId="1700CA65" w14:textId="11EDD0AE" w:rsidR="0032018D" w:rsidRPr="005416C4" w:rsidRDefault="0032018D" w:rsidP="00CD0202">
      <w:pPr>
        <w:numPr>
          <w:ilvl w:val="1"/>
          <w:numId w:val="2"/>
        </w:numPr>
        <w:rPr>
          <w:rFonts w:ascii="Verdana" w:hAnsi="Verdana"/>
          <w:sz w:val="20"/>
          <w:szCs w:val="20"/>
        </w:rPr>
      </w:pPr>
      <w:r w:rsidRPr="005416C4">
        <w:rPr>
          <w:rFonts w:ascii="Verdana" w:hAnsi="Verdana"/>
          <w:sz w:val="20"/>
          <w:szCs w:val="20"/>
        </w:rPr>
        <w:t xml:space="preserve">Example: Compare Days Sales Outstanding (DSO) between US and </w:t>
      </w:r>
      <w:r w:rsidR="0070230A">
        <w:rPr>
          <w:rFonts w:ascii="Verdana" w:hAnsi="Verdana"/>
          <w:sz w:val="20"/>
          <w:szCs w:val="20"/>
        </w:rPr>
        <w:t>EMEA</w:t>
      </w:r>
      <w:r w:rsidR="00465AAF">
        <w:rPr>
          <w:rFonts w:ascii="Verdana" w:hAnsi="Verdana"/>
          <w:sz w:val="20"/>
          <w:szCs w:val="20"/>
        </w:rPr>
        <w:t xml:space="preserve"> </w:t>
      </w:r>
      <w:r w:rsidRPr="005416C4">
        <w:rPr>
          <w:rFonts w:ascii="Verdana" w:hAnsi="Verdana"/>
          <w:sz w:val="20"/>
          <w:szCs w:val="20"/>
        </w:rPr>
        <w:t>regions.</w:t>
      </w:r>
    </w:p>
    <w:p w14:paraId="37C719A8" w14:textId="687E8748" w:rsidR="00896BD2" w:rsidRPr="00AF332A" w:rsidRDefault="00896BD2" w:rsidP="00CD2FDF">
      <w:pPr>
        <w:ind w:left="720"/>
        <w:rPr>
          <w:rFonts w:ascii="Verdana" w:hAnsi="Verdana"/>
          <w:sz w:val="20"/>
          <w:szCs w:val="20"/>
        </w:rPr>
      </w:pPr>
    </w:p>
    <w:p w14:paraId="46D6C3BC" w14:textId="2D92A193" w:rsidR="00415DE5" w:rsidRDefault="00415DE5" w:rsidP="00AF332A">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3" w:name="_Toc206613704"/>
      <w:r w:rsidRPr="00AF332A">
        <w:rPr>
          <w:rFonts w:ascii="Verdana" w:eastAsia="Times New Roman" w:hAnsi="Verdana" w:cs="Arial"/>
          <w:b/>
          <w:bCs/>
          <w:color w:val="auto"/>
          <w:kern w:val="0"/>
          <w:sz w:val="22"/>
          <w:szCs w:val="26"/>
          <w:lang w:val="en-US"/>
          <w14:ligatures w14:val="none"/>
        </w:rPr>
        <w:t>2</w:t>
      </w:r>
      <w:r w:rsidR="00AF332A">
        <w:rPr>
          <w:rFonts w:ascii="Verdana" w:eastAsia="Times New Roman" w:hAnsi="Verdana" w:cs="Arial"/>
          <w:b/>
          <w:bCs/>
          <w:color w:val="auto"/>
          <w:kern w:val="0"/>
          <w:sz w:val="22"/>
          <w:szCs w:val="26"/>
          <w:lang w:val="en-US"/>
          <w14:ligatures w14:val="none"/>
        </w:rPr>
        <w:t>.2</w:t>
      </w:r>
      <w:r w:rsidRPr="00AF332A">
        <w:rPr>
          <w:rFonts w:ascii="Verdana" w:eastAsia="Times New Roman" w:hAnsi="Verdana" w:cs="Arial"/>
          <w:b/>
          <w:bCs/>
          <w:color w:val="auto"/>
          <w:kern w:val="0"/>
          <w:sz w:val="22"/>
          <w:szCs w:val="26"/>
          <w:lang w:val="en-US"/>
          <w14:ligatures w14:val="none"/>
        </w:rPr>
        <w:t xml:space="preserve">. </w:t>
      </w:r>
      <w:r w:rsidR="00850716">
        <w:rPr>
          <w:rFonts w:ascii="Verdana" w:eastAsia="Times New Roman" w:hAnsi="Verdana" w:cs="Arial"/>
          <w:b/>
          <w:bCs/>
          <w:color w:val="auto"/>
          <w:kern w:val="0"/>
          <w:sz w:val="22"/>
          <w:szCs w:val="26"/>
          <w:lang w:val="en-US"/>
          <w14:ligatures w14:val="none"/>
        </w:rPr>
        <w:t>External Benchmarking</w:t>
      </w:r>
      <w:bookmarkEnd w:id="3"/>
    </w:p>
    <w:p w14:paraId="0B53FB14" w14:textId="77777777" w:rsidR="00896BD2" w:rsidRPr="00896BD2" w:rsidRDefault="00896BD2" w:rsidP="00896BD2">
      <w:pPr>
        <w:rPr>
          <w:lang w:val="en-US"/>
        </w:rPr>
      </w:pPr>
    </w:p>
    <w:p w14:paraId="4391A37F" w14:textId="77777777" w:rsidR="00465AAF" w:rsidRPr="005416C4" w:rsidRDefault="00465AAF" w:rsidP="00465AAF">
      <w:pPr>
        <w:rPr>
          <w:rFonts w:ascii="Verdana" w:hAnsi="Verdana"/>
          <w:sz w:val="20"/>
          <w:szCs w:val="20"/>
        </w:rPr>
      </w:pPr>
      <w:r w:rsidRPr="005416C4">
        <w:rPr>
          <w:rFonts w:ascii="Verdana" w:hAnsi="Verdana"/>
          <w:sz w:val="20"/>
          <w:szCs w:val="20"/>
        </w:rPr>
        <w:t>Compare performance with peers or competitors.</w:t>
      </w:r>
    </w:p>
    <w:p w14:paraId="6D3A96B2" w14:textId="42CA8D96" w:rsidR="00896BD2" w:rsidRDefault="00465AAF" w:rsidP="00465AAF">
      <w:pPr>
        <w:ind w:left="720"/>
        <w:rPr>
          <w:rFonts w:ascii="Verdana" w:hAnsi="Verdana"/>
          <w:sz w:val="20"/>
          <w:szCs w:val="20"/>
        </w:rPr>
      </w:pPr>
      <w:r w:rsidRPr="005416C4">
        <w:rPr>
          <w:rFonts w:ascii="Verdana" w:hAnsi="Verdana"/>
          <w:sz w:val="20"/>
          <w:szCs w:val="20"/>
        </w:rPr>
        <w:t>Example: Compare Cost of Finance (as % of revenue) against industry average</w:t>
      </w:r>
      <w:r>
        <w:rPr>
          <w:rFonts w:ascii="Verdana" w:hAnsi="Verdana"/>
          <w:sz w:val="20"/>
          <w:szCs w:val="20"/>
        </w:rPr>
        <w:t>.</w:t>
      </w:r>
    </w:p>
    <w:p w14:paraId="12F47811" w14:textId="77777777" w:rsidR="0070230A" w:rsidRPr="00AF332A" w:rsidRDefault="0070230A" w:rsidP="00465AAF">
      <w:pPr>
        <w:ind w:left="720"/>
        <w:rPr>
          <w:rFonts w:ascii="Verdana" w:hAnsi="Verdana"/>
          <w:sz w:val="20"/>
          <w:szCs w:val="20"/>
        </w:rPr>
      </w:pPr>
    </w:p>
    <w:p w14:paraId="7DBEBFB5" w14:textId="7F412729" w:rsidR="00415DE5" w:rsidRDefault="00AF332A" w:rsidP="00AF332A">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4" w:name="_Toc206613705"/>
      <w:r>
        <w:rPr>
          <w:rFonts w:ascii="Verdana" w:eastAsia="Times New Roman" w:hAnsi="Verdana" w:cs="Arial"/>
          <w:b/>
          <w:bCs/>
          <w:color w:val="auto"/>
          <w:kern w:val="0"/>
          <w:sz w:val="22"/>
          <w:szCs w:val="26"/>
          <w:lang w:val="en-US"/>
          <w14:ligatures w14:val="none"/>
        </w:rPr>
        <w:t>2.3</w:t>
      </w:r>
      <w:r w:rsidR="00415DE5" w:rsidRPr="00AF332A">
        <w:rPr>
          <w:rFonts w:ascii="Verdana" w:eastAsia="Times New Roman" w:hAnsi="Verdana" w:cs="Arial"/>
          <w:b/>
          <w:bCs/>
          <w:color w:val="auto"/>
          <w:kern w:val="0"/>
          <w:sz w:val="22"/>
          <w:szCs w:val="26"/>
          <w:lang w:val="en-US"/>
          <w14:ligatures w14:val="none"/>
        </w:rPr>
        <w:t xml:space="preserve">. </w:t>
      </w:r>
      <w:r w:rsidR="00CA052E">
        <w:rPr>
          <w:rFonts w:ascii="Verdana" w:eastAsia="Times New Roman" w:hAnsi="Verdana" w:cs="Arial"/>
          <w:b/>
          <w:bCs/>
          <w:color w:val="auto"/>
          <w:kern w:val="0"/>
          <w:sz w:val="22"/>
          <w:szCs w:val="26"/>
          <w:lang w:val="en-US"/>
          <w14:ligatures w14:val="none"/>
        </w:rPr>
        <w:t>Best practice Benchmarking</w:t>
      </w:r>
      <w:bookmarkEnd w:id="4"/>
    </w:p>
    <w:p w14:paraId="77853400" w14:textId="77777777" w:rsidR="00CD0AC0" w:rsidRPr="00CD0AC0" w:rsidRDefault="00CD0AC0" w:rsidP="00CD0AC0">
      <w:pPr>
        <w:rPr>
          <w:lang w:val="en-US"/>
        </w:rPr>
      </w:pPr>
    </w:p>
    <w:p w14:paraId="1A1D3205" w14:textId="77777777" w:rsidR="008D1749" w:rsidRPr="005416C4" w:rsidRDefault="008D1749" w:rsidP="008D1749">
      <w:pPr>
        <w:rPr>
          <w:rFonts w:ascii="Verdana" w:hAnsi="Verdana"/>
          <w:sz w:val="20"/>
          <w:szCs w:val="20"/>
        </w:rPr>
      </w:pPr>
      <w:r w:rsidRPr="005416C4">
        <w:rPr>
          <w:rFonts w:ascii="Verdana" w:hAnsi="Verdana"/>
          <w:sz w:val="20"/>
          <w:szCs w:val="20"/>
        </w:rPr>
        <w:t>Compare against recognized leaders, regardless of industry.</w:t>
      </w:r>
    </w:p>
    <w:p w14:paraId="6D14ACE0" w14:textId="77777777" w:rsidR="008D1749" w:rsidRPr="005416C4" w:rsidRDefault="008D1749" w:rsidP="00CD0202">
      <w:pPr>
        <w:numPr>
          <w:ilvl w:val="1"/>
          <w:numId w:val="3"/>
        </w:numPr>
        <w:rPr>
          <w:rFonts w:ascii="Verdana" w:hAnsi="Verdana"/>
          <w:sz w:val="20"/>
          <w:szCs w:val="20"/>
        </w:rPr>
      </w:pPr>
      <w:r w:rsidRPr="005416C4">
        <w:rPr>
          <w:rFonts w:ascii="Verdana" w:hAnsi="Verdana"/>
          <w:sz w:val="20"/>
          <w:szCs w:val="20"/>
        </w:rPr>
        <w:t xml:space="preserve">Example: Adopting </w:t>
      </w:r>
      <w:r w:rsidRPr="008D1749">
        <w:rPr>
          <w:rFonts w:ascii="Verdana" w:hAnsi="Verdana"/>
          <w:sz w:val="20"/>
          <w:szCs w:val="20"/>
        </w:rPr>
        <w:t>shared service models or automation practices from leading companies.</w:t>
      </w:r>
    </w:p>
    <w:p w14:paraId="0B85AADF" w14:textId="77777777" w:rsidR="00BB540E" w:rsidRDefault="00BB540E" w:rsidP="00BB540E">
      <w:pPr>
        <w:ind w:left="720"/>
        <w:rPr>
          <w:rFonts w:ascii="Verdana" w:hAnsi="Verdana"/>
          <w:sz w:val="20"/>
          <w:szCs w:val="20"/>
        </w:rPr>
      </w:pPr>
    </w:p>
    <w:p w14:paraId="27A5FDD4" w14:textId="77777777" w:rsidR="00D738F0" w:rsidRDefault="00D738F0" w:rsidP="00BB540E">
      <w:pPr>
        <w:ind w:left="720"/>
        <w:rPr>
          <w:rFonts w:ascii="Verdana" w:hAnsi="Verdana"/>
          <w:sz w:val="20"/>
          <w:szCs w:val="20"/>
        </w:rPr>
      </w:pPr>
    </w:p>
    <w:p w14:paraId="095B5517" w14:textId="77777777" w:rsidR="00D738F0" w:rsidRDefault="00D738F0" w:rsidP="00BB540E">
      <w:pPr>
        <w:ind w:left="720"/>
        <w:rPr>
          <w:rFonts w:ascii="Verdana" w:hAnsi="Verdana"/>
          <w:sz w:val="20"/>
          <w:szCs w:val="20"/>
        </w:rPr>
      </w:pPr>
    </w:p>
    <w:p w14:paraId="052A6023" w14:textId="77777777" w:rsidR="00D738F0" w:rsidRDefault="00D738F0" w:rsidP="00BB540E">
      <w:pPr>
        <w:ind w:left="720"/>
        <w:rPr>
          <w:rFonts w:ascii="Verdana" w:hAnsi="Verdana"/>
          <w:sz w:val="20"/>
          <w:szCs w:val="20"/>
        </w:rPr>
      </w:pPr>
    </w:p>
    <w:p w14:paraId="0EC7B4B6" w14:textId="77777777" w:rsidR="00D738F0" w:rsidRDefault="00D738F0" w:rsidP="00BB540E">
      <w:pPr>
        <w:ind w:left="720"/>
        <w:rPr>
          <w:rFonts w:ascii="Verdana" w:hAnsi="Verdana"/>
          <w:sz w:val="20"/>
          <w:szCs w:val="20"/>
        </w:rPr>
      </w:pPr>
    </w:p>
    <w:p w14:paraId="3694CFBB" w14:textId="77777777" w:rsidR="00CB0696" w:rsidRPr="00AF332A" w:rsidRDefault="00CB0696" w:rsidP="00BB540E">
      <w:pPr>
        <w:ind w:left="720"/>
        <w:rPr>
          <w:rFonts w:ascii="Verdana" w:hAnsi="Verdana"/>
          <w:sz w:val="20"/>
          <w:szCs w:val="20"/>
        </w:rPr>
      </w:pPr>
    </w:p>
    <w:p w14:paraId="68502809" w14:textId="77777777" w:rsidR="00820307" w:rsidRPr="00AF332A" w:rsidRDefault="00820307" w:rsidP="00820307">
      <w:pPr>
        <w:ind w:left="720"/>
        <w:rPr>
          <w:rFonts w:ascii="Verdana" w:hAnsi="Verdana"/>
          <w:sz w:val="20"/>
          <w:szCs w:val="20"/>
        </w:rPr>
      </w:pPr>
    </w:p>
    <w:p w14:paraId="0466CCA1" w14:textId="764782C6" w:rsidR="000E1F65" w:rsidRDefault="00CD0AC0" w:rsidP="00CD0AC0">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5" w:name="_Toc206613706"/>
      <w:r>
        <w:rPr>
          <w:rFonts w:ascii="Verdana" w:eastAsia="Times New Roman" w:hAnsi="Verdana" w:cs="Arial"/>
          <w:b/>
          <w:bCs/>
          <w:color w:val="auto"/>
          <w:kern w:val="0"/>
          <w:sz w:val="28"/>
          <w:szCs w:val="32"/>
          <w:lang w:val="en-US"/>
          <w14:ligatures w14:val="none"/>
        </w:rPr>
        <w:lastRenderedPageBreak/>
        <w:t>3.</w:t>
      </w:r>
      <w:r>
        <w:rPr>
          <w:rFonts w:ascii="Verdana" w:eastAsia="Times New Roman" w:hAnsi="Verdana" w:cs="Arial"/>
          <w:b/>
          <w:bCs/>
          <w:color w:val="auto"/>
          <w:kern w:val="0"/>
          <w:sz w:val="28"/>
          <w:szCs w:val="32"/>
          <w:lang w:val="en-US"/>
          <w14:ligatures w14:val="none"/>
        </w:rPr>
        <w:tab/>
      </w:r>
      <w:r w:rsidR="00D738F0">
        <w:rPr>
          <w:rFonts w:ascii="Verdana" w:eastAsia="Times New Roman" w:hAnsi="Verdana" w:cs="Arial"/>
          <w:b/>
          <w:bCs/>
          <w:color w:val="auto"/>
          <w:kern w:val="0"/>
          <w:sz w:val="28"/>
          <w:szCs w:val="32"/>
          <w:lang w:val="en-US"/>
          <w14:ligatures w14:val="none"/>
        </w:rPr>
        <w:t>How Benchmarking process helps</w:t>
      </w:r>
      <w:bookmarkEnd w:id="5"/>
    </w:p>
    <w:p w14:paraId="0026F80D" w14:textId="77777777" w:rsidR="00CD0AC0" w:rsidRDefault="00CD0AC0" w:rsidP="00CD0AC0">
      <w:pPr>
        <w:rPr>
          <w:lang w:val="en-US"/>
        </w:rPr>
      </w:pPr>
    </w:p>
    <w:p w14:paraId="6B1D6983" w14:textId="1240E018" w:rsidR="009D74F0" w:rsidRDefault="0007581C" w:rsidP="00CD0AC0">
      <w:pPr>
        <w:rPr>
          <w:rFonts w:ascii="Verdana" w:hAnsi="Verdana"/>
          <w:sz w:val="20"/>
          <w:szCs w:val="20"/>
        </w:rPr>
      </w:pPr>
      <w:r w:rsidRPr="0007581C">
        <w:rPr>
          <w:rFonts w:ascii="Verdana" w:hAnsi="Verdana"/>
          <w:sz w:val="20"/>
          <w:szCs w:val="20"/>
        </w:rPr>
        <w:t>Benchmarking plays a strategic role in finance by highlighting where the function is lagging or leading. Some key ways it helps:</w:t>
      </w:r>
    </w:p>
    <w:p w14:paraId="37B71365" w14:textId="77777777" w:rsidR="0007581C" w:rsidRPr="0007581C" w:rsidRDefault="0007581C" w:rsidP="00CD0AC0">
      <w:pPr>
        <w:rPr>
          <w:rFonts w:ascii="Verdana" w:hAnsi="Verdana"/>
          <w:sz w:val="20"/>
          <w:szCs w:val="20"/>
        </w:rPr>
      </w:pPr>
    </w:p>
    <w:p w14:paraId="3590842E" w14:textId="6B8862C6" w:rsidR="00CD0AC0" w:rsidRDefault="00CD0AC0" w:rsidP="00CD0AC0">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6" w:name="_Toc206613707"/>
      <w:r>
        <w:rPr>
          <w:rFonts w:ascii="Verdana" w:eastAsia="Times New Roman" w:hAnsi="Verdana" w:cs="Arial"/>
          <w:b/>
          <w:bCs/>
          <w:color w:val="auto"/>
          <w:kern w:val="0"/>
          <w:sz w:val="22"/>
          <w:szCs w:val="26"/>
          <w:lang w:val="en-US"/>
          <w14:ligatures w14:val="none"/>
        </w:rPr>
        <w:t>3.</w:t>
      </w:r>
      <w:r w:rsidR="000E1F65" w:rsidRPr="00CD0AC0">
        <w:rPr>
          <w:rFonts w:ascii="Verdana" w:eastAsia="Times New Roman" w:hAnsi="Verdana" w:cs="Arial"/>
          <w:b/>
          <w:bCs/>
          <w:color w:val="auto"/>
          <w:kern w:val="0"/>
          <w:sz w:val="22"/>
          <w:szCs w:val="26"/>
          <w:lang w:val="en-US"/>
          <w14:ligatures w14:val="none"/>
        </w:rPr>
        <w:t xml:space="preserve">1. </w:t>
      </w:r>
      <w:r w:rsidR="000541F8">
        <w:rPr>
          <w:rFonts w:ascii="Verdana" w:eastAsia="Times New Roman" w:hAnsi="Verdana" w:cs="Arial"/>
          <w:b/>
          <w:bCs/>
          <w:color w:val="auto"/>
          <w:kern w:val="0"/>
          <w:sz w:val="22"/>
          <w:szCs w:val="26"/>
          <w:lang w:val="en-US"/>
          <w14:ligatures w14:val="none"/>
        </w:rPr>
        <w:t>Performance measurement and KPIs</w:t>
      </w:r>
      <w:bookmarkEnd w:id="6"/>
    </w:p>
    <w:p w14:paraId="7D2AF7D4" w14:textId="77777777" w:rsidR="001D4147" w:rsidRPr="001D4147" w:rsidRDefault="001D4147" w:rsidP="001D4147">
      <w:pPr>
        <w:rPr>
          <w:lang w:val="en-US"/>
        </w:rPr>
      </w:pPr>
    </w:p>
    <w:p w14:paraId="22A502A4" w14:textId="77777777" w:rsidR="00FB0518" w:rsidRPr="008A19CD" w:rsidRDefault="00FB0518" w:rsidP="00CD0202">
      <w:pPr>
        <w:pStyle w:val="ListParagraph"/>
        <w:numPr>
          <w:ilvl w:val="0"/>
          <w:numId w:val="5"/>
        </w:numPr>
        <w:rPr>
          <w:rFonts w:ascii="Verdana" w:hAnsi="Verdana"/>
          <w:sz w:val="20"/>
          <w:szCs w:val="20"/>
        </w:rPr>
      </w:pPr>
      <w:r w:rsidRPr="008A19CD">
        <w:rPr>
          <w:rFonts w:ascii="Verdana" w:hAnsi="Verdana"/>
          <w:sz w:val="20"/>
          <w:szCs w:val="20"/>
        </w:rPr>
        <w:t>Compare finance KPIs such as:</w:t>
      </w:r>
    </w:p>
    <w:p w14:paraId="2F6312AA" w14:textId="77777777" w:rsidR="00FB0518" w:rsidRPr="008A19CD" w:rsidRDefault="00FB0518" w:rsidP="00CD0202">
      <w:pPr>
        <w:numPr>
          <w:ilvl w:val="1"/>
          <w:numId w:val="4"/>
        </w:numPr>
        <w:rPr>
          <w:rFonts w:ascii="Verdana" w:hAnsi="Verdana"/>
          <w:sz w:val="20"/>
          <w:szCs w:val="20"/>
        </w:rPr>
      </w:pPr>
      <w:r w:rsidRPr="008A19CD">
        <w:rPr>
          <w:rFonts w:ascii="Verdana" w:hAnsi="Verdana"/>
          <w:sz w:val="20"/>
          <w:szCs w:val="20"/>
        </w:rPr>
        <w:t>Cost of Finance (% of revenue).</w:t>
      </w:r>
    </w:p>
    <w:p w14:paraId="06CFC95F" w14:textId="77777777" w:rsidR="00FB0518" w:rsidRPr="008A19CD" w:rsidRDefault="00FB0518" w:rsidP="00CD0202">
      <w:pPr>
        <w:numPr>
          <w:ilvl w:val="1"/>
          <w:numId w:val="4"/>
        </w:numPr>
        <w:rPr>
          <w:rFonts w:ascii="Verdana" w:hAnsi="Verdana"/>
          <w:sz w:val="20"/>
          <w:szCs w:val="20"/>
        </w:rPr>
      </w:pPr>
      <w:r w:rsidRPr="008A19CD">
        <w:rPr>
          <w:rFonts w:ascii="Verdana" w:hAnsi="Verdana"/>
          <w:sz w:val="20"/>
          <w:szCs w:val="20"/>
        </w:rPr>
        <w:t>AP cycle time (days to process an invoice).</w:t>
      </w:r>
    </w:p>
    <w:p w14:paraId="6C6CEB2B" w14:textId="77777777" w:rsidR="00FB0518" w:rsidRPr="008A19CD" w:rsidRDefault="00FB0518" w:rsidP="00CD0202">
      <w:pPr>
        <w:numPr>
          <w:ilvl w:val="1"/>
          <w:numId w:val="4"/>
        </w:numPr>
        <w:rPr>
          <w:rFonts w:ascii="Verdana" w:hAnsi="Verdana"/>
          <w:sz w:val="20"/>
          <w:szCs w:val="20"/>
        </w:rPr>
      </w:pPr>
      <w:r w:rsidRPr="008A19CD">
        <w:rPr>
          <w:rFonts w:ascii="Verdana" w:hAnsi="Verdana"/>
          <w:sz w:val="20"/>
          <w:szCs w:val="20"/>
        </w:rPr>
        <w:t>AR collection efficiency (DSO).</w:t>
      </w:r>
    </w:p>
    <w:p w14:paraId="2986D086" w14:textId="77777777" w:rsidR="00FB0518" w:rsidRPr="008A19CD" w:rsidRDefault="00FB0518" w:rsidP="00CD0202">
      <w:pPr>
        <w:numPr>
          <w:ilvl w:val="1"/>
          <w:numId w:val="4"/>
        </w:numPr>
        <w:rPr>
          <w:rFonts w:ascii="Verdana" w:hAnsi="Verdana"/>
          <w:sz w:val="20"/>
          <w:szCs w:val="20"/>
        </w:rPr>
      </w:pPr>
      <w:r w:rsidRPr="008A19CD">
        <w:rPr>
          <w:rFonts w:ascii="Verdana" w:hAnsi="Verdana"/>
          <w:sz w:val="20"/>
          <w:szCs w:val="20"/>
        </w:rPr>
        <w:t>Close cycle time (days to close books).</w:t>
      </w:r>
    </w:p>
    <w:p w14:paraId="33FA80EB" w14:textId="77777777" w:rsidR="00FB0518" w:rsidRPr="008A19CD" w:rsidRDefault="00FB0518" w:rsidP="00CD0202">
      <w:pPr>
        <w:numPr>
          <w:ilvl w:val="0"/>
          <w:numId w:val="4"/>
        </w:numPr>
        <w:rPr>
          <w:rFonts w:ascii="Verdana" w:hAnsi="Verdana"/>
          <w:sz w:val="20"/>
          <w:szCs w:val="20"/>
        </w:rPr>
      </w:pPr>
      <w:r w:rsidRPr="008A19CD">
        <w:rPr>
          <w:rFonts w:ascii="Verdana" w:hAnsi="Verdana"/>
          <w:sz w:val="20"/>
          <w:szCs w:val="20"/>
        </w:rPr>
        <w:t>Helps identify areas of process inefficiency.</w:t>
      </w:r>
    </w:p>
    <w:p w14:paraId="131BF039" w14:textId="77777777" w:rsidR="00CD0AC0" w:rsidRPr="00AF332A" w:rsidRDefault="00CD0AC0" w:rsidP="00CD0AC0">
      <w:pPr>
        <w:rPr>
          <w:rFonts w:ascii="Verdana" w:hAnsi="Verdana"/>
          <w:sz w:val="20"/>
          <w:szCs w:val="20"/>
        </w:rPr>
      </w:pPr>
    </w:p>
    <w:p w14:paraId="64586633" w14:textId="5847F960" w:rsidR="000E1F65" w:rsidRDefault="00CD0AC0" w:rsidP="00CD0AC0">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7" w:name="_Toc206613708"/>
      <w:r>
        <w:rPr>
          <w:rFonts w:ascii="Verdana" w:eastAsia="Times New Roman" w:hAnsi="Verdana" w:cs="Arial"/>
          <w:b/>
          <w:bCs/>
          <w:color w:val="auto"/>
          <w:kern w:val="0"/>
          <w:sz w:val="22"/>
          <w:szCs w:val="26"/>
          <w:lang w:val="en-US"/>
          <w14:ligatures w14:val="none"/>
        </w:rPr>
        <w:t>3.</w:t>
      </w:r>
      <w:r w:rsidR="000E1F65" w:rsidRPr="00CD0AC0">
        <w:rPr>
          <w:rFonts w:ascii="Verdana" w:eastAsia="Times New Roman" w:hAnsi="Verdana" w:cs="Arial"/>
          <w:b/>
          <w:bCs/>
          <w:color w:val="auto"/>
          <w:kern w:val="0"/>
          <w:sz w:val="22"/>
          <w:szCs w:val="26"/>
          <w:lang w:val="en-US"/>
          <w14:ligatures w14:val="none"/>
        </w:rPr>
        <w:t xml:space="preserve">2. </w:t>
      </w:r>
      <w:r w:rsidR="006E15C5">
        <w:rPr>
          <w:rFonts w:ascii="Verdana" w:eastAsia="Times New Roman" w:hAnsi="Verdana" w:cs="Arial"/>
          <w:b/>
          <w:bCs/>
          <w:color w:val="auto"/>
          <w:kern w:val="0"/>
          <w:sz w:val="22"/>
          <w:szCs w:val="26"/>
          <w:lang w:val="en-US"/>
          <w14:ligatures w14:val="none"/>
        </w:rPr>
        <w:t>Process optimization</w:t>
      </w:r>
      <w:bookmarkEnd w:id="7"/>
    </w:p>
    <w:p w14:paraId="0EC13DFA" w14:textId="77777777" w:rsidR="00CD0AC0" w:rsidRDefault="00CD0AC0" w:rsidP="00CD0AC0">
      <w:pPr>
        <w:rPr>
          <w:lang w:val="en-US"/>
        </w:rPr>
      </w:pPr>
    </w:p>
    <w:p w14:paraId="18F70CBA" w14:textId="77777777" w:rsidR="00D049C3" w:rsidRPr="008A19CD" w:rsidRDefault="00D049C3" w:rsidP="00CD0202">
      <w:pPr>
        <w:numPr>
          <w:ilvl w:val="0"/>
          <w:numId w:val="6"/>
        </w:numPr>
        <w:rPr>
          <w:rFonts w:ascii="Verdana" w:hAnsi="Verdana"/>
          <w:sz w:val="20"/>
          <w:szCs w:val="20"/>
        </w:rPr>
      </w:pPr>
      <w:r w:rsidRPr="008A19CD">
        <w:rPr>
          <w:rFonts w:ascii="Verdana" w:hAnsi="Verdana"/>
          <w:sz w:val="20"/>
          <w:szCs w:val="20"/>
        </w:rPr>
        <w:t>Compare processes like Record-to-Report (R2R), Procure-to-Pay (P2P), and Order-to-Cash (O2C) against peers.</w:t>
      </w:r>
    </w:p>
    <w:p w14:paraId="58AFF317" w14:textId="77777777" w:rsidR="00D049C3" w:rsidRPr="008A19CD" w:rsidRDefault="00D049C3" w:rsidP="00CD0202">
      <w:pPr>
        <w:numPr>
          <w:ilvl w:val="0"/>
          <w:numId w:val="6"/>
        </w:numPr>
        <w:rPr>
          <w:rFonts w:ascii="Verdana" w:hAnsi="Verdana"/>
          <w:sz w:val="20"/>
          <w:szCs w:val="20"/>
        </w:rPr>
      </w:pPr>
      <w:r w:rsidRPr="008A19CD">
        <w:rPr>
          <w:rFonts w:ascii="Verdana" w:hAnsi="Verdana"/>
          <w:sz w:val="20"/>
          <w:szCs w:val="20"/>
        </w:rPr>
        <w:t xml:space="preserve">Example: If peers close books in 5 days and you take 12 </w:t>
      </w:r>
      <w:r w:rsidRPr="008A19CD">
        <w:rPr>
          <w:rFonts w:ascii="Arial" w:hAnsi="Arial" w:cs="Arial"/>
          <w:sz w:val="20"/>
          <w:szCs w:val="20"/>
        </w:rPr>
        <w:t>→</w:t>
      </w:r>
      <w:r w:rsidRPr="008A19CD">
        <w:rPr>
          <w:rFonts w:ascii="Verdana" w:hAnsi="Verdana"/>
          <w:sz w:val="20"/>
          <w:szCs w:val="20"/>
        </w:rPr>
        <w:t xml:space="preserve"> clear opportunity to streamline.</w:t>
      </w:r>
    </w:p>
    <w:p w14:paraId="38528F24" w14:textId="77777777" w:rsidR="00820307" w:rsidRPr="00AF332A" w:rsidRDefault="00820307" w:rsidP="000E1F65">
      <w:pPr>
        <w:rPr>
          <w:rFonts w:ascii="Verdana" w:hAnsi="Verdana"/>
          <w:sz w:val="20"/>
          <w:szCs w:val="20"/>
        </w:rPr>
      </w:pPr>
    </w:p>
    <w:p w14:paraId="60C20A30" w14:textId="058DC9F5" w:rsidR="000E1F65" w:rsidRDefault="00CD0AC0" w:rsidP="00CD0AC0">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8" w:name="_Toc206613709"/>
      <w:r>
        <w:rPr>
          <w:rFonts w:ascii="Verdana" w:eastAsia="Times New Roman" w:hAnsi="Verdana" w:cs="Arial"/>
          <w:b/>
          <w:bCs/>
          <w:color w:val="auto"/>
          <w:kern w:val="0"/>
          <w:sz w:val="22"/>
          <w:szCs w:val="26"/>
          <w:lang w:val="en-US"/>
          <w14:ligatures w14:val="none"/>
        </w:rPr>
        <w:t>3.3.</w:t>
      </w:r>
      <w:r w:rsidR="001D4147">
        <w:rPr>
          <w:rFonts w:ascii="Verdana" w:eastAsia="Times New Roman" w:hAnsi="Verdana" w:cs="Arial"/>
          <w:b/>
          <w:bCs/>
          <w:color w:val="auto"/>
          <w:kern w:val="0"/>
          <w:sz w:val="22"/>
          <w:szCs w:val="26"/>
          <w:lang w:val="en-US"/>
          <w14:ligatures w14:val="none"/>
        </w:rPr>
        <w:t xml:space="preserve"> </w:t>
      </w:r>
      <w:r w:rsidR="000816AD">
        <w:rPr>
          <w:rFonts w:ascii="Verdana" w:eastAsia="Times New Roman" w:hAnsi="Verdana" w:cs="Arial"/>
          <w:b/>
          <w:bCs/>
          <w:color w:val="auto"/>
          <w:kern w:val="0"/>
          <w:sz w:val="22"/>
          <w:szCs w:val="26"/>
          <w:lang w:val="en-US"/>
          <w14:ligatures w14:val="none"/>
        </w:rPr>
        <w:t>Cost efficiency</w:t>
      </w:r>
      <w:bookmarkEnd w:id="8"/>
    </w:p>
    <w:p w14:paraId="66094F45" w14:textId="77777777" w:rsidR="00CD0AC0" w:rsidRDefault="00CD0AC0" w:rsidP="00CD0AC0">
      <w:pPr>
        <w:rPr>
          <w:lang w:val="en-US"/>
        </w:rPr>
      </w:pPr>
    </w:p>
    <w:p w14:paraId="387687B5" w14:textId="77777777" w:rsidR="00B87F67" w:rsidRPr="008A19CD" w:rsidRDefault="00B87F67" w:rsidP="00CD0202">
      <w:pPr>
        <w:numPr>
          <w:ilvl w:val="0"/>
          <w:numId w:val="7"/>
        </w:numPr>
        <w:rPr>
          <w:rFonts w:ascii="Verdana" w:hAnsi="Verdana"/>
          <w:sz w:val="20"/>
          <w:szCs w:val="20"/>
        </w:rPr>
      </w:pPr>
      <w:r w:rsidRPr="008A19CD">
        <w:rPr>
          <w:rFonts w:ascii="Verdana" w:hAnsi="Verdana"/>
          <w:sz w:val="20"/>
          <w:szCs w:val="20"/>
        </w:rPr>
        <w:t>Benchmarking finance cost structures (personnel, systems, outsourcing) against industry.</w:t>
      </w:r>
    </w:p>
    <w:p w14:paraId="3640F2FC" w14:textId="77777777" w:rsidR="00B87F67" w:rsidRPr="008A19CD" w:rsidRDefault="00B87F67" w:rsidP="00CD0202">
      <w:pPr>
        <w:numPr>
          <w:ilvl w:val="0"/>
          <w:numId w:val="7"/>
        </w:numPr>
        <w:rPr>
          <w:rFonts w:ascii="Verdana" w:hAnsi="Verdana"/>
          <w:sz w:val="20"/>
          <w:szCs w:val="20"/>
        </w:rPr>
      </w:pPr>
      <w:r w:rsidRPr="008A19CD">
        <w:rPr>
          <w:rFonts w:ascii="Verdana" w:hAnsi="Verdana"/>
          <w:sz w:val="20"/>
          <w:szCs w:val="20"/>
        </w:rPr>
        <w:t>Helps identify whether to:</w:t>
      </w:r>
    </w:p>
    <w:p w14:paraId="74B68B47" w14:textId="0577E4DF" w:rsidR="00B87F67" w:rsidRPr="008A19CD" w:rsidRDefault="00B87F67" w:rsidP="00CD0202">
      <w:pPr>
        <w:numPr>
          <w:ilvl w:val="1"/>
          <w:numId w:val="7"/>
        </w:numPr>
        <w:rPr>
          <w:rFonts w:ascii="Verdana" w:hAnsi="Verdana"/>
          <w:sz w:val="20"/>
          <w:szCs w:val="20"/>
        </w:rPr>
      </w:pPr>
      <w:r w:rsidRPr="008A19CD">
        <w:rPr>
          <w:rFonts w:ascii="Verdana" w:hAnsi="Verdana"/>
          <w:sz w:val="20"/>
          <w:szCs w:val="20"/>
        </w:rPr>
        <w:t>Consolidate processes in Shared Service Centres (SSC).</w:t>
      </w:r>
    </w:p>
    <w:p w14:paraId="1A0A2BEA" w14:textId="77777777" w:rsidR="00B87F67" w:rsidRPr="008A19CD" w:rsidRDefault="00B87F67" w:rsidP="00CD0202">
      <w:pPr>
        <w:numPr>
          <w:ilvl w:val="1"/>
          <w:numId w:val="7"/>
        </w:numPr>
        <w:rPr>
          <w:rFonts w:ascii="Verdana" w:hAnsi="Verdana"/>
          <w:sz w:val="20"/>
          <w:szCs w:val="20"/>
        </w:rPr>
      </w:pPr>
      <w:r w:rsidRPr="008A19CD">
        <w:rPr>
          <w:rFonts w:ascii="Verdana" w:hAnsi="Verdana"/>
          <w:sz w:val="20"/>
          <w:szCs w:val="20"/>
        </w:rPr>
        <w:t>Automate high-volume, repetitive tasks.</w:t>
      </w:r>
    </w:p>
    <w:p w14:paraId="13437312" w14:textId="77777777" w:rsidR="00B87F67" w:rsidRPr="008A19CD" w:rsidRDefault="00B87F67" w:rsidP="00CD0202">
      <w:pPr>
        <w:numPr>
          <w:ilvl w:val="1"/>
          <w:numId w:val="7"/>
        </w:numPr>
        <w:rPr>
          <w:rFonts w:ascii="Verdana" w:hAnsi="Verdana"/>
          <w:sz w:val="20"/>
          <w:szCs w:val="20"/>
        </w:rPr>
      </w:pPr>
      <w:r w:rsidRPr="008A19CD">
        <w:rPr>
          <w:rFonts w:ascii="Verdana" w:hAnsi="Verdana"/>
          <w:sz w:val="20"/>
          <w:szCs w:val="20"/>
        </w:rPr>
        <w:t>Rebalance in-house vs. outsourced services.</w:t>
      </w:r>
    </w:p>
    <w:p w14:paraId="6FCC6457" w14:textId="77777777" w:rsidR="00CD0AC0" w:rsidRDefault="00CD0AC0" w:rsidP="000E1F65">
      <w:pPr>
        <w:rPr>
          <w:rFonts w:ascii="Verdana" w:hAnsi="Verdana"/>
          <w:sz w:val="20"/>
          <w:szCs w:val="20"/>
        </w:rPr>
      </w:pPr>
    </w:p>
    <w:p w14:paraId="6B241670" w14:textId="01125603" w:rsidR="000E1F65" w:rsidRDefault="00CD0AC0" w:rsidP="00CD0AC0">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9" w:name="_Toc206613710"/>
      <w:r>
        <w:rPr>
          <w:rFonts w:ascii="Verdana" w:eastAsia="Times New Roman" w:hAnsi="Verdana" w:cs="Arial"/>
          <w:b/>
          <w:bCs/>
          <w:color w:val="auto"/>
          <w:kern w:val="0"/>
          <w:sz w:val="22"/>
          <w:szCs w:val="26"/>
          <w:lang w:val="en-US"/>
          <w14:ligatures w14:val="none"/>
        </w:rPr>
        <w:t>3.4.</w:t>
      </w:r>
      <w:r w:rsidR="001D4147">
        <w:rPr>
          <w:rFonts w:ascii="Verdana" w:eastAsia="Times New Roman" w:hAnsi="Verdana" w:cs="Arial"/>
          <w:b/>
          <w:bCs/>
          <w:color w:val="auto"/>
          <w:kern w:val="0"/>
          <w:sz w:val="22"/>
          <w:szCs w:val="26"/>
          <w:lang w:val="en-US"/>
          <w14:ligatures w14:val="none"/>
        </w:rPr>
        <w:t xml:space="preserve"> </w:t>
      </w:r>
      <w:r w:rsidR="0059034D">
        <w:rPr>
          <w:rFonts w:ascii="Verdana" w:eastAsia="Times New Roman" w:hAnsi="Verdana" w:cs="Arial"/>
          <w:b/>
          <w:bCs/>
          <w:color w:val="auto"/>
          <w:kern w:val="0"/>
          <w:sz w:val="22"/>
          <w:szCs w:val="26"/>
          <w:lang w:val="en-US"/>
          <w14:ligatures w14:val="none"/>
        </w:rPr>
        <w:t>Technology Adoption</w:t>
      </w:r>
      <w:bookmarkEnd w:id="9"/>
    </w:p>
    <w:p w14:paraId="0E3E29A8" w14:textId="77777777" w:rsidR="001D4147" w:rsidRDefault="001D4147" w:rsidP="001D4147">
      <w:pPr>
        <w:rPr>
          <w:lang w:val="en-US"/>
        </w:rPr>
      </w:pPr>
    </w:p>
    <w:p w14:paraId="4266FA7C" w14:textId="77777777" w:rsidR="009E2CCE" w:rsidRPr="008A19CD" w:rsidRDefault="009E2CCE" w:rsidP="00CD0202">
      <w:pPr>
        <w:numPr>
          <w:ilvl w:val="0"/>
          <w:numId w:val="8"/>
        </w:numPr>
        <w:rPr>
          <w:rFonts w:ascii="Verdana" w:hAnsi="Verdana"/>
          <w:sz w:val="20"/>
          <w:szCs w:val="20"/>
        </w:rPr>
      </w:pPr>
      <w:r w:rsidRPr="008A19CD">
        <w:rPr>
          <w:rFonts w:ascii="Verdana" w:hAnsi="Verdana"/>
          <w:sz w:val="20"/>
          <w:szCs w:val="20"/>
        </w:rPr>
        <w:t>Compare ERP usage, automation, and AI adoption in finance vs. peers.</w:t>
      </w:r>
    </w:p>
    <w:p w14:paraId="03A44469" w14:textId="77777777" w:rsidR="009E2CCE" w:rsidRPr="008A19CD" w:rsidRDefault="009E2CCE" w:rsidP="00CD0202">
      <w:pPr>
        <w:numPr>
          <w:ilvl w:val="0"/>
          <w:numId w:val="8"/>
        </w:numPr>
        <w:rPr>
          <w:rFonts w:ascii="Verdana" w:hAnsi="Verdana"/>
          <w:sz w:val="20"/>
          <w:szCs w:val="20"/>
        </w:rPr>
      </w:pPr>
      <w:r w:rsidRPr="008A19CD">
        <w:rPr>
          <w:rFonts w:ascii="Verdana" w:hAnsi="Verdana"/>
          <w:sz w:val="20"/>
          <w:szCs w:val="20"/>
        </w:rPr>
        <w:t xml:space="preserve">Example: Benchmarking may reveal most peers use automated reconciliations, while you rely on manual spreadsheets </w:t>
      </w:r>
      <w:r w:rsidRPr="008A19CD">
        <w:rPr>
          <w:rFonts w:ascii="Arial" w:hAnsi="Arial" w:cs="Arial"/>
          <w:sz w:val="20"/>
          <w:szCs w:val="20"/>
        </w:rPr>
        <w:t>→</w:t>
      </w:r>
      <w:r w:rsidRPr="008A19CD">
        <w:rPr>
          <w:rFonts w:ascii="Verdana" w:hAnsi="Verdana"/>
          <w:sz w:val="20"/>
          <w:szCs w:val="20"/>
        </w:rPr>
        <w:t xml:space="preserve"> leading to investment in automation.</w:t>
      </w:r>
    </w:p>
    <w:p w14:paraId="44D99808" w14:textId="77777777" w:rsidR="002A0B62" w:rsidRDefault="002A0B62" w:rsidP="001D4147">
      <w:pPr>
        <w:rPr>
          <w:lang w:val="en-US"/>
        </w:rPr>
      </w:pPr>
    </w:p>
    <w:p w14:paraId="2EBBDDDE" w14:textId="62564CCD" w:rsidR="009E2CCE" w:rsidRDefault="009E2CCE" w:rsidP="009E2CCE">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0" w:name="_Toc206613711"/>
      <w:r>
        <w:rPr>
          <w:rFonts w:ascii="Verdana" w:eastAsia="Times New Roman" w:hAnsi="Verdana" w:cs="Arial"/>
          <w:b/>
          <w:bCs/>
          <w:color w:val="auto"/>
          <w:kern w:val="0"/>
          <w:sz w:val="22"/>
          <w:szCs w:val="26"/>
          <w:lang w:val="en-US"/>
          <w14:ligatures w14:val="none"/>
        </w:rPr>
        <w:lastRenderedPageBreak/>
        <w:t xml:space="preserve">3.5. </w:t>
      </w:r>
      <w:r w:rsidR="003D2E3B">
        <w:rPr>
          <w:rFonts w:ascii="Verdana" w:eastAsia="Times New Roman" w:hAnsi="Verdana" w:cs="Arial"/>
          <w:b/>
          <w:bCs/>
          <w:color w:val="auto"/>
          <w:kern w:val="0"/>
          <w:sz w:val="22"/>
          <w:szCs w:val="26"/>
          <w:lang w:val="en-US"/>
          <w14:ligatures w14:val="none"/>
        </w:rPr>
        <w:t>Risk and Compliance</w:t>
      </w:r>
      <w:bookmarkEnd w:id="10"/>
    </w:p>
    <w:p w14:paraId="56BD77CB" w14:textId="77777777" w:rsidR="009E2CCE" w:rsidRDefault="009E2CCE" w:rsidP="001D4147">
      <w:pPr>
        <w:rPr>
          <w:lang w:val="en-US"/>
        </w:rPr>
      </w:pPr>
    </w:p>
    <w:p w14:paraId="19419FBF" w14:textId="77777777" w:rsidR="004A3040" w:rsidRPr="008A19CD" w:rsidRDefault="004A3040" w:rsidP="00CD0202">
      <w:pPr>
        <w:numPr>
          <w:ilvl w:val="0"/>
          <w:numId w:val="9"/>
        </w:numPr>
        <w:rPr>
          <w:rFonts w:ascii="Verdana" w:hAnsi="Verdana"/>
          <w:sz w:val="20"/>
          <w:szCs w:val="20"/>
        </w:rPr>
      </w:pPr>
      <w:r w:rsidRPr="008A19CD">
        <w:rPr>
          <w:rFonts w:ascii="Verdana" w:hAnsi="Verdana"/>
          <w:sz w:val="20"/>
          <w:szCs w:val="20"/>
        </w:rPr>
        <w:t>Benchmarking internal control maturity and compliance processes (SOX, IFRS, local GAAP).</w:t>
      </w:r>
    </w:p>
    <w:p w14:paraId="059A3184" w14:textId="77777777" w:rsidR="004A3040" w:rsidRPr="008A19CD" w:rsidRDefault="004A3040" w:rsidP="00CD0202">
      <w:pPr>
        <w:numPr>
          <w:ilvl w:val="0"/>
          <w:numId w:val="9"/>
        </w:numPr>
        <w:rPr>
          <w:rFonts w:ascii="Verdana" w:hAnsi="Verdana"/>
          <w:sz w:val="20"/>
          <w:szCs w:val="20"/>
        </w:rPr>
      </w:pPr>
      <w:r w:rsidRPr="008A19CD">
        <w:rPr>
          <w:rFonts w:ascii="Verdana" w:hAnsi="Verdana"/>
          <w:sz w:val="20"/>
          <w:szCs w:val="20"/>
        </w:rPr>
        <w:t>Identifies gaps in financial governance, improving audit readiness and reducing risk exposure.</w:t>
      </w:r>
    </w:p>
    <w:p w14:paraId="13E648AC" w14:textId="77777777" w:rsidR="003D2E3B" w:rsidRDefault="003D2E3B" w:rsidP="001D4147">
      <w:pPr>
        <w:rPr>
          <w:lang w:val="en-US"/>
        </w:rPr>
      </w:pPr>
    </w:p>
    <w:p w14:paraId="42ADA949" w14:textId="438C439C" w:rsidR="004A3040" w:rsidRDefault="004A3040" w:rsidP="004A3040">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1" w:name="_Toc206613712"/>
      <w:r>
        <w:rPr>
          <w:rFonts w:ascii="Verdana" w:eastAsia="Times New Roman" w:hAnsi="Verdana" w:cs="Arial"/>
          <w:b/>
          <w:bCs/>
          <w:color w:val="auto"/>
          <w:kern w:val="0"/>
          <w:sz w:val="22"/>
          <w:szCs w:val="26"/>
          <w:lang w:val="en-US"/>
          <w14:ligatures w14:val="none"/>
        </w:rPr>
        <w:t>3.</w:t>
      </w:r>
      <w:r w:rsidR="00F16647">
        <w:rPr>
          <w:rFonts w:ascii="Verdana" w:eastAsia="Times New Roman" w:hAnsi="Verdana" w:cs="Arial"/>
          <w:b/>
          <w:bCs/>
          <w:color w:val="auto"/>
          <w:kern w:val="0"/>
          <w:sz w:val="22"/>
          <w:szCs w:val="26"/>
          <w:lang w:val="en-US"/>
          <w14:ligatures w14:val="none"/>
        </w:rPr>
        <w:t>6</w:t>
      </w:r>
      <w:r>
        <w:rPr>
          <w:rFonts w:ascii="Verdana" w:eastAsia="Times New Roman" w:hAnsi="Verdana" w:cs="Arial"/>
          <w:b/>
          <w:bCs/>
          <w:color w:val="auto"/>
          <w:kern w:val="0"/>
          <w:sz w:val="22"/>
          <w:szCs w:val="26"/>
          <w:lang w:val="en-US"/>
          <w14:ligatures w14:val="none"/>
        </w:rPr>
        <w:t xml:space="preserve">. </w:t>
      </w:r>
      <w:r w:rsidR="009A4C26">
        <w:rPr>
          <w:rFonts w:ascii="Verdana" w:eastAsia="Times New Roman" w:hAnsi="Verdana" w:cs="Arial"/>
          <w:b/>
          <w:bCs/>
          <w:color w:val="auto"/>
          <w:kern w:val="0"/>
          <w:sz w:val="22"/>
          <w:szCs w:val="26"/>
          <w:lang w:val="en-US"/>
          <w14:ligatures w14:val="none"/>
        </w:rPr>
        <w:t>Strategic decision support</w:t>
      </w:r>
      <w:bookmarkEnd w:id="11"/>
    </w:p>
    <w:p w14:paraId="3D58DB75" w14:textId="77777777" w:rsidR="007E2A53" w:rsidRDefault="007E2A53" w:rsidP="007E2A53">
      <w:pPr>
        <w:rPr>
          <w:lang w:val="en-US"/>
        </w:rPr>
      </w:pPr>
    </w:p>
    <w:p w14:paraId="516E9590" w14:textId="77777777" w:rsidR="007E2A53" w:rsidRPr="008A19CD" w:rsidRDefault="007E2A53" w:rsidP="00CD0202">
      <w:pPr>
        <w:numPr>
          <w:ilvl w:val="0"/>
          <w:numId w:val="10"/>
        </w:numPr>
        <w:rPr>
          <w:rFonts w:ascii="Verdana" w:hAnsi="Verdana"/>
          <w:sz w:val="20"/>
          <w:szCs w:val="20"/>
        </w:rPr>
      </w:pPr>
      <w:r w:rsidRPr="008A19CD">
        <w:rPr>
          <w:rFonts w:ascii="Verdana" w:hAnsi="Verdana"/>
          <w:sz w:val="20"/>
          <w:szCs w:val="20"/>
        </w:rPr>
        <w:t>Benchmarking helps finance leaders show where they stand relative to competitors.</w:t>
      </w:r>
    </w:p>
    <w:p w14:paraId="1A6CA3C2" w14:textId="77777777" w:rsidR="007E2A53" w:rsidRPr="008A19CD" w:rsidRDefault="007E2A53" w:rsidP="00CD0202">
      <w:pPr>
        <w:numPr>
          <w:ilvl w:val="0"/>
          <w:numId w:val="10"/>
        </w:numPr>
        <w:rPr>
          <w:rFonts w:ascii="Verdana" w:hAnsi="Verdana"/>
          <w:sz w:val="20"/>
          <w:szCs w:val="20"/>
        </w:rPr>
      </w:pPr>
      <w:r w:rsidRPr="008A19CD">
        <w:rPr>
          <w:rFonts w:ascii="Verdana" w:hAnsi="Verdana"/>
          <w:sz w:val="20"/>
          <w:szCs w:val="20"/>
        </w:rPr>
        <w:t>Supports investment cases (e.g., implementing SAP S/4HANA or Tagetik) with data-driven justification.</w:t>
      </w:r>
    </w:p>
    <w:p w14:paraId="2219C385" w14:textId="77777777" w:rsidR="007E2A53" w:rsidRPr="008A19CD" w:rsidRDefault="007E2A53" w:rsidP="007E2A53">
      <w:pPr>
        <w:rPr>
          <w:lang w:val="en-US"/>
        </w:rPr>
      </w:pPr>
    </w:p>
    <w:p w14:paraId="3C9BD5FA" w14:textId="77777777" w:rsidR="00962C2E" w:rsidRPr="008A19CD" w:rsidRDefault="00962C2E" w:rsidP="00962C2E">
      <w:pPr>
        <w:rPr>
          <w:rFonts w:ascii="Verdana" w:hAnsi="Verdana"/>
          <w:sz w:val="20"/>
          <w:szCs w:val="20"/>
        </w:rPr>
      </w:pPr>
      <w:r w:rsidRPr="008A19CD">
        <w:rPr>
          <w:rFonts w:ascii="Verdana" w:hAnsi="Verdana"/>
          <w:sz w:val="20"/>
          <w:szCs w:val="20"/>
        </w:rPr>
        <w:t>The benchmarking process in finance involves comparing KPIs, processes, costs, and practices against internal peers, industry averages, or best-in-class companies.</w:t>
      </w:r>
    </w:p>
    <w:p w14:paraId="416CBCAD" w14:textId="77777777" w:rsidR="00962C2E" w:rsidRPr="008A19CD" w:rsidRDefault="00962C2E" w:rsidP="00962C2E">
      <w:pPr>
        <w:rPr>
          <w:rFonts w:ascii="Verdana" w:hAnsi="Verdana"/>
          <w:sz w:val="20"/>
          <w:szCs w:val="20"/>
        </w:rPr>
      </w:pPr>
      <w:r w:rsidRPr="008A19CD">
        <w:rPr>
          <w:rFonts w:ascii="Verdana" w:hAnsi="Verdana"/>
          <w:sz w:val="20"/>
          <w:szCs w:val="20"/>
        </w:rPr>
        <w:t>It helps finance by:</w:t>
      </w:r>
    </w:p>
    <w:p w14:paraId="038EFF0F" w14:textId="77777777" w:rsidR="00962C2E" w:rsidRPr="008A19CD" w:rsidRDefault="00962C2E" w:rsidP="00CD0202">
      <w:pPr>
        <w:numPr>
          <w:ilvl w:val="0"/>
          <w:numId w:val="11"/>
        </w:numPr>
        <w:rPr>
          <w:rFonts w:ascii="Verdana" w:hAnsi="Verdana"/>
          <w:sz w:val="20"/>
          <w:szCs w:val="20"/>
        </w:rPr>
      </w:pPr>
      <w:r w:rsidRPr="008A19CD">
        <w:rPr>
          <w:rFonts w:ascii="Verdana" w:hAnsi="Verdana"/>
          <w:sz w:val="20"/>
          <w:szCs w:val="20"/>
        </w:rPr>
        <w:t>Identifying inefficiencies,</w:t>
      </w:r>
    </w:p>
    <w:p w14:paraId="1FDB9D7F" w14:textId="77777777" w:rsidR="00962C2E" w:rsidRPr="008A19CD" w:rsidRDefault="00962C2E" w:rsidP="00CD0202">
      <w:pPr>
        <w:numPr>
          <w:ilvl w:val="0"/>
          <w:numId w:val="11"/>
        </w:numPr>
        <w:rPr>
          <w:rFonts w:ascii="Verdana" w:hAnsi="Verdana"/>
          <w:sz w:val="20"/>
          <w:szCs w:val="20"/>
        </w:rPr>
      </w:pPr>
      <w:r w:rsidRPr="008A19CD">
        <w:rPr>
          <w:rFonts w:ascii="Verdana" w:hAnsi="Verdana"/>
          <w:sz w:val="20"/>
          <w:szCs w:val="20"/>
        </w:rPr>
        <w:t>Supporting process standardization,</w:t>
      </w:r>
    </w:p>
    <w:p w14:paraId="4735C9B5" w14:textId="77777777" w:rsidR="00962C2E" w:rsidRPr="008A19CD" w:rsidRDefault="00962C2E" w:rsidP="00CD0202">
      <w:pPr>
        <w:numPr>
          <w:ilvl w:val="0"/>
          <w:numId w:val="11"/>
        </w:numPr>
        <w:rPr>
          <w:rFonts w:ascii="Verdana" w:hAnsi="Verdana"/>
          <w:sz w:val="20"/>
          <w:szCs w:val="20"/>
        </w:rPr>
      </w:pPr>
      <w:r w:rsidRPr="008A19CD">
        <w:rPr>
          <w:rFonts w:ascii="Verdana" w:hAnsi="Verdana"/>
          <w:sz w:val="20"/>
          <w:szCs w:val="20"/>
        </w:rPr>
        <w:t>Driving cost optimization,</w:t>
      </w:r>
    </w:p>
    <w:p w14:paraId="758803E9" w14:textId="77777777" w:rsidR="00962C2E" w:rsidRPr="008A19CD" w:rsidRDefault="00962C2E" w:rsidP="00CD0202">
      <w:pPr>
        <w:numPr>
          <w:ilvl w:val="0"/>
          <w:numId w:val="11"/>
        </w:numPr>
        <w:rPr>
          <w:rFonts w:ascii="Verdana" w:hAnsi="Verdana"/>
          <w:sz w:val="20"/>
          <w:szCs w:val="20"/>
        </w:rPr>
      </w:pPr>
      <w:r w:rsidRPr="008A19CD">
        <w:rPr>
          <w:rFonts w:ascii="Verdana" w:hAnsi="Verdana"/>
          <w:sz w:val="20"/>
          <w:szCs w:val="20"/>
        </w:rPr>
        <w:t>Accelerating digital adoption, and</w:t>
      </w:r>
    </w:p>
    <w:p w14:paraId="6E592ADB" w14:textId="5D0E1A8E" w:rsidR="001D4147" w:rsidRPr="008A19CD" w:rsidRDefault="00962C2E" w:rsidP="00CD0202">
      <w:pPr>
        <w:numPr>
          <w:ilvl w:val="0"/>
          <w:numId w:val="11"/>
        </w:numPr>
        <w:rPr>
          <w:rFonts w:ascii="Verdana" w:hAnsi="Verdana"/>
          <w:sz w:val="20"/>
          <w:szCs w:val="20"/>
        </w:rPr>
      </w:pPr>
      <w:r w:rsidRPr="008A19CD">
        <w:rPr>
          <w:rFonts w:ascii="Verdana" w:hAnsi="Verdana"/>
          <w:sz w:val="20"/>
          <w:szCs w:val="20"/>
        </w:rPr>
        <w:t>Strengthening governance and compliance.</w:t>
      </w:r>
    </w:p>
    <w:p w14:paraId="3420FBB6" w14:textId="77777777" w:rsidR="001D4147" w:rsidRPr="00AF332A" w:rsidRDefault="001D4147" w:rsidP="00CD0AC0">
      <w:pPr>
        <w:rPr>
          <w:rFonts w:ascii="Verdana" w:hAnsi="Verdana"/>
          <w:sz w:val="20"/>
          <w:szCs w:val="20"/>
        </w:rPr>
      </w:pPr>
    </w:p>
    <w:p w14:paraId="07AE765F" w14:textId="7ACB70DA" w:rsidR="000E1F65" w:rsidRDefault="001D4147" w:rsidP="001D4147">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12" w:name="_Toc206613713"/>
      <w:r>
        <w:rPr>
          <w:rFonts w:ascii="Verdana" w:eastAsia="Times New Roman" w:hAnsi="Verdana" w:cs="Arial"/>
          <w:b/>
          <w:bCs/>
          <w:color w:val="auto"/>
          <w:kern w:val="0"/>
          <w:sz w:val="28"/>
          <w:szCs w:val="32"/>
          <w:lang w:val="en-US"/>
          <w14:ligatures w14:val="none"/>
        </w:rPr>
        <w:t xml:space="preserve">4. </w:t>
      </w:r>
      <w:r w:rsidR="00E00BC5">
        <w:rPr>
          <w:rFonts w:ascii="Verdana" w:eastAsia="Times New Roman" w:hAnsi="Verdana" w:cs="Arial"/>
          <w:b/>
          <w:bCs/>
          <w:color w:val="auto"/>
          <w:kern w:val="0"/>
          <w:sz w:val="28"/>
          <w:szCs w:val="32"/>
          <w:lang w:val="en-US"/>
          <w14:ligatures w14:val="none"/>
        </w:rPr>
        <w:t xml:space="preserve">Standard </w:t>
      </w:r>
      <w:r w:rsidR="002A3936">
        <w:rPr>
          <w:rFonts w:ascii="Verdana" w:eastAsia="Times New Roman" w:hAnsi="Verdana" w:cs="Arial"/>
          <w:b/>
          <w:bCs/>
          <w:color w:val="auto"/>
          <w:kern w:val="0"/>
          <w:sz w:val="28"/>
          <w:szCs w:val="32"/>
          <w:lang w:val="en-US"/>
          <w14:ligatures w14:val="none"/>
        </w:rPr>
        <w:t>Benchmarking - Finance</w:t>
      </w:r>
      <w:bookmarkEnd w:id="12"/>
    </w:p>
    <w:p w14:paraId="08409178" w14:textId="77777777" w:rsidR="001D4147" w:rsidRPr="001D4147" w:rsidRDefault="001D4147" w:rsidP="001D4147">
      <w:pPr>
        <w:rPr>
          <w:lang w:val="en-US"/>
        </w:rPr>
      </w:pPr>
    </w:p>
    <w:p w14:paraId="539C686D" w14:textId="15C0E5D7" w:rsidR="000E1F65" w:rsidRDefault="009F43C5" w:rsidP="009F43C5">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3" w:name="_Toc206613714"/>
      <w:r>
        <w:rPr>
          <w:rFonts w:ascii="Verdana" w:eastAsia="Times New Roman" w:hAnsi="Verdana" w:cs="Arial"/>
          <w:b/>
          <w:bCs/>
          <w:color w:val="auto"/>
          <w:kern w:val="0"/>
          <w:sz w:val="22"/>
          <w:szCs w:val="26"/>
          <w:lang w:val="en-US"/>
          <w14:ligatures w14:val="none"/>
        </w:rPr>
        <w:t>4.</w:t>
      </w:r>
      <w:r w:rsidR="000E1F65" w:rsidRPr="009F43C5">
        <w:rPr>
          <w:rFonts w:ascii="Verdana" w:eastAsia="Times New Roman" w:hAnsi="Verdana" w:cs="Arial"/>
          <w:b/>
          <w:bCs/>
          <w:color w:val="auto"/>
          <w:kern w:val="0"/>
          <w:sz w:val="22"/>
          <w:szCs w:val="26"/>
          <w:lang w:val="en-US"/>
          <w14:ligatures w14:val="none"/>
        </w:rPr>
        <w:t xml:space="preserve">1. </w:t>
      </w:r>
      <w:r w:rsidR="0056552D">
        <w:rPr>
          <w:rFonts w:ascii="Verdana" w:eastAsia="Times New Roman" w:hAnsi="Verdana" w:cs="Arial"/>
          <w:b/>
          <w:bCs/>
          <w:color w:val="auto"/>
          <w:kern w:val="0"/>
          <w:sz w:val="22"/>
          <w:szCs w:val="26"/>
          <w:lang w:val="en-US"/>
          <w14:ligatures w14:val="none"/>
        </w:rPr>
        <w:t xml:space="preserve">Record to report </w:t>
      </w:r>
      <w:r w:rsidR="004D420F">
        <w:rPr>
          <w:rFonts w:ascii="Verdana" w:eastAsia="Times New Roman" w:hAnsi="Verdana" w:cs="Arial"/>
          <w:b/>
          <w:bCs/>
          <w:color w:val="auto"/>
          <w:kern w:val="0"/>
          <w:sz w:val="22"/>
          <w:szCs w:val="26"/>
          <w:lang w:val="en-US"/>
          <w14:ligatures w14:val="none"/>
        </w:rPr>
        <w:t>(R</w:t>
      </w:r>
      <w:r w:rsidR="0056552D">
        <w:rPr>
          <w:rFonts w:ascii="Verdana" w:eastAsia="Times New Roman" w:hAnsi="Verdana" w:cs="Arial"/>
          <w:b/>
          <w:bCs/>
          <w:color w:val="auto"/>
          <w:kern w:val="0"/>
          <w:sz w:val="22"/>
          <w:szCs w:val="26"/>
          <w:lang w:val="en-US"/>
          <w14:ligatures w14:val="none"/>
        </w:rPr>
        <w:t>2R)</w:t>
      </w:r>
      <w:bookmarkEnd w:id="13"/>
    </w:p>
    <w:p w14:paraId="14F9C7E1" w14:textId="77777777" w:rsidR="009F43C5" w:rsidRPr="009F43C5" w:rsidRDefault="009F43C5" w:rsidP="009F43C5">
      <w:pPr>
        <w:rPr>
          <w:lang w:val="en-US"/>
        </w:rPr>
      </w:pPr>
    </w:p>
    <w:p w14:paraId="2E40A9FC"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Days to Close Books (Monthly/Quarterly/Year-end)</w:t>
      </w:r>
    </w:p>
    <w:p w14:paraId="01C603AA"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Number of Manual Journal Entries per close</w:t>
      </w:r>
    </w:p>
    <w:p w14:paraId="24873F71"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 of Accounts Reconciled Automatically vs. Manually</w:t>
      </w:r>
    </w:p>
    <w:p w14:paraId="73998BBF"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Error/Adjustment Rate after Close</w:t>
      </w:r>
    </w:p>
    <w:p w14:paraId="649309FB"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Finance Cost per $1,000 of Revenue</w:t>
      </w:r>
    </w:p>
    <w:p w14:paraId="77F2DC17" w14:textId="77777777" w:rsidR="004D420F" w:rsidRPr="004D420F" w:rsidRDefault="004D420F" w:rsidP="00CD0202">
      <w:pPr>
        <w:numPr>
          <w:ilvl w:val="0"/>
          <w:numId w:val="12"/>
        </w:numPr>
        <w:rPr>
          <w:rFonts w:ascii="Verdana" w:hAnsi="Verdana"/>
          <w:sz w:val="20"/>
          <w:szCs w:val="20"/>
        </w:rPr>
      </w:pPr>
      <w:r w:rsidRPr="004D420F">
        <w:rPr>
          <w:rFonts w:ascii="Verdana" w:hAnsi="Verdana"/>
          <w:sz w:val="20"/>
          <w:szCs w:val="20"/>
        </w:rPr>
        <w:t>Finance FTEs per Billion $ Revenue</w:t>
      </w:r>
    </w:p>
    <w:p w14:paraId="41A5AEE3" w14:textId="77777777" w:rsidR="00F42B38" w:rsidRDefault="00F42B38" w:rsidP="00F42B38">
      <w:pPr>
        <w:rPr>
          <w:rFonts w:ascii="Verdana" w:hAnsi="Verdana"/>
          <w:sz w:val="20"/>
          <w:szCs w:val="20"/>
        </w:rPr>
      </w:pPr>
    </w:p>
    <w:p w14:paraId="0E00BA49" w14:textId="77777777" w:rsidR="00F42B38" w:rsidRDefault="00F42B38" w:rsidP="00F42B38">
      <w:pPr>
        <w:rPr>
          <w:rFonts w:ascii="Verdana" w:hAnsi="Verdana"/>
          <w:sz w:val="20"/>
          <w:szCs w:val="20"/>
        </w:rPr>
      </w:pPr>
    </w:p>
    <w:p w14:paraId="3989F7C7" w14:textId="77777777" w:rsidR="00F42B38" w:rsidRPr="00AF332A" w:rsidRDefault="00F42B38" w:rsidP="00F42B38">
      <w:pPr>
        <w:rPr>
          <w:rFonts w:ascii="Verdana" w:hAnsi="Verdana"/>
          <w:sz w:val="20"/>
          <w:szCs w:val="20"/>
        </w:rPr>
      </w:pPr>
    </w:p>
    <w:p w14:paraId="283E2458" w14:textId="58EF7362" w:rsidR="000E1F65" w:rsidRDefault="009F43C5" w:rsidP="009F43C5">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4" w:name="_Toc206613715"/>
      <w:r>
        <w:rPr>
          <w:rFonts w:ascii="Verdana" w:eastAsia="Times New Roman" w:hAnsi="Verdana" w:cs="Arial"/>
          <w:b/>
          <w:bCs/>
          <w:color w:val="auto"/>
          <w:kern w:val="0"/>
          <w:sz w:val="22"/>
          <w:szCs w:val="26"/>
          <w:lang w:val="en-US"/>
          <w14:ligatures w14:val="none"/>
        </w:rPr>
        <w:lastRenderedPageBreak/>
        <w:t>4.</w:t>
      </w:r>
      <w:r w:rsidR="000E1F65" w:rsidRPr="009F43C5">
        <w:rPr>
          <w:rFonts w:ascii="Verdana" w:eastAsia="Times New Roman" w:hAnsi="Verdana" w:cs="Arial"/>
          <w:b/>
          <w:bCs/>
          <w:color w:val="auto"/>
          <w:kern w:val="0"/>
          <w:sz w:val="22"/>
          <w:szCs w:val="26"/>
          <w:lang w:val="en-US"/>
          <w14:ligatures w14:val="none"/>
        </w:rPr>
        <w:t xml:space="preserve">2. </w:t>
      </w:r>
      <w:r w:rsidR="008A5915">
        <w:rPr>
          <w:rFonts w:ascii="Verdana" w:eastAsia="Times New Roman" w:hAnsi="Verdana" w:cs="Arial"/>
          <w:b/>
          <w:bCs/>
          <w:color w:val="auto"/>
          <w:kern w:val="0"/>
          <w:sz w:val="22"/>
          <w:szCs w:val="26"/>
          <w:lang w:val="en-US"/>
          <w14:ligatures w14:val="none"/>
        </w:rPr>
        <w:t>Procure to Pay (P2P)</w:t>
      </w:r>
      <w:bookmarkEnd w:id="14"/>
    </w:p>
    <w:p w14:paraId="20FB3B65" w14:textId="77777777" w:rsidR="009F43C5" w:rsidRPr="009F43C5" w:rsidRDefault="009F43C5" w:rsidP="009F43C5">
      <w:pPr>
        <w:rPr>
          <w:lang w:val="en-US"/>
        </w:rPr>
      </w:pPr>
    </w:p>
    <w:p w14:paraId="5E6E480E" w14:textId="77777777" w:rsidR="00033ACE" w:rsidRPr="00033ACE" w:rsidRDefault="00033ACE" w:rsidP="00CD0202">
      <w:pPr>
        <w:numPr>
          <w:ilvl w:val="0"/>
          <w:numId w:val="13"/>
        </w:numPr>
        <w:rPr>
          <w:rFonts w:ascii="Verdana" w:hAnsi="Verdana"/>
          <w:sz w:val="20"/>
          <w:szCs w:val="20"/>
        </w:rPr>
      </w:pPr>
      <w:r w:rsidRPr="00033ACE">
        <w:rPr>
          <w:rFonts w:ascii="Verdana" w:hAnsi="Verdana"/>
          <w:sz w:val="20"/>
          <w:szCs w:val="20"/>
        </w:rPr>
        <w:t xml:space="preserve">AP Cycle Time (Invoice receipt </w:t>
      </w:r>
      <w:r w:rsidRPr="00033ACE">
        <w:rPr>
          <w:rFonts w:ascii="Arial" w:hAnsi="Arial" w:cs="Arial"/>
          <w:sz w:val="20"/>
          <w:szCs w:val="20"/>
        </w:rPr>
        <w:t>→</w:t>
      </w:r>
      <w:r w:rsidRPr="00033ACE">
        <w:rPr>
          <w:rFonts w:ascii="Verdana" w:hAnsi="Verdana"/>
          <w:sz w:val="20"/>
          <w:szCs w:val="20"/>
        </w:rPr>
        <w:t xml:space="preserve"> payment, in days)</w:t>
      </w:r>
    </w:p>
    <w:p w14:paraId="47CF1A53" w14:textId="77777777" w:rsidR="00033ACE" w:rsidRPr="00033ACE" w:rsidRDefault="00033ACE" w:rsidP="00CD0202">
      <w:pPr>
        <w:numPr>
          <w:ilvl w:val="0"/>
          <w:numId w:val="13"/>
        </w:numPr>
        <w:rPr>
          <w:rFonts w:ascii="Verdana" w:hAnsi="Verdana"/>
          <w:sz w:val="20"/>
          <w:szCs w:val="20"/>
        </w:rPr>
      </w:pPr>
      <w:r w:rsidRPr="00033ACE">
        <w:rPr>
          <w:rFonts w:ascii="Verdana" w:hAnsi="Verdana"/>
          <w:sz w:val="20"/>
          <w:szCs w:val="20"/>
        </w:rPr>
        <w:t>% of Invoices Paid On Time</w:t>
      </w:r>
    </w:p>
    <w:p w14:paraId="6F31C8CD" w14:textId="77777777" w:rsidR="00033ACE" w:rsidRPr="00033ACE" w:rsidRDefault="00033ACE" w:rsidP="00CD0202">
      <w:pPr>
        <w:numPr>
          <w:ilvl w:val="0"/>
          <w:numId w:val="13"/>
        </w:numPr>
        <w:rPr>
          <w:rFonts w:ascii="Verdana" w:hAnsi="Verdana"/>
          <w:sz w:val="20"/>
          <w:szCs w:val="20"/>
        </w:rPr>
      </w:pPr>
      <w:r w:rsidRPr="00033ACE">
        <w:rPr>
          <w:rFonts w:ascii="Verdana" w:hAnsi="Verdana"/>
          <w:sz w:val="20"/>
          <w:szCs w:val="20"/>
        </w:rPr>
        <w:t>% of Invoices Processed Straight-Through (No Touch)</w:t>
      </w:r>
    </w:p>
    <w:p w14:paraId="63F15AD4" w14:textId="77777777" w:rsidR="00033ACE" w:rsidRPr="00033ACE" w:rsidRDefault="00033ACE" w:rsidP="00CD0202">
      <w:pPr>
        <w:numPr>
          <w:ilvl w:val="0"/>
          <w:numId w:val="13"/>
        </w:numPr>
        <w:rPr>
          <w:rFonts w:ascii="Verdana" w:hAnsi="Verdana"/>
          <w:sz w:val="20"/>
          <w:szCs w:val="20"/>
        </w:rPr>
      </w:pPr>
      <w:r w:rsidRPr="00033ACE">
        <w:rPr>
          <w:rFonts w:ascii="Verdana" w:hAnsi="Verdana"/>
          <w:sz w:val="20"/>
          <w:szCs w:val="20"/>
        </w:rPr>
        <w:t>Cost per Invoice Processed</w:t>
      </w:r>
    </w:p>
    <w:p w14:paraId="3D3668AF" w14:textId="77777777" w:rsidR="00033ACE" w:rsidRPr="00033ACE" w:rsidRDefault="00033ACE" w:rsidP="00CD0202">
      <w:pPr>
        <w:numPr>
          <w:ilvl w:val="0"/>
          <w:numId w:val="13"/>
        </w:numPr>
        <w:rPr>
          <w:rFonts w:ascii="Verdana" w:hAnsi="Verdana"/>
          <w:sz w:val="20"/>
          <w:szCs w:val="20"/>
        </w:rPr>
      </w:pPr>
      <w:r w:rsidRPr="00033ACE">
        <w:rPr>
          <w:rFonts w:ascii="Verdana" w:hAnsi="Verdana"/>
          <w:sz w:val="20"/>
          <w:szCs w:val="20"/>
        </w:rPr>
        <w:t>Supplier Dispute Rate (%)</w:t>
      </w:r>
    </w:p>
    <w:p w14:paraId="5EBA9FF4" w14:textId="1E72ED87" w:rsidR="00B35AFB" w:rsidRPr="00033ACE" w:rsidRDefault="00033ACE" w:rsidP="00CD0202">
      <w:pPr>
        <w:numPr>
          <w:ilvl w:val="0"/>
          <w:numId w:val="13"/>
        </w:numPr>
        <w:rPr>
          <w:rFonts w:ascii="Verdana" w:hAnsi="Verdana"/>
          <w:sz w:val="20"/>
          <w:szCs w:val="20"/>
        </w:rPr>
      </w:pPr>
      <w:r w:rsidRPr="00033ACE">
        <w:rPr>
          <w:rFonts w:ascii="Verdana" w:hAnsi="Verdana"/>
          <w:sz w:val="20"/>
          <w:szCs w:val="20"/>
        </w:rPr>
        <w:t>% Spend under Contract</w:t>
      </w:r>
    </w:p>
    <w:p w14:paraId="6B678ECE" w14:textId="77777777" w:rsidR="00820307" w:rsidRPr="00AF332A" w:rsidRDefault="00820307" w:rsidP="000E1F65">
      <w:pPr>
        <w:rPr>
          <w:rFonts w:ascii="Verdana" w:hAnsi="Verdana"/>
          <w:sz w:val="20"/>
          <w:szCs w:val="20"/>
        </w:rPr>
      </w:pPr>
    </w:p>
    <w:p w14:paraId="589BED94" w14:textId="526C0924" w:rsidR="000E1F65" w:rsidRDefault="009F43C5" w:rsidP="009F43C5">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5" w:name="_Toc206613716"/>
      <w:r>
        <w:rPr>
          <w:rFonts w:ascii="Verdana" w:eastAsia="Times New Roman" w:hAnsi="Verdana" w:cs="Arial"/>
          <w:b/>
          <w:bCs/>
          <w:color w:val="auto"/>
          <w:kern w:val="0"/>
          <w:sz w:val="22"/>
          <w:szCs w:val="26"/>
          <w:lang w:val="en-US"/>
          <w14:ligatures w14:val="none"/>
        </w:rPr>
        <w:t>4.</w:t>
      </w:r>
      <w:r w:rsidR="000E1F65" w:rsidRPr="009F43C5">
        <w:rPr>
          <w:rFonts w:ascii="Verdana" w:eastAsia="Times New Roman" w:hAnsi="Verdana" w:cs="Arial"/>
          <w:b/>
          <w:bCs/>
          <w:color w:val="auto"/>
          <w:kern w:val="0"/>
          <w:sz w:val="22"/>
          <w:szCs w:val="26"/>
          <w:lang w:val="en-US"/>
          <w14:ligatures w14:val="none"/>
        </w:rPr>
        <w:t xml:space="preserve">3. </w:t>
      </w:r>
      <w:r w:rsidR="006263CD">
        <w:rPr>
          <w:rFonts w:ascii="Verdana" w:eastAsia="Times New Roman" w:hAnsi="Verdana" w:cs="Arial"/>
          <w:b/>
          <w:bCs/>
          <w:color w:val="auto"/>
          <w:kern w:val="0"/>
          <w:sz w:val="22"/>
          <w:szCs w:val="26"/>
          <w:lang w:val="en-US"/>
          <w14:ligatures w14:val="none"/>
        </w:rPr>
        <w:t>Order to Cash (O2C)</w:t>
      </w:r>
      <w:bookmarkEnd w:id="15"/>
    </w:p>
    <w:p w14:paraId="7F181A94" w14:textId="77777777" w:rsidR="009F43C5" w:rsidRDefault="009F43C5" w:rsidP="009F43C5">
      <w:pPr>
        <w:rPr>
          <w:lang w:val="en-US"/>
        </w:rPr>
      </w:pPr>
    </w:p>
    <w:p w14:paraId="69F7421F"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Days Sales Outstanding (DSO)</w:t>
      </w:r>
    </w:p>
    <w:p w14:paraId="4DB092F3"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 of Current Receivables &gt;90 Days Overdue</w:t>
      </w:r>
    </w:p>
    <w:p w14:paraId="0A025F81"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Cash Collection Effectiveness Index (CEI)</w:t>
      </w:r>
    </w:p>
    <w:p w14:paraId="18168892"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Dispute Rate on Customer Invoices (%)</w:t>
      </w:r>
    </w:p>
    <w:p w14:paraId="3381FF10"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 of Cash Applied Automatically vs. Manually</w:t>
      </w:r>
    </w:p>
    <w:p w14:paraId="1D22E13B" w14:textId="77777777" w:rsidR="009F1274" w:rsidRPr="009F1274" w:rsidRDefault="009F1274" w:rsidP="00CD0202">
      <w:pPr>
        <w:numPr>
          <w:ilvl w:val="0"/>
          <w:numId w:val="14"/>
        </w:numPr>
        <w:rPr>
          <w:rFonts w:ascii="Verdana" w:hAnsi="Verdana"/>
          <w:sz w:val="20"/>
          <w:szCs w:val="20"/>
        </w:rPr>
      </w:pPr>
      <w:r w:rsidRPr="009F1274">
        <w:rPr>
          <w:rFonts w:ascii="Verdana" w:hAnsi="Verdana"/>
          <w:sz w:val="20"/>
          <w:szCs w:val="20"/>
        </w:rPr>
        <w:t>Cost per Order Processed</w:t>
      </w:r>
    </w:p>
    <w:p w14:paraId="1BBB4DB8" w14:textId="77777777" w:rsidR="00B35AFB" w:rsidRPr="009F43C5" w:rsidRDefault="00B35AFB" w:rsidP="009F43C5">
      <w:pPr>
        <w:rPr>
          <w:lang w:val="en-US"/>
        </w:rPr>
      </w:pPr>
    </w:p>
    <w:p w14:paraId="14AD5AB2" w14:textId="2609182C" w:rsidR="000E1F65" w:rsidRDefault="009F43C5" w:rsidP="009F43C5">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6" w:name="_Toc206613717"/>
      <w:r>
        <w:rPr>
          <w:rFonts w:ascii="Verdana" w:eastAsia="Times New Roman" w:hAnsi="Verdana" w:cs="Arial"/>
          <w:b/>
          <w:bCs/>
          <w:color w:val="auto"/>
          <w:kern w:val="0"/>
          <w:sz w:val="22"/>
          <w:szCs w:val="26"/>
          <w:lang w:val="en-US"/>
          <w14:ligatures w14:val="none"/>
        </w:rPr>
        <w:t>4.</w:t>
      </w:r>
      <w:r w:rsidR="000E1F65" w:rsidRPr="009F43C5">
        <w:rPr>
          <w:rFonts w:ascii="Verdana" w:eastAsia="Times New Roman" w:hAnsi="Verdana" w:cs="Arial"/>
          <w:b/>
          <w:bCs/>
          <w:color w:val="auto"/>
          <w:kern w:val="0"/>
          <w:sz w:val="22"/>
          <w:szCs w:val="26"/>
          <w:lang w:val="en-US"/>
          <w14:ligatures w14:val="none"/>
        </w:rPr>
        <w:t xml:space="preserve">4. </w:t>
      </w:r>
      <w:r w:rsidR="006E4F7E">
        <w:rPr>
          <w:rFonts w:ascii="Verdana" w:eastAsia="Times New Roman" w:hAnsi="Verdana" w:cs="Arial"/>
          <w:b/>
          <w:bCs/>
          <w:color w:val="auto"/>
          <w:kern w:val="0"/>
          <w:sz w:val="22"/>
          <w:szCs w:val="26"/>
          <w:lang w:val="en-US"/>
          <w14:ligatures w14:val="none"/>
        </w:rPr>
        <w:t xml:space="preserve">Treasury and Cash </w:t>
      </w:r>
      <w:r w:rsidR="001D3213">
        <w:rPr>
          <w:rFonts w:ascii="Verdana" w:eastAsia="Times New Roman" w:hAnsi="Verdana" w:cs="Arial"/>
          <w:b/>
          <w:bCs/>
          <w:color w:val="auto"/>
          <w:kern w:val="0"/>
          <w:sz w:val="22"/>
          <w:szCs w:val="26"/>
          <w:lang w:val="en-US"/>
          <w14:ligatures w14:val="none"/>
        </w:rPr>
        <w:t>management</w:t>
      </w:r>
      <w:bookmarkEnd w:id="16"/>
    </w:p>
    <w:p w14:paraId="7C500E41" w14:textId="77777777" w:rsidR="009F43C5" w:rsidRDefault="009F43C5" w:rsidP="009F43C5">
      <w:pPr>
        <w:rPr>
          <w:lang w:val="en-US"/>
        </w:rPr>
      </w:pPr>
    </w:p>
    <w:p w14:paraId="17AB7320"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Cash Forecast Accuracy (%)</w:t>
      </w:r>
    </w:p>
    <w:p w14:paraId="276C4D25"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Liquidity Coverage Ratio</w:t>
      </w:r>
    </w:p>
    <w:p w14:paraId="00D858F7"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Average Cash Conversion Cycle (CCC)</w:t>
      </w:r>
    </w:p>
    <w:p w14:paraId="06D9AB04"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Debt-to-Equity Ratio</w:t>
      </w:r>
    </w:p>
    <w:p w14:paraId="67825D2B"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Interest Coverage Ratio</w:t>
      </w:r>
    </w:p>
    <w:p w14:paraId="0F3D201D" w14:textId="77777777" w:rsidR="00F20701" w:rsidRPr="00F20701" w:rsidRDefault="00F20701" w:rsidP="00CD0202">
      <w:pPr>
        <w:numPr>
          <w:ilvl w:val="0"/>
          <w:numId w:val="15"/>
        </w:numPr>
        <w:rPr>
          <w:rFonts w:ascii="Verdana" w:hAnsi="Verdana"/>
          <w:sz w:val="20"/>
          <w:szCs w:val="20"/>
        </w:rPr>
      </w:pPr>
      <w:r w:rsidRPr="00F20701">
        <w:rPr>
          <w:rFonts w:ascii="Verdana" w:hAnsi="Verdana"/>
          <w:sz w:val="20"/>
          <w:szCs w:val="20"/>
        </w:rPr>
        <w:t>Hedging Effectiveness (%)</w:t>
      </w:r>
    </w:p>
    <w:p w14:paraId="13B7AEAD" w14:textId="77777777" w:rsidR="00973DE8" w:rsidRDefault="00973DE8" w:rsidP="009F43C5">
      <w:pPr>
        <w:rPr>
          <w:lang w:val="en-US"/>
        </w:rPr>
      </w:pPr>
    </w:p>
    <w:p w14:paraId="5EB9A3B5" w14:textId="52925F28" w:rsidR="00213384" w:rsidRDefault="00213384" w:rsidP="00213384">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17" w:name="_Toc206613718"/>
      <w:r>
        <w:rPr>
          <w:rFonts w:ascii="Verdana" w:eastAsia="Times New Roman" w:hAnsi="Verdana" w:cs="Arial"/>
          <w:b/>
          <w:bCs/>
          <w:color w:val="auto"/>
          <w:kern w:val="0"/>
          <w:sz w:val="22"/>
          <w:szCs w:val="26"/>
          <w:lang w:val="en-US"/>
          <w14:ligatures w14:val="none"/>
        </w:rPr>
        <w:t>4.5</w:t>
      </w:r>
      <w:r w:rsidRPr="009F43C5">
        <w:rPr>
          <w:rFonts w:ascii="Verdana" w:eastAsia="Times New Roman" w:hAnsi="Verdana" w:cs="Arial"/>
          <w:b/>
          <w:bCs/>
          <w:color w:val="auto"/>
          <w:kern w:val="0"/>
          <w:sz w:val="22"/>
          <w:szCs w:val="26"/>
          <w:lang w:val="en-US"/>
          <w14:ligatures w14:val="none"/>
        </w:rPr>
        <w:t xml:space="preserve">. </w:t>
      </w:r>
      <w:r>
        <w:rPr>
          <w:rFonts w:ascii="Verdana" w:eastAsia="Times New Roman" w:hAnsi="Verdana" w:cs="Arial"/>
          <w:b/>
          <w:bCs/>
          <w:color w:val="auto"/>
          <w:kern w:val="0"/>
          <w:sz w:val="22"/>
          <w:szCs w:val="26"/>
          <w:lang w:val="en-US"/>
          <w14:ligatures w14:val="none"/>
        </w:rPr>
        <w:t>Compliance and Control</w:t>
      </w:r>
      <w:bookmarkEnd w:id="17"/>
    </w:p>
    <w:p w14:paraId="67E88816" w14:textId="77777777" w:rsidR="00213384" w:rsidRDefault="00213384" w:rsidP="009F43C5">
      <w:pPr>
        <w:rPr>
          <w:lang w:val="en-US"/>
        </w:rPr>
      </w:pPr>
    </w:p>
    <w:p w14:paraId="4EEB933E" w14:textId="77777777" w:rsidR="00800A0D" w:rsidRPr="00800A0D" w:rsidRDefault="00800A0D" w:rsidP="00CD0202">
      <w:pPr>
        <w:numPr>
          <w:ilvl w:val="0"/>
          <w:numId w:val="16"/>
        </w:numPr>
        <w:rPr>
          <w:rFonts w:ascii="Verdana" w:hAnsi="Verdana"/>
          <w:sz w:val="20"/>
          <w:szCs w:val="20"/>
        </w:rPr>
      </w:pPr>
      <w:r w:rsidRPr="00800A0D">
        <w:rPr>
          <w:rFonts w:ascii="Verdana" w:hAnsi="Verdana"/>
          <w:sz w:val="20"/>
          <w:szCs w:val="20"/>
        </w:rPr>
        <w:t>% of Accounts with Timely Reconciliation</w:t>
      </w:r>
    </w:p>
    <w:p w14:paraId="3E7C80F3" w14:textId="77777777" w:rsidR="00800A0D" w:rsidRPr="00800A0D" w:rsidRDefault="00800A0D" w:rsidP="00CD0202">
      <w:pPr>
        <w:numPr>
          <w:ilvl w:val="0"/>
          <w:numId w:val="16"/>
        </w:numPr>
        <w:rPr>
          <w:rFonts w:ascii="Verdana" w:hAnsi="Verdana"/>
          <w:sz w:val="20"/>
          <w:szCs w:val="20"/>
        </w:rPr>
      </w:pPr>
      <w:r w:rsidRPr="00800A0D">
        <w:rPr>
          <w:rFonts w:ascii="Verdana" w:hAnsi="Verdana"/>
          <w:sz w:val="20"/>
          <w:szCs w:val="20"/>
        </w:rPr>
        <w:t>Number of Audit Findings per Year</w:t>
      </w:r>
    </w:p>
    <w:p w14:paraId="496BB26F" w14:textId="77777777" w:rsidR="00800A0D" w:rsidRPr="00800A0D" w:rsidRDefault="00800A0D" w:rsidP="00CD0202">
      <w:pPr>
        <w:numPr>
          <w:ilvl w:val="0"/>
          <w:numId w:val="16"/>
        </w:numPr>
        <w:rPr>
          <w:rFonts w:ascii="Verdana" w:hAnsi="Verdana"/>
          <w:sz w:val="20"/>
          <w:szCs w:val="20"/>
        </w:rPr>
      </w:pPr>
      <w:r w:rsidRPr="00800A0D">
        <w:rPr>
          <w:rFonts w:ascii="Verdana" w:hAnsi="Verdana"/>
          <w:sz w:val="20"/>
          <w:szCs w:val="20"/>
        </w:rPr>
        <w:t>SOX/ICFR Control Effectiveness (%)</w:t>
      </w:r>
    </w:p>
    <w:p w14:paraId="43A92317" w14:textId="77777777" w:rsidR="00800A0D" w:rsidRDefault="00800A0D" w:rsidP="00CD0202">
      <w:pPr>
        <w:numPr>
          <w:ilvl w:val="0"/>
          <w:numId w:val="16"/>
        </w:numPr>
        <w:rPr>
          <w:rFonts w:ascii="Verdana" w:hAnsi="Verdana"/>
          <w:sz w:val="20"/>
          <w:szCs w:val="20"/>
        </w:rPr>
      </w:pPr>
      <w:r w:rsidRPr="00800A0D">
        <w:rPr>
          <w:rFonts w:ascii="Verdana" w:hAnsi="Verdana"/>
          <w:sz w:val="20"/>
          <w:szCs w:val="20"/>
        </w:rPr>
        <w:t>% of Policies Standardized Across Entities</w:t>
      </w:r>
    </w:p>
    <w:p w14:paraId="2A92DF5C" w14:textId="77777777" w:rsidR="00800A0D" w:rsidRDefault="00800A0D" w:rsidP="00800A0D">
      <w:pPr>
        <w:rPr>
          <w:rFonts w:ascii="Verdana" w:hAnsi="Verdana"/>
          <w:sz w:val="20"/>
          <w:szCs w:val="20"/>
        </w:rPr>
      </w:pPr>
    </w:p>
    <w:p w14:paraId="25C93417" w14:textId="6FD534FD" w:rsidR="00800A0D" w:rsidRDefault="00800A0D" w:rsidP="00800A0D">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18" w:name="_Toc206613719"/>
      <w:r>
        <w:rPr>
          <w:rFonts w:ascii="Verdana" w:eastAsia="Times New Roman" w:hAnsi="Verdana" w:cs="Arial"/>
          <w:b/>
          <w:bCs/>
          <w:color w:val="auto"/>
          <w:kern w:val="0"/>
          <w:sz w:val="28"/>
          <w:szCs w:val="32"/>
          <w:lang w:val="en-US"/>
          <w14:ligatures w14:val="none"/>
        </w:rPr>
        <w:lastRenderedPageBreak/>
        <w:t xml:space="preserve">5. </w:t>
      </w:r>
      <w:r w:rsidR="00FA6B60">
        <w:rPr>
          <w:rFonts w:ascii="Verdana" w:eastAsia="Times New Roman" w:hAnsi="Verdana" w:cs="Arial"/>
          <w:b/>
          <w:bCs/>
          <w:color w:val="auto"/>
          <w:kern w:val="0"/>
          <w:sz w:val="28"/>
          <w:szCs w:val="32"/>
          <w:lang w:val="en-US"/>
          <w14:ligatures w14:val="none"/>
        </w:rPr>
        <w:t>Best in class vs. Average Benchmarking</w:t>
      </w:r>
      <w:bookmarkEnd w:id="18"/>
    </w:p>
    <w:p w14:paraId="23353DAC" w14:textId="77777777" w:rsidR="00800A0D" w:rsidRPr="00800A0D" w:rsidRDefault="00800A0D" w:rsidP="00800A0D">
      <w:pPr>
        <w:rPr>
          <w:rFonts w:ascii="Verdana" w:hAnsi="Verdana"/>
          <w:sz w:val="20"/>
          <w:szCs w:val="20"/>
        </w:rPr>
      </w:pPr>
    </w:p>
    <w:tbl>
      <w:tblPr>
        <w:tblStyle w:val="GridTable4-Accent3"/>
        <w:tblW w:w="0" w:type="auto"/>
        <w:tblLook w:val="04A0" w:firstRow="1" w:lastRow="0" w:firstColumn="1" w:lastColumn="0" w:noHBand="0" w:noVBand="1"/>
      </w:tblPr>
      <w:tblGrid>
        <w:gridCol w:w="1584"/>
        <w:gridCol w:w="1743"/>
        <w:gridCol w:w="1556"/>
        <w:gridCol w:w="1555"/>
        <w:gridCol w:w="2578"/>
      </w:tblGrid>
      <w:tr w:rsidR="00B86DD1" w:rsidRPr="005416C4" w14:paraId="00453ACA" w14:textId="77777777" w:rsidTr="00B86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AC270" w14:textId="77777777" w:rsidR="00B86DD1" w:rsidRPr="005416C4" w:rsidRDefault="00B86DD1" w:rsidP="000F2D6F">
            <w:pPr>
              <w:rPr>
                <w:rFonts w:ascii="Verdana" w:hAnsi="Verdana"/>
                <w:b w:val="0"/>
                <w:bCs w:val="0"/>
                <w:sz w:val="20"/>
                <w:szCs w:val="20"/>
              </w:rPr>
            </w:pPr>
            <w:r w:rsidRPr="005416C4">
              <w:rPr>
                <w:rFonts w:ascii="Verdana" w:hAnsi="Verdana"/>
                <w:sz w:val="20"/>
                <w:szCs w:val="20"/>
              </w:rPr>
              <w:t>Process Area</w:t>
            </w:r>
          </w:p>
        </w:tc>
        <w:tc>
          <w:tcPr>
            <w:tcW w:w="0" w:type="auto"/>
            <w:hideMark/>
          </w:tcPr>
          <w:p w14:paraId="3E723DB8" w14:textId="77777777" w:rsidR="00B86DD1" w:rsidRPr="005416C4" w:rsidRDefault="00B86DD1" w:rsidP="000F2D6F">
            <w:pP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5416C4">
              <w:rPr>
                <w:rFonts w:ascii="Verdana" w:hAnsi="Verdana"/>
                <w:sz w:val="20"/>
                <w:szCs w:val="20"/>
              </w:rPr>
              <w:t>KPI</w:t>
            </w:r>
          </w:p>
        </w:tc>
        <w:tc>
          <w:tcPr>
            <w:tcW w:w="0" w:type="auto"/>
            <w:hideMark/>
          </w:tcPr>
          <w:p w14:paraId="3FB69F93" w14:textId="77777777" w:rsidR="00B86DD1" w:rsidRPr="005416C4" w:rsidRDefault="00B86DD1" w:rsidP="000F2D6F">
            <w:pP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5416C4">
              <w:rPr>
                <w:rFonts w:ascii="Verdana" w:hAnsi="Verdana"/>
                <w:sz w:val="20"/>
                <w:szCs w:val="20"/>
              </w:rPr>
              <w:t>Average Benchmark</w:t>
            </w:r>
          </w:p>
        </w:tc>
        <w:tc>
          <w:tcPr>
            <w:tcW w:w="0" w:type="auto"/>
            <w:hideMark/>
          </w:tcPr>
          <w:p w14:paraId="5C149B2C" w14:textId="77777777" w:rsidR="00B86DD1" w:rsidRPr="005416C4" w:rsidRDefault="00B86DD1" w:rsidP="000F2D6F">
            <w:pP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5416C4">
              <w:rPr>
                <w:rFonts w:ascii="Verdana" w:hAnsi="Verdana"/>
                <w:sz w:val="20"/>
                <w:szCs w:val="20"/>
              </w:rPr>
              <w:t>Best-in-Class Benchmark</w:t>
            </w:r>
          </w:p>
        </w:tc>
        <w:tc>
          <w:tcPr>
            <w:tcW w:w="0" w:type="auto"/>
            <w:hideMark/>
          </w:tcPr>
          <w:p w14:paraId="1D91DFD9" w14:textId="77777777" w:rsidR="00B86DD1" w:rsidRPr="005416C4" w:rsidRDefault="00B86DD1" w:rsidP="000F2D6F">
            <w:pP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5416C4">
              <w:rPr>
                <w:rFonts w:ascii="Verdana" w:hAnsi="Verdana"/>
                <w:sz w:val="20"/>
                <w:szCs w:val="20"/>
              </w:rPr>
              <w:t>Comment/Insight</w:t>
            </w:r>
          </w:p>
        </w:tc>
      </w:tr>
      <w:tr w:rsidR="00B86DD1" w:rsidRPr="005416C4" w14:paraId="40C53293"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CF846"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Record-to-Report (R2R)</w:t>
            </w:r>
          </w:p>
        </w:tc>
        <w:tc>
          <w:tcPr>
            <w:tcW w:w="0" w:type="auto"/>
            <w:hideMark/>
          </w:tcPr>
          <w:p w14:paraId="6FFD8BAA"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Days to Close Books (Monthly)</w:t>
            </w:r>
          </w:p>
        </w:tc>
        <w:tc>
          <w:tcPr>
            <w:tcW w:w="0" w:type="auto"/>
            <w:hideMark/>
          </w:tcPr>
          <w:p w14:paraId="6CE3F91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7–10 days</w:t>
            </w:r>
          </w:p>
        </w:tc>
        <w:tc>
          <w:tcPr>
            <w:tcW w:w="0" w:type="auto"/>
            <w:hideMark/>
          </w:tcPr>
          <w:p w14:paraId="00D886D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3–5 days</w:t>
            </w:r>
          </w:p>
        </w:tc>
        <w:tc>
          <w:tcPr>
            <w:tcW w:w="0" w:type="auto"/>
            <w:hideMark/>
          </w:tcPr>
          <w:p w14:paraId="0DBA57C1"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Best-in-class use automation, standardized COA, workflow tools; average still relies on manual reconciliations.</w:t>
            </w:r>
          </w:p>
        </w:tc>
      </w:tr>
      <w:tr w:rsidR="00B86DD1" w:rsidRPr="005416C4" w14:paraId="7E18AA49"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6831FDDD" w14:textId="77777777" w:rsidR="00B86DD1" w:rsidRPr="008A19CD" w:rsidRDefault="00B86DD1" w:rsidP="000F2D6F">
            <w:pPr>
              <w:rPr>
                <w:rFonts w:ascii="Verdana" w:hAnsi="Verdana"/>
                <w:b w:val="0"/>
                <w:bCs w:val="0"/>
                <w:sz w:val="20"/>
                <w:szCs w:val="20"/>
              </w:rPr>
            </w:pPr>
          </w:p>
        </w:tc>
        <w:tc>
          <w:tcPr>
            <w:tcW w:w="0" w:type="auto"/>
            <w:hideMark/>
          </w:tcPr>
          <w:p w14:paraId="60E5025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Manual Journal Entries per Close</w:t>
            </w:r>
          </w:p>
        </w:tc>
        <w:tc>
          <w:tcPr>
            <w:tcW w:w="0" w:type="auto"/>
            <w:hideMark/>
          </w:tcPr>
          <w:p w14:paraId="4C96C10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500–1,000+ entries (large co.)</w:t>
            </w:r>
          </w:p>
        </w:tc>
        <w:tc>
          <w:tcPr>
            <w:tcW w:w="0" w:type="auto"/>
            <w:hideMark/>
          </w:tcPr>
          <w:p w14:paraId="4E772C90"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&lt;100 entries</w:t>
            </w:r>
          </w:p>
        </w:tc>
        <w:tc>
          <w:tcPr>
            <w:tcW w:w="0" w:type="auto"/>
            <w:hideMark/>
          </w:tcPr>
          <w:p w14:paraId="4CF56B0D"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Leaders use automated accruals, allocation engines; average still posts manually.</w:t>
            </w:r>
          </w:p>
        </w:tc>
      </w:tr>
      <w:tr w:rsidR="00B86DD1" w:rsidRPr="005416C4" w14:paraId="43B0F50E"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A730" w14:textId="77777777" w:rsidR="00B86DD1" w:rsidRPr="008A19CD" w:rsidRDefault="00B86DD1" w:rsidP="000F2D6F">
            <w:pPr>
              <w:rPr>
                <w:rFonts w:ascii="Verdana" w:hAnsi="Verdana"/>
                <w:b w:val="0"/>
                <w:bCs w:val="0"/>
                <w:sz w:val="20"/>
                <w:szCs w:val="20"/>
              </w:rPr>
            </w:pPr>
          </w:p>
        </w:tc>
        <w:tc>
          <w:tcPr>
            <w:tcW w:w="0" w:type="auto"/>
            <w:hideMark/>
          </w:tcPr>
          <w:p w14:paraId="0B9F88E0"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 of Accounts Reconciled Automatically</w:t>
            </w:r>
          </w:p>
        </w:tc>
        <w:tc>
          <w:tcPr>
            <w:tcW w:w="0" w:type="auto"/>
            <w:hideMark/>
          </w:tcPr>
          <w:p w14:paraId="0252A1D7"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30–50%</w:t>
            </w:r>
          </w:p>
        </w:tc>
        <w:tc>
          <w:tcPr>
            <w:tcW w:w="0" w:type="auto"/>
            <w:hideMark/>
          </w:tcPr>
          <w:p w14:paraId="37176BE1"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&gt;80%</w:t>
            </w:r>
          </w:p>
        </w:tc>
        <w:tc>
          <w:tcPr>
            <w:tcW w:w="0" w:type="auto"/>
            <w:hideMark/>
          </w:tcPr>
          <w:p w14:paraId="1892681E"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High automation in reconciliation tools (Blackline, Tagetik, Trintech) drives best-in-class.</w:t>
            </w:r>
          </w:p>
        </w:tc>
      </w:tr>
      <w:tr w:rsidR="00B86DD1" w:rsidRPr="005416C4" w14:paraId="0B40D110"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76B5EFBA" w14:textId="77777777" w:rsidR="00B86DD1" w:rsidRPr="008A19CD" w:rsidRDefault="00B86DD1" w:rsidP="000F2D6F">
            <w:pPr>
              <w:rPr>
                <w:rFonts w:ascii="Verdana" w:hAnsi="Verdana"/>
                <w:b w:val="0"/>
                <w:bCs w:val="0"/>
                <w:sz w:val="20"/>
                <w:szCs w:val="20"/>
              </w:rPr>
            </w:pPr>
          </w:p>
        </w:tc>
        <w:tc>
          <w:tcPr>
            <w:tcW w:w="0" w:type="auto"/>
            <w:hideMark/>
          </w:tcPr>
          <w:p w14:paraId="3CBAA403"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Finance Cost as % of Revenue</w:t>
            </w:r>
          </w:p>
        </w:tc>
        <w:tc>
          <w:tcPr>
            <w:tcW w:w="0" w:type="auto"/>
            <w:hideMark/>
          </w:tcPr>
          <w:p w14:paraId="5F32E13A"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1.5–2.5%</w:t>
            </w:r>
          </w:p>
        </w:tc>
        <w:tc>
          <w:tcPr>
            <w:tcW w:w="0" w:type="auto"/>
            <w:hideMark/>
          </w:tcPr>
          <w:p w14:paraId="3DF75B9E"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~0.6–1%</w:t>
            </w:r>
          </w:p>
        </w:tc>
        <w:tc>
          <w:tcPr>
            <w:tcW w:w="0" w:type="auto"/>
            <w:hideMark/>
          </w:tcPr>
          <w:p w14:paraId="5582854D" w14:textId="56EB498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Shared service centres &amp; digital finance reduce cost in best-in-class.</w:t>
            </w:r>
          </w:p>
        </w:tc>
      </w:tr>
      <w:tr w:rsidR="00B86DD1" w:rsidRPr="005416C4" w14:paraId="49ACAACA"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1107A"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Procure-to-Pay (P2P)</w:t>
            </w:r>
          </w:p>
        </w:tc>
        <w:tc>
          <w:tcPr>
            <w:tcW w:w="0" w:type="auto"/>
            <w:hideMark/>
          </w:tcPr>
          <w:p w14:paraId="4E0204F7"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 xml:space="preserve">AP Cycle Time (Invoice receipt </w:t>
            </w:r>
            <w:r w:rsidRPr="008A19CD">
              <w:rPr>
                <w:rFonts w:ascii="Arial" w:hAnsi="Arial" w:cs="Arial"/>
                <w:sz w:val="20"/>
                <w:szCs w:val="20"/>
              </w:rPr>
              <w:t>→</w:t>
            </w:r>
            <w:r w:rsidRPr="008A19CD">
              <w:rPr>
                <w:rFonts w:ascii="Verdana" w:hAnsi="Verdana"/>
                <w:sz w:val="20"/>
                <w:szCs w:val="20"/>
              </w:rPr>
              <w:t xml:space="preserve"> payment)</w:t>
            </w:r>
          </w:p>
        </w:tc>
        <w:tc>
          <w:tcPr>
            <w:tcW w:w="0" w:type="auto"/>
            <w:hideMark/>
          </w:tcPr>
          <w:p w14:paraId="3E85601B"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15–20 days</w:t>
            </w:r>
          </w:p>
        </w:tc>
        <w:tc>
          <w:tcPr>
            <w:tcW w:w="0" w:type="auto"/>
            <w:hideMark/>
          </w:tcPr>
          <w:p w14:paraId="1DC4C6A0"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&lt;5 days</w:t>
            </w:r>
          </w:p>
        </w:tc>
        <w:tc>
          <w:tcPr>
            <w:tcW w:w="0" w:type="auto"/>
            <w:hideMark/>
          </w:tcPr>
          <w:p w14:paraId="2104A14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Leaders have e-invoicing, OCR, touchless workflows.</w:t>
            </w:r>
          </w:p>
        </w:tc>
      </w:tr>
      <w:tr w:rsidR="00B86DD1" w:rsidRPr="005416C4" w14:paraId="6203C6F3"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0020DA7C" w14:textId="77777777" w:rsidR="00B86DD1" w:rsidRPr="008A19CD" w:rsidRDefault="00B86DD1" w:rsidP="000F2D6F">
            <w:pPr>
              <w:rPr>
                <w:rFonts w:ascii="Verdana" w:hAnsi="Verdana"/>
                <w:b w:val="0"/>
                <w:bCs w:val="0"/>
                <w:sz w:val="20"/>
                <w:szCs w:val="20"/>
              </w:rPr>
            </w:pPr>
          </w:p>
        </w:tc>
        <w:tc>
          <w:tcPr>
            <w:tcW w:w="0" w:type="auto"/>
            <w:hideMark/>
          </w:tcPr>
          <w:p w14:paraId="076A6506"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 of Invoices Paid On Time</w:t>
            </w:r>
          </w:p>
        </w:tc>
        <w:tc>
          <w:tcPr>
            <w:tcW w:w="0" w:type="auto"/>
            <w:hideMark/>
          </w:tcPr>
          <w:p w14:paraId="17B23D79"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70–80%</w:t>
            </w:r>
          </w:p>
        </w:tc>
        <w:tc>
          <w:tcPr>
            <w:tcW w:w="0" w:type="auto"/>
            <w:hideMark/>
          </w:tcPr>
          <w:p w14:paraId="2BED05D8"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&gt;95%</w:t>
            </w:r>
          </w:p>
        </w:tc>
        <w:tc>
          <w:tcPr>
            <w:tcW w:w="0" w:type="auto"/>
            <w:hideMark/>
          </w:tcPr>
          <w:p w14:paraId="3F05F138"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Best-in-class leverage AP automation + supplier portals.</w:t>
            </w:r>
          </w:p>
        </w:tc>
      </w:tr>
      <w:tr w:rsidR="00B86DD1" w:rsidRPr="005416C4" w14:paraId="50D1C890"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43317" w14:textId="77777777" w:rsidR="00B86DD1" w:rsidRPr="008A19CD" w:rsidRDefault="00B86DD1" w:rsidP="000F2D6F">
            <w:pPr>
              <w:rPr>
                <w:rFonts w:ascii="Verdana" w:hAnsi="Verdana"/>
                <w:b w:val="0"/>
                <w:bCs w:val="0"/>
                <w:sz w:val="20"/>
                <w:szCs w:val="20"/>
              </w:rPr>
            </w:pPr>
          </w:p>
        </w:tc>
        <w:tc>
          <w:tcPr>
            <w:tcW w:w="0" w:type="auto"/>
            <w:hideMark/>
          </w:tcPr>
          <w:p w14:paraId="4458D8E4"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Cost per Invoice Processed</w:t>
            </w:r>
          </w:p>
        </w:tc>
        <w:tc>
          <w:tcPr>
            <w:tcW w:w="0" w:type="auto"/>
            <w:hideMark/>
          </w:tcPr>
          <w:p w14:paraId="1F856D02"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$5–10</w:t>
            </w:r>
          </w:p>
        </w:tc>
        <w:tc>
          <w:tcPr>
            <w:tcW w:w="0" w:type="auto"/>
            <w:hideMark/>
          </w:tcPr>
          <w:p w14:paraId="5CB3B8D2"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&lt;$2</w:t>
            </w:r>
          </w:p>
        </w:tc>
        <w:tc>
          <w:tcPr>
            <w:tcW w:w="0" w:type="auto"/>
            <w:hideMark/>
          </w:tcPr>
          <w:p w14:paraId="75C63AF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Straight-through processing cuts cost drastically.</w:t>
            </w:r>
          </w:p>
        </w:tc>
      </w:tr>
      <w:tr w:rsidR="00B86DD1" w:rsidRPr="005416C4" w14:paraId="44DF0FB8"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1B080F43" w14:textId="77777777" w:rsidR="00B86DD1" w:rsidRPr="008A19CD" w:rsidRDefault="00B86DD1" w:rsidP="000F2D6F">
            <w:pPr>
              <w:rPr>
                <w:rFonts w:ascii="Verdana" w:hAnsi="Verdana"/>
                <w:b w:val="0"/>
                <w:bCs w:val="0"/>
                <w:sz w:val="20"/>
                <w:szCs w:val="20"/>
              </w:rPr>
            </w:pPr>
          </w:p>
        </w:tc>
        <w:tc>
          <w:tcPr>
            <w:tcW w:w="0" w:type="auto"/>
            <w:hideMark/>
          </w:tcPr>
          <w:p w14:paraId="1F3E33BD"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 of Invoices Straight-Through Processed (No touch)</w:t>
            </w:r>
          </w:p>
        </w:tc>
        <w:tc>
          <w:tcPr>
            <w:tcW w:w="0" w:type="auto"/>
            <w:hideMark/>
          </w:tcPr>
          <w:p w14:paraId="3053AE8E"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25–40%</w:t>
            </w:r>
          </w:p>
        </w:tc>
        <w:tc>
          <w:tcPr>
            <w:tcW w:w="0" w:type="auto"/>
            <w:hideMark/>
          </w:tcPr>
          <w:p w14:paraId="155C4FB6"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&gt;80%</w:t>
            </w:r>
          </w:p>
        </w:tc>
        <w:tc>
          <w:tcPr>
            <w:tcW w:w="0" w:type="auto"/>
            <w:hideMark/>
          </w:tcPr>
          <w:p w14:paraId="116AAF98"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AI &amp; RPA adoption in best-in-class.</w:t>
            </w:r>
          </w:p>
        </w:tc>
      </w:tr>
      <w:tr w:rsidR="00B86DD1" w:rsidRPr="005416C4" w14:paraId="116C028B"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AD3D8"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Order-to-Cash (O2C)</w:t>
            </w:r>
          </w:p>
        </w:tc>
        <w:tc>
          <w:tcPr>
            <w:tcW w:w="0" w:type="auto"/>
            <w:hideMark/>
          </w:tcPr>
          <w:p w14:paraId="694DE2A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Days Sales Outstanding (DSO)</w:t>
            </w:r>
          </w:p>
        </w:tc>
        <w:tc>
          <w:tcPr>
            <w:tcW w:w="0" w:type="auto"/>
            <w:hideMark/>
          </w:tcPr>
          <w:p w14:paraId="6BFE058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40–50 days (varies by industry)</w:t>
            </w:r>
          </w:p>
        </w:tc>
        <w:tc>
          <w:tcPr>
            <w:tcW w:w="0" w:type="auto"/>
            <w:hideMark/>
          </w:tcPr>
          <w:p w14:paraId="0B27D1F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25–30 days</w:t>
            </w:r>
          </w:p>
        </w:tc>
        <w:tc>
          <w:tcPr>
            <w:tcW w:w="0" w:type="auto"/>
            <w:hideMark/>
          </w:tcPr>
          <w:p w14:paraId="11AF696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Best-in-class combine credit management + proactive collections.</w:t>
            </w:r>
          </w:p>
        </w:tc>
      </w:tr>
      <w:tr w:rsidR="00B86DD1" w:rsidRPr="005416C4" w14:paraId="0299DE5E"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77AA4BB6" w14:textId="77777777" w:rsidR="00B86DD1" w:rsidRPr="008A19CD" w:rsidRDefault="00B86DD1" w:rsidP="000F2D6F">
            <w:pPr>
              <w:rPr>
                <w:rFonts w:ascii="Verdana" w:hAnsi="Verdana"/>
                <w:b w:val="0"/>
                <w:bCs w:val="0"/>
                <w:sz w:val="20"/>
                <w:szCs w:val="20"/>
              </w:rPr>
            </w:pPr>
          </w:p>
        </w:tc>
        <w:tc>
          <w:tcPr>
            <w:tcW w:w="0" w:type="auto"/>
            <w:hideMark/>
          </w:tcPr>
          <w:p w14:paraId="5B276E5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 of Cash Applied Automatically</w:t>
            </w:r>
          </w:p>
        </w:tc>
        <w:tc>
          <w:tcPr>
            <w:tcW w:w="0" w:type="auto"/>
            <w:hideMark/>
          </w:tcPr>
          <w:p w14:paraId="12BFF42B"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50–60%</w:t>
            </w:r>
          </w:p>
        </w:tc>
        <w:tc>
          <w:tcPr>
            <w:tcW w:w="0" w:type="auto"/>
            <w:hideMark/>
          </w:tcPr>
          <w:p w14:paraId="6906C7D2"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&gt;90%</w:t>
            </w:r>
          </w:p>
        </w:tc>
        <w:tc>
          <w:tcPr>
            <w:tcW w:w="0" w:type="auto"/>
            <w:hideMark/>
          </w:tcPr>
          <w:p w14:paraId="442CB7F4"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Leaders use lockbox automation, AI-based cash application.</w:t>
            </w:r>
          </w:p>
        </w:tc>
      </w:tr>
      <w:tr w:rsidR="00B86DD1" w:rsidRPr="005416C4" w14:paraId="7C0640D4"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45DA4" w14:textId="77777777" w:rsidR="00B86DD1" w:rsidRPr="008A19CD" w:rsidRDefault="00B86DD1" w:rsidP="000F2D6F">
            <w:pPr>
              <w:rPr>
                <w:rFonts w:ascii="Verdana" w:hAnsi="Verdana"/>
                <w:b w:val="0"/>
                <w:bCs w:val="0"/>
                <w:sz w:val="20"/>
                <w:szCs w:val="20"/>
              </w:rPr>
            </w:pPr>
          </w:p>
        </w:tc>
        <w:tc>
          <w:tcPr>
            <w:tcW w:w="0" w:type="auto"/>
            <w:hideMark/>
          </w:tcPr>
          <w:p w14:paraId="30B93DD7"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Dispute Rate on Invoices</w:t>
            </w:r>
          </w:p>
        </w:tc>
        <w:tc>
          <w:tcPr>
            <w:tcW w:w="0" w:type="auto"/>
            <w:hideMark/>
          </w:tcPr>
          <w:p w14:paraId="4D8622BE"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5–8%</w:t>
            </w:r>
          </w:p>
        </w:tc>
        <w:tc>
          <w:tcPr>
            <w:tcW w:w="0" w:type="auto"/>
            <w:hideMark/>
          </w:tcPr>
          <w:p w14:paraId="2DEFB15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&lt;2%</w:t>
            </w:r>
          </w:p>
        </w:tc>
        <w:tc>
          <w:tcPr>
            <w:tcW w:w="0" w:type="auto"/>
            <w:hideMark/>
          </w:tcPr>
          <w:p w14:paraId="5F73E432"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Driven by better order accuracy and e-billing.</w:t>
            </w:r>
          </w:p>
        </w:tc>
      </w:tr>
      <w:tr w:rsidR="00B86DD1" w:rsidRPr="005416C4" w14:paraId="1D3EAF28"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16F21016" w14:textId="77777777" w:rsidR="00B86DD1" w:rsidRPr="008A19CD" w:rsidRDefault="00B86DD1" w:rsidP="000F2D6F">
            <w:pPr>
              <w:rPr>
                <w:rFonts w:ascii="Verdana" w:hAnsi="Verdana"/>
                <w:b w:val="0"/>
                <w:bCs w:val="0"/>
                <w:sz w:val="20"/>
                <w:szCs w:val="20"/>
              </w:rPr>
            </w:pPr>
          </w:p>
        </w:tc>
        <w:tc>
          <w:tcPr>
            <w:tcW w:w="0" w:type="auto"/>
            <w:hideMark/>
          </w:tcPr>
          <w:p w14:paraId="5F5FD443"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Cost per Order Processed</w:t>
            </w:r>
          </w:p>
        </w:tc>
        <w:tc>
          <w:tcPr>
            <w:tcW w:w="0" w:type="auto"/>
            <w:hideMark/>
          </w:tcPr>
          <w:p w14:paraId="7A5EF7FC"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$5–7</w:t>
            </w:r>
          </w:p>
        </w:tc>
        <w:tc>
          <w:tcPr>
            <w:tcW w:w="0" w:type="auto"/>
            <w:hideMark/>
          </w:tcPr>
          <w:p w14:paraId="285C8319"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&lt;$1</w:t>
            </w:r>
          </w:p>
        </w:tc>
        <w:tc>
          <w:tcPr>
            <w:tcW w:w="0" w:type="auto"/>
            <w:hideMark/>
          </w:tcPr>
          <w:p w14:paraId="001E1600"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Straight-through O2C processes (EDI, automated billing).</w:t>
            </w:r>
          </w:p>
        </w:tc>
      </w:tr>
      <w:tr w:rsidR="00B86DD1" w:rsidRPr="005416C4" w14:paraId="74A5BF4A"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24B02"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Treasury &amp; Cash Management</w:t>
            </w:r>
          </w:p>
        </w:tc>
        <w:tc>
          <w:tcPr>
            <w:tcW w:w="0" w:type="auto"/>
            <w:hideMark/>
          </w:tcPr>
          <w:p w14:paraId="06943371"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Cash Forecast Accuracy</w:t>
            </w:r>
          </w:p>
        </w:tc>
        <w:tc>
          <w:tcPr>
            <w:tcW w:w="0" w:type="auto"/>
            <w:hideMark/>
          </w:tcPr>
          <w:p w14:paraId="7E8633D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60–70%</w:t>
            </w:r>
          </w:p>
        </w:tc>
        <w:tc>
          <w:tcPr>
            <w:tcW w:w="0" w:type="auto"/>
            <w:hideMark/>
          </w:tcPr>
          <w:p w14:paraId="7D809FD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&gt;90%</w:t>
            </w:r>
          </w:p>
        </w:tc>
        <w:tc>
          <w:tcPr>
            <w:tcW w:w="0" w:type="auto"/>
            <w:hideMark/>
          </w:tcPr>
          <w:p w14:paraId="4A81E7C8"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Leaders use AI forecasting and ERP-TMS integration.</w:t>
            </w:r>
          </w:p>
        </w:tc>
      </w:tr>
      <w:tr w:rsidR="00B86DD1" w:rsidRPr="005416C4" w14:paraId="54B53FE0"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15A87FB5" w14:textId="77777777" w:rsidR="00B86DD1" w:rsidRPr="008A19CD" w:rsidRDefault="00B86DD1" w:rsidP="000F2D6F">
            <w:pPr>
              <w:rPr>
                <w:rFonts w:ascii="Verdana" w:hAnsi="Verdana"/>
                <w:b w:val="0"/>
                <w:bCs w:val="0"/>
                <w:sz w:val="20"/>
                <w:szCs w:val="20"/>
              </w:rPr>
            </w:pPr>
          </w:p>
        </w:tc>
        <w:tc>
          <w:tcPr>
            <w:tcW w:w="0" w:type="auto"/>
            <w:hideMark/>
          </w:tcPr>
          <w:p w14:paraId="7C38061C"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Cash Conversion Cycle (CCC)</w:t>
            </w:r>
          </w:p>
        </w:tc>
        <w:tc>
          <w:tcPr>
            <w:tcW w:w="0" w:type="auto"/>
            <w:hideMark/>
          </w:tcPr>
          <w:p w14:paraId="0C4F6BB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60–70 days</w:t>
            </w:r>
          </w:p>
        </w:tc>
        <w:tc>
          <w:tcPr>
            <w:tcW w:w="0" w:type="auto"/>
            <w:hideMark/>
          </w:tcPr>
          <w:p w14:paraId="5DE3212B"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&lt;40 days</w:t>
            </w:r>
          </w:p>
        </w:tc>
        <w:tc>
          <w:tcPr>
            <w:tcW w:w="0" w:type="auto"/>
            <w:hideMark/>
          </w:tcPr>
          <w:p w14:paraId="6D7C4D7A"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Improved working capital management in leaders.</w:t>
            </w:r>
          </w:p>
        </w:tc>
      </w:tr>
      <w:tr w:rsidR="00B86DD1" w:rsidRPr="005416C4" w14:paraId="3DFF0DD7"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04645" w14:textId="77777777" w:rsidR="00B86DD1" w:rsidRPr="008A19CD" w:rsidRDefault="00B86DD1" w:rsidP="000F2D6F">
            <w:pPr>
              <w:rPr>
                <w:rFonts w:ascii="Verdana" w:hAnsi="Verdana"/>
                <w:b w:val="0"/>
                <w:bCs w:val="0"/>
                <w:sz w:val="20"/>
                <w:szCs w:val="20"/>
              </w:rPr>
            </w:pPr>
          </w:p>
        </w:tc>
        <w:tc>
          <w:tcPr>
            <w:tcW w:w="0" w:type="auto"/>
            <w:hideMark/>
          </w:tcPr>
          <w:p w14:paraId="3074B35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Liquidity Coverage Ratio</w:t>
            </w:r>
          </w:p>
        </w:tc>
        <w:tc>
          <w:tcPr>
            <w:tcW w:w="0" w:type="auto"/>
            <w:hideMark/>
          </w:tcPr>
          <w:p w14:paraId="0811B8A7"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Meets regulatory minimum</w:t>
            </w:r>
          </w:p>
        </w:tc>
        <w:tc>
          <w:tcPr>
            <w:tcW w:w="0" w:type="auto"/>
            <w:hideMark/>
          </w:tcPr>
          <w:p w14:paraId="2AE5852F"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10–20% buffer above minimum</w:t>
            </w:r>
          </w:p>
        </w:tc>
        <w:tc>
          <w:tcPr>
            <w:tcW w:w="0" w:type="auto"/>
            <w:hideMark/>
          </w:tcPr>
          <w:p w14:paraId="42331D7D"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Best-in-class ensure liquidity buffers proactively.</w:t>
            </w:r>
          </w:p>
        </w:tc>
      </w:tr>
      <w:tr w:rsidR="00B86DD1" w:rsidRPr="005416C4" w14:paraId="756EFAD0"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7CC2CB3E"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Compliance &amp; Controls</w:t>
            </w:r>
          </w:p>
        </w:tc>
        <w:tc>
          <w:tcPr>
            <w:tcW w:w="0" w:type="auto"/>
            <w:hideMark/>
          </w:tcPr>
          <w:p w14:paraId="57FBF71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 Accounts with Timely Reconciliation</w:t>
            </w:r>
          </w:p>
        </w:tc>
        <w:tc>
          <w:tcPr>
            <w:tcW w:w="0" w:type="auto"/>
            <w:hideMark/>
          </w:tcPr>
          <w:p w14:paraId="78423697"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80–85%</w:t>
            </w:r>
          </w:p>
        </w:tc>
        <w:tc>
          <w:tcPr>
            <w:tcW w:w="0" w:type="auto"/>
            <w:hideMark/>
          </w:tcPr>
          <w:p w14:paraId="1F3542E2"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&gt;98%</w:t>
            </w:r>
          </w:p>
        </w:tc>
        <w:tc>
          <w:tcPr>
            <w:tcW w:w="0" w:type="auto"/>
            <w:hideMark/>
          </w:tcPr>
          <w:p w14:paraId="59538DAD"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Automation + workflow enforces timeliness.</w:t>
            </w:r>
          </w:p>
        </w:tc>
      </w:tr>
      <w:tr w:rsidR="00B86DD1" w:rsidRPr="005416C4" w14:paraId="3035193A"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8FD04" w14:textId="77777777" w:rsidR="00B86DD1" w:rsidRPr="008A19CD" w:rsidRDefault="00B86DD1" w:rsidP="000F2D6F">
            <w:pPr>
              <w:rPr>
                <w:rFonts w:ascii="Verdana" w:hAnsi="Verdana"/>
                <w:b w:val="0"/>
                <w:bCs w:val="0"/>
                <w:sz w:val="20"/>
                <w:szCs w:val="20"/>
              </w:rPr>
            </w:pPr>
          </w:p>
        </w:tc>
        <w:tc>
          <w:tcPr>
            <w:tcW w:w="0" w:type="auto"/>
            <w:hideMark/>
          </w:tcPr>
          <w:p w14:paraId="312F5B3F"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SOX/ICFR Control Effectiveness</w:t>
            </w:r>
          </w:p>
        </w:tc>
        <w:tc>
          <w:tcPr>
            <w:tcW w:w="0" w:type="auto"/>
            <w:hideMark/>
          </w:tcPr>
          <w:p w14:paraId="00CC3CB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85–90%</w:t>
            </w:r>
          </w:p>
        </w:tc>
        <w:tc>
          <w:tcPr>
            <w:tcW w:w="0" w:type="auto"/>
            <w:hideMark/>
          </w:tcPr>
          <w:p w14:paraId="3642984B"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&gt;99%</w:t>
            </w:r>
          </w:p>
        </w:tc>
        <w:tc>
          <w:tcPr>
            <w:tcW w:w="0" w:type="auto"/>
            <w:hideMark/>
          </w:tcPr>
          <w:p w14:paraId="33D93E3A"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Leaders embed compliance in process automation.</w:t>
            </w:r>
          </w:p>
        </w:tc>
      </w:tr>
      <w:tr w:rsidR="00B86DD1" w:rsidRPr="005416C4" w14:paraId="37DA983F"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00159DF7" w14:textId="77777777" w:rsidR="00B86DD1" w:rsidRPr="008A19CD" w:rsidRDefault="00B86DD1" w:rsidP="000F2D6F">
            <w:pPr>
              <w:rPr>
                <w:rFonts w:ascii="Verdana" w:hAnsi="Verdana"/>
                <w:b w:val="0"/>
                <w:bCs w:val="0"/>
                <w:sz w:val="20"/>
                <w:szCs w:val="20"/>
              </w:rPr>
            </w:pPr>
          </w:p>
        </w:tc>
        <w:tc>
          <w:tcPr>
            <w:tcW w:w="0" w:type="auto"/>
            <w:hideMark/>
          </w:tcPr>
          <w:p w14:paraId="5859C2AD"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Audit Findings per Year</w:t>
            </w:r>
          </w:p>
        </w:tc>
        <w:tc>
          <w:tcPr>
            <w:tcW w:w="0" w:type="auto"/>
            <w:hideMark/>
          </w:tcPr>
          <w:p w14:paraId="068E5EAA"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5–10</w:t>
            </w:r>
          </w:p>
        </w:tc>
        <w:tc>
          <w:tcPr>
            <w:tcW w:w="0" w:type="auto"/>
            <w:hideMark/>
          </w:tcPr>
          <w:p w14:paraId="1ED24B85"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&lt;2</w:t>
            </w:r>
          </w:p>
        </w:tc>
        <w:tc>
          <w:tcPr>
            <w:tcW w:w="0" w:type="auto"/>
            <w:hideMark/>
          </w:tcPr>
          <w:p w14:paraId="04A7E3CB"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Stronger governance reduces findings.</w:t>
            </w:r>
          </w:p>
        </w:tc>
      </w:tr>
      <w:tr w:rsidR="00B86DD1" w:rsidRPr="005416C4" w14:paraId="2D0747FC" w14:textId="77777777" w:rsidTr="00B86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F76E3" w14:textId="77777777" w:rsidR="00B86DD1" w:rsidRPr="008A19CD" w:rsidRDefault="00B86DD1" w:rsidP="000F2D6F">
            <w:pPr>
              <w:rPr>
                <w:rFonts w:ascii="Verdana" w:hAnsi="Verdana"/>
                <w:b w:val="0"/>
                <w:bCs w:val="0"/>
                <w:sz w:val="20"/>
                <w:szCs w:val="20"/>
              </w:rPr>
            </w:pPr>
            <w:r w:rsidRPr="008A19CD">
              <w:rPr>
                <w:rFonts w:ascii="Verdana" w:hAnsi="Verdana"/>
                <w:b w:val="0"/>
                <w:bCs w:val="0"/>
                <w:sz w:val="20"/>
                <w:szCs w:val="20"/>
              </w:rPr>
              <w:t>Finance Organization Efficiency</w:t>
            </w:r>
          </w:p>
        </w:tc>
        <w:tc>
          <w:tcPr>
            <w:tcW w:w="0" w:type="auto"/>
            <w:hideMark/>
          </w:tcPr>
          <w:p w14:paraId="6450BFAC"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Finance FTEs per $1B Revenue</w:t>
            </w:r>
          </w:p>
        </w:tc>
        <w:tc>
          <w:tcPr>
            <w:tcW w:w="0" w:type="auto"/>
            <w:hideMark/>
          </w:tcPr>
          <w:p w14:paraId="08D62831"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100–120</w:t>
            </w:r>
          </w:p>
        </w:tc>
        <w:tc>
          <w:tcPr>
            <w:tcW w:w="0" w:type="auto"/>
            <w:hideMark/>
          </w:tcPr>
          <w:p w14:paraId="1AD09933"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&lt;70</w:t>
            </w:r>
          </w:p>
        </w:tc>
        <w:tc>
          <w:tcPr>
            <w:tcW w:w="0" w:type="auto"/>
            <w:hideMark/>
          </w:tcPr>
          <w:p w14:paraId="4F91F23F" w14:textId="77777777" w:rsidR="00B86DD1" w:rsidRPr="008A19CD" w:rsidRDefault="00B86DD1" w:rsidP="000F2D6F">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8A19CD">
              <w:rPr>
                <w:rFonts w:ascii="Verdana" w:hAnsi="Verdana"/>
                <w:sz w:val="20"/>
                <w:szCs w:val="20"/>
              </w:rPr>
              <w:t>Best-in-class run lean finance organizations.</w:t>
            </w:r>
          </w:p>
        </w:tc>
      </w:tr>
      <w:tr w:rsidR="00B86DD1" w:rsidRPr="005416C4" w14:paraId="18D5361C" w14:textId="77777777" w:rsidTr="00B86DD1">
        <w:tc>
          <w:tcPr>
            <w:cnfStyle w:val="001000000000" w:firstRow="0" w:lastRow="0" w:firstColumn="1" w:lastColumn="0" w:oddVBand="0" w:evenVBand="0" w:oddHBand="0" w:evenHBand="0" w:firstRowFirstColumn="0" w:firstRowLastColumn="0" w:lastRowFirstColumn="0" w:lastRowLastColumn="0"/>
            <w:tcW w:w="0" w:type="auto"/>
            <w:hideMark/>
          </w:tcPr>
          <w:p w14:paraId="0B615402" w14:textId="77777777" w:rsidR="00B86DD1" w:rsidRPr="008A19CD" w:rsidRDefault="00B86DD1" w:rsidP="000F2D6F">
            <w:pPr>
              <w:rPr>
                <w:rFonts w:ascii="Verdana" w:hAnsi="Verdana"/>
                <w:b w:val="0"/>
                <w:bCs w:val="0"/>
                <w:sz w:val="20"/>
                <w:szCs w:val="20"/>
              </w:rPr>
            </w:pPr>
          </w:p>
        </w:tc>
        <w:tc>
          <w:tcPr>
            <w:tcW w:w="0" w:type="auto"/>
            <w:hideMark/>
          </w:tcPr>
          <w:p w14:paraId="2FE092D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 Staff in Transactional Roles</w:t>
            </w:r>
          </w:p>
        </w:tc>
        <w:tc>
          <w:tcPr>
            <w:tcW w:w="0" w:type="auto"/>
            <w:hideMark/>
          </w:tcPr>
          <w:p w14:paraId="556D1758"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60–70%</w:t>
            </w:r>
          </w:p>
        </w:tc>
        <w:tc>
          <w:tcPr>
            <w:tcW w:w="0" w:type="auto"/>
            <w:hideMark/>
          </w:tcPr>
          <w:p w14:paraId="55256661"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&lt;30%</w:t>
            </w:r>
          </w:p>
        </w:tc>
        <w:tc>
          <w:tcPr>
            <w:tcW w:w="0" w:type="auto"/>
            <w:hideMark/>
          </w:tcPr>
          <w:p w14:paraId="16D58828" w14:textId="77777777" w:rsidR="00B86DD1" w:rsidRPr="008A19CD" w:rsidRDefault="00B86DD1" w:rsidP="000F2D6F">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8A19CD">
              <w:rPr>
                <w:rFonts w:ascii="Verdana" w:hAnsi="Verdana"/>
                <w:sz w:val="20"/>
                <w:szCs w:val="20"/>
              </w:rPr>
              <w:t>Leaders shift focus to business partnering &amp; analytics.</w:t>
            </w:r>
          </w:p>
        </w:tc>
      </w:tr>
    </w:tbl>
    <w:p w14:paraId="23D21E92" w14:textId="77777777" w:rsidR="00800A0D" w:rsidRDefault="00800A0D" w:rsidP="009F43C5">
      <w:pPr>
        <w:rPr>
          <w:lang w:val="en-US"/>
        </w:rPr>
      </w:pPr>
    </w:p>
    <w:p w14:paraId="3622592B" w14:textId="297E27E3" w:rsidR="008C1496" w:rsidRPr="005416C4" w:rsidRDefault="008C1496" w:rsidP="008C1496">
      <w:pPr>
        <w:rPr>
          <w:rFonts w:ascii="Verdana" w:hAnsi="Verdana"/>
          <w:b/>
          <w:bCs/>
          <w:sz w:val="20"/>
          <w:szCs w:val="20"/>
        </w:rPr>
      </w:pPr>
      <w:r w:rsidRPr="005416C4">
        <w:rPr>
          <w:rFonts w:ascii="Verdana" w:hAnsi="Verdana"/>
          <w:b/>
          <w:bCs/>
          <w:sz w:val="20"/>
          <w:szCs w:val="20"/>
        </w:rPr>
        <w:t>Key Takeaways</w:t>
      </w:r>
    </w:p>
    <w:p w14:paraId="5EC3A8C7" w14:textId="77777777" w:rsidR="008C1496" w:rsidRPr="008A19CD" w:rsidRDefault="008C1496" w:rsidP="00CD0202">
      <w:pPr>
        <w:numPr>
          <w:ilvl w:val="0"/>
          <w:numId w:val="17"/>
        </w:numPr>
        <w:rPr>
          <w:rFonts w:ascii="Verdana" w:hAnsi="Verdana"/>
          <w:sz w:val="20"/>
          <w:szCs w:val="20"/>
        </w:rPr>
      </w:pPr>
      <w:r w:rsidRPr="008A19CD">
        <w:rPr>
          <w:rFonts w:ascii="Verdana" w:hAnsi="Verdana"/>
          <w:sz w:val="20"/>
          <w:szCs w:val="20"/>
        </w:rPr>
        <w:t>Best-in-class companies leverage automation, harmonized COA, shared services, and analytics, drastically reducing cost, cycle times, and errors.</w:t>
      </w:r>
    </w:p>
    <w:p w14:paraId="132EB230" w14:textId="77777777" w:rsidR="008C1496" w:rsidRPr="008A19CD" w:rsidRDefault="008C1496" w:rsidP="00CD0202">
      <w:pPr>
        <w:numPr>
          <w:ilvl w:val="0"/>
          <w:numId w:val="17"/>
        </w:numPr>
        <w:rPr>
          <w:rFonts w:ascii="Verdana" w:hAnsi="Verdana"/>
          <w:sz w:val="20"/>
          <w:szCs w:val="20"/>
        </w:rPr>
      </w:pPr>
      <w:r w:rsidRPr="008A19CD">
        <w:rPr>
          <w:rFonts w:ascii="Verdana" w:hAnsi="Verdana"/>
          <w:sz w:val="20"/>
          <w:szCs w:val="20"/>
        </w:rPr>
        <w:t>Average companies spend more time &amp; cost due to fragmented processes, manual reconciliations, and inconsistent systems.</w:t>
      </w:r>
    </w:p>
    <w:p w14:paraId="01769164" w14:textId="77777777" w:rsidR="008C1496" w:rsidRPr="008A19CD" w:rsidRDefault="008C1496" w:rsidP="00CD0202">
      <w:pPr>
        <w:numPr>
          <w:ilvl w:val="0"/>
          <w:numId w:val="17"/>
        </w:numPr>
        <w:rPr>
          <w:rFonts w:ascii="Verdana" w:hAnsi="Verdana"/>
          <w:sz w:val="20"/>
          <w:szCs w:val="20"/>
        </w:rPr>
      </w:pPr>
      <w:r w:rsidRPr="008A19CD">
        <w:rPr>
          <w:rFonts w:ascii="Verdana" w:hAnsi="Verdana"/>
          <w:sz w:val="20"/>
          <w:szCs w:val="20"/>
        </w:rPr>
        <w:t xml:space="preserve">Moving from average </w:t>
      </w:r>
      <w:r w:rsidRPr="008A19CD">
        <w:rPr>
          <w:rFonts w:ascii="Arial" w:hAnsi="Arial" w:cs="Arial"/>
          <w:sz w:val="20"/>
          <w:szCs w:val="20"/>
        </w:rPr>
        <w:t>→</w:t>
      </w:r>
      <w:r w:rsidRPr="008A19CD">
        <w:rPr>
          <w:rFonts w:ascii="Verdana" w:hAnsi="Verdana"/>
          <w:sz w:val="20"/>
          <w:szCs w:val="20"/>
        </w:rPr>
        <w:t xml:space="preserve"> best-in-class requires COA harmonization, ERP standardization, automation (RPA, AI), and SSC/BPO models.</w:t>
      </w:r>
    </w:p>
    <w:p w14:paraId="3B787A39" w14:textId="77777777" w:rsidR="008C1496" w:rsidRPr="005416C4" w:rsidRDefault="008C1496" w:rsidP="008C1496">
      <w:pPr>
        <w:rPr>
          <w:rFonts w:ascii="Verdana" w:hAnsi="Verdana"/>
          <w:sz w:val="20"/>
          <w:szCs w:val="20"/>
        </w:rPr>
      </w:pPr>
    </w:p>
    <w:p w14:paraId="79CAD5BA" w14:textId="1E078B35" w:rsidR="00A016C1" w:rsidRDefault="00A016C1" w:rsidP="00A016C1">
      <w:pPr>
        <w:pStyle w:val="Heading1"/>
        <w:keepNext w:val="0"/>
        <w:keepLines w:val="0"/>
        <w:spacing w:before="40" w:after="40" w:line="240" w:lineRule="auto"/>
        <w:rPr>
          <w:rFonts w:ascii="Verdana" w:eastAsia="Times New Roman" w:hAnsi="Verdana" w:cs="Arial"/>
          <w:b/>
          <w:bCs/>
          <w:color w:val="auto"/>
          <w:kern w:val="0"/>
          <w:sz w:val="28"/>
          <w:szCs w:val="32"/>
          <w:lang w:val="en-US"/>
          <w14:ligatures w14:val="none"/>
        </w:rPr>
      </w:pPr>
      <w:bookmarkStart w:id="19" w:name="_Toc206613720"/>
      <w:r>
        <w:rPr>
          <w:rFonts w:ascii="Verdana" w:eastAsia="Times New Roman" w:hAnsi="Verdana" w:cs="Arial"/>
          <w:b/>
          <w:bCs/>
          <w:color w:val="auto"/>
          <w:kern w:val="0"/>
          <w:sz w:val="28"/>
          <w:szCs w:val="32"/>
          <w:lang w:val="en-US"/>
          <w14:ligatures w14:val="none"/>
        </w:rPr>
        <w:t>6. Benchmarking process for Journal Entries</w:t>
      </w:r>
      <w:bookmarkEnd w:id="19"/>
    </w:p>
    <w:p w14:paraId="43AAA4C5" w14:textId="77777777" w:rsidR="00400EC1" w:rsidRDefault="00400EC1" w:rsidP="00400EC1">
      <w:pPr>
        <w:rPr>
          <w:lang w:val="en-US"/>
        </w:rPr>
      </w:pPr>
    </w:p>
    <w:p w14:paraId="5C914E58" w14:textId="5C179C3E" w:rsidR="00A016C1" w:rsidRPr="008A19CD" w:rsidRDefault="008A19CD" w:rsidP="00A016C1">
      <w:pPr>
        <w:rPr>
          <w:lang w:val="en-US"/>
        </w:rPr>
      </w:pPr>
      <w:r w:rsidRPr="008A19CD">
        <w:rPr>
          <w:rFonts w:ascii="Verdana" w:hAnsi="Verdana"/>
          <w:sz w:val="20"/>
          <w:szCs w:val="20"/>
        </w:rPr>
        <w:t>The benchmarking process for Journal Entries is about comparing your JE volume, automation rate, approval time, and error rate against industry benchmarks. It highlights inefficiencies in R2R and points directly to automation, standardization, and governance improvements.</w:t>
      </w:r>
    </w:p>
    <w:p w14:paraId="30BF1D7E" w14:textId="67DBA26C" w:rsidR="007967D8" w:rsidRDefault="007967D8" w:rsidP="007967D8">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0" w:name="_Toc206613721"/>
      <w:r>
        <w:rPr>
          <w:rFonts w:ascii="Verdana" w:eastAsia="Times New Roman" w:hAnsi="Verdana" w:cs="Arial"/>
          <w:b/>
          <w:bCs/>
          <w:color w:val="auto"/>
          <w:kern w:val="0"/>
          <w:sz w:val="22"/>
          <w:szCs w:val="26"/>
          <w:lang w:val="en-US"/>
          <w14:ligatures w14:val="none"/>
        </w:rPr>
        <w:t>6.</w:t>
      </w:r>
      <w:r w:rsidRPr="009F43C5">
        <w:rPr>
          <w:rFonts w:ascii="Verdana" w:eastAsia="Times New Roman" w:hAnsi="Verdana" w:cs="Arial"/>
          <w:b/>
          <w:bCs/>
          <w:color w:val="auto"/>
          <w:kern w:val="0"/>
          <w:sz w:val="22"/>
          <w:szCs w:val="26"/>
          <w:lang w:val="en-US"/>
          <w14:ligatures w14:val="none"/>
        </w:rPr>
        <w:t xml:space="preserve">1. </w:t>
      </w:r>
      <w:r w:rsidR="007E40B9">
        <w:rPr>
          <w:rFonts w:ascii="Verdana" w:eastAsia="Times New Roman" w:hAnsi="Verdana" w:cs="Arial"/>
          <w:b/>
          <w:bCs/>
          <w:color w:val="auto"/>
          <w:kern w:val="0"/>
          <w:sz w:val="22"/>
          <w:szCs w:val="26"/>
          <w:lang w:val="en-US"/>
          <w14:ligatures w14:val="none"/>
        </w:rPr>
        <w:t>Define Scope</w:t>
      </w:r>
      <w:bookmarkEnd w:id="20"/>
    </w:p>
    <w:p w14:paraId="5490BAFA" w14:textId="77777777" w:rsidR="007E40B9" w:rsidRDefault="007E40B9" w:rsidP="007E40B9">
      <w:pPr>
        <w:rPr>
          <w:lang w:val="en-US"/>
        </w:rPr>
      </w:pPr>
    </w:p>
    <w:p w14:paraId="2CD49238" w14:textId="77777777" w:rsidR="00FE23E4" w:rsidRPr="008A19CD" w:rsidRDefault="00FE23E4" w:rsidP="00CD0202">
      <w:pPr>
        <w:numPr>
          <w:ilvl w:val="0"/>
          <w:numId w:val="18"/>
        </w:numPr>
        <w:rPr>
          <w:rFonts w:ascii="Verdana" w:hAnsi="Verdana"/>
          <w:sz w:val="20"/>
          <w:szCs w:val="20"/>
        </w:rPr>
      </w:pPr>
      <w:r w:rsidRPr="008A19CD">
        <w:rPr>
          <w:rFonts w:ascii="Verdana" w:hAnsi="Verdana"/>
          <w:sz w:val="20"/>
          <w:szCs w:val="20"/>
        </w:rPr>
        <w:t>Focus on journal entry activities in R2R (monthly, quarterly, year-end close).</w:t>
      </w:r>
    </w:p>
    <w:p w14:paraId="71FA4A34" w14:textId="77777777" w:rsidR="00FE23E4" w:rsidRPr="008A19CD" w:rsidRDefault="00FE23E4" w:rsidP="00CD0202">
      <w:pPr>
        <w:numPr>
          <w:ilvl w:val="0"/>
          <w:numId w:val="18"/>
        </w:numPr>
        <w:rPr>
          <w:rFonts w:ascii="Verdana" w:hAnsi="Verdana"/>
          <w:sz w:val="20"/>
          <w:szCs w:val="20"/>
        </w:rPr>
      </w:pPr>
      <w:r w:rsidRPr="008A19CD">
        <w:rPr>
          <w:rFonts w:ascii="Verdana" w:hAnsi="Verdana"/>
          <w:sz w:val="20"/>
          <w:szCs w:val="20"/>
        </w:rPr>
        <w:t>Include manual entries, recurring entries, adjustment entries, accruals, reclassifications.</w:t>
      </w:r>
    </w:p>
    <w:p w14:paraId="7C325D2E" w14:textId="29FDA142" w:rsidR="007E40B9" w:rsidRPr="001C2836" w:rsidRDefault="00FE23E4" w:rsidP="00CD0202">
      <w:pPr>
        <w:pStyle w:val="ListParagraph"/>
        <w:numPr>
          <w:ilvl w:val="0"/>
          <w:numId w:val="18"/>
        </w:numPr>
        <w:rPr>
          <w:lang w:val="en-US"/>
        </w:rPr>
      </w:pPr>
      <w:r w:rsidRPr="001C2836">
        <w:rPr>
          <w:rFonts w:ascii="Verdana" w:hAnsi="Verdana"/>
          <w:sz w:val="20"/>
          <w:szCs w:val="20"/>
        </w:rPr>
        <w:t>Exclude system-generated entries (from subledgers like AP, AR, FA).</w:t>
      </w:r>
    </w:p>
    <w:p w14:paraId="6D95F31C" w14:textId="77777777" w:rsidR="001C2836" w:rsidRDefault="001C2836" w:rsidP="001C2836">
      <w:pPr>
        <w:rPr>
          <w:lang w:val="en-US"/>
        </w:rPr>
      </w:pPr>
    </w:p>
    <w:p w14:paraId="521087D0" w14:textId="77777777" w:rsidR="001C2836" w:rsidRDefault="001C2836" w:rsidP="001C2836">
      <w:pPr>
        <w:rPr>
          <w:lang w:val="en-US"/>
        </w:rPr>
      </w:pPr>
    </w:p>
    <w:p w14:paraId="601DDE56" w14:textId="77777777" w:rsidR="001C2836" w:rsidRDefault="001C2836" w:rsidP="001C2836">
      <w:pPr>
        <w:rPr>
          <w:lang w:val="en-US"/>
        </w:rPr>
      </w:pPr>
    </w:p>
    <w:p w14:paraId="03E3B247" w14:textId="77777777" w:rsidR="008A19CD" w:rsidRDefault="008A19CD" w:rsidP="001C2836">
      <w:pPr>
        <w:rPr>
          <w:lang w:val="en-US"/>
        </w:rPr>
      </w:pPr>
    </w:p>
    <w:p w14:paraId="6E2F7303" w14:textId="77777777" w:rsidR="001C2836" w:rsidRDefault="001C2836" w:rsidP="001C2836">
      <w:pPr>
        <w:rPr>
          <w:lang w:val="en-US"/>
        </w:rPr>
      </w:pPr>
    </w:p>
    <w:p w14:paraId="42528DBD" w14:textId="1652F06F" w:rsidR="001C2836" w:rsidRPr="00A66F97" w:rsidRDefault="001C2836"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1" w:name="_Toc206613722"/>
      <w:r>
        <w:rPr>
          <w:rFonts w:ascii="Verdana" w:eastAsia="Times New Roman" w:hAnsi="Verdana" w:cs="Arial"/>
          <w:b/>
          <w:bCs/>
          <w:color w:val="auto"/>
          <w:kern w:val="0"/>
          <w:sz w:val="22"/>
          <w:szCs w:val="26"/>
          <w:lang w:val="en-US"/>
          <w14:ligatures w14:val="none"/>
        </w:rPr>
        <w:lastRenderedPageBreak/>
        <w:t>6.</w:t>
      </w:r>
      <w:r w:rsidRPr="00A66F97">
        <w:rPr>
          <w:rFonts w:ascii="Verdana" w:eastAsia="Times New Roman" w:hAnsi="Verdana" w:cs="Arial"/>
          <w:b/>
          <w:bCs/>
          <w:color w:val="auto"/>
          <w:kern w:val="0"/>
          <w:sz w:val="22"/>
          <w:szCs w:val="26"/>
          <w:lang w:val="en-US"/>
          <w14:ligatures w14:val="none"/>
        </w:rPr>
        <w:t>2</w:t>
      </w:r>
      <w:r w:rsidRPr="009F43C5">
        <w:rPr>
          <w:rFonts w:ascii="Verdana" w:eastAsia="Times New Roman" w:hAnsi="Verdana" w:cs="Arial"/>
          <w:b/>
          <w:bCs/>
          <w:color w:val="auto"/>
          <w:kern w:val="0"/>
          <w:sz w:val="22"/>
          <w:szCs w:val="26"/>
          <w:lang w:val="en-US"/>
          <w14:ligatures w14:val="none"/>
        </w:rPr>
        <w:t xml:space="preserve">. </w:t>
      </w:r>
      <w:r w:rsidR="006F1585" w:rsidRPr="00A66F97">
        <w:rPr>
          <w:rFonts w:ascii="Verdana" w:eastAsia="Times New Roman" w:hAnsi="Verdana" w:cs="Arial"/>
          <w:b/>
          <w:bCs/>
          <w:color w:val="auto"/>
          <w:kern w:val="0"/>
          <w:sz w:val="22"/>
          <w:szCs w:val="26"/>
          <w:lang w:val="en-US"/>
          <w14:ligatures w14:val="none"/>
        </w:rPr>
        <w:t>Identify Key KPIs to Benchmark</w:t>
      </w:r>
      <w:bookmarkEnd w:id="21"/>
    </w:p>
    <w:p w14:paraId="2BDB3F23"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Number of Journal Entries per Close</w:t>
      </w:r>
    </w:p>
    <w:p w14:paraId="1511EC32"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Average: 500–1,000 (for large organizations)</w:t>
      </w:r>
    </w:p>
    <w:p w14:paraId="6B9F02C4"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&lt;100 (heavily automated)</w:t>
      </w:r>
    </w:p>
    <w:p w14:paraId="4E3A19C8"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 of Manual Journal Entries</w:t>
      </w:r>
    </w:p>
    <w:p w14:paraId="25FBDBCF"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Average: 60–70% manual</w:t>
      </w:r>
    </w:p>
    <w:p w14:paraId="4A2C58FC"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&lt;10–20% manual (rest system- or auto-generated)</w:t>
      </w:r>
    </w:p>
    <w:p w14:paraId="225E8BA6"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 of Recurring JEs Automated</w:t>
      </w:r>
    </w:p>
    <w:p w14:paraId="20201974"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Average: 30–40% automated</w:t>
      </w:r>
    </w:p>
    <w:p w14:paraId="0A7D28D2"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&gt;80% automated (via templates, allocation engines)</w:t>
      </w:r>
    </w:p>
    <w:p w14:paraId="7E93C42C"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Time Spent Preparing &amp; Approving JEs</w:t>
      </w:r>
    </w:p>
    <w:p w14:paraId="05D9BB8E"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Average: 2–3 hours per entry (prep + review + approval)</w:t>
      </w:r>
    </w:p>
    <w:p w14:paraId="0CFCFBE6"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&lt;30 mins per entry</w:t>
      </w:r>
    </w:p>
    <w:p w14:paraId="60585AB4"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Error/Correction Rate</w:t>
      </w:r>
    </w:p>
    <w:p w14:paraId="389C956A"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Average: 5–10% require correction/reversal</w:t>
      </w:r>
    </w:p>
    <w:p w14:paraId="6A1CDE2B"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&lt;2%</w:t>
      </w:r>
    </w:p>
    <w:p w14:paraId="70840F94" w14:textId="77777777" w:rsidR="00E86FAA" w:rsidRPr="005416C4" w:rsidRDefault="00E86FAA" w:rsidP="00CD0202">
      <w:pPr>
        <w:numPr>
          <w:ilvl w:val="0"/>
          <w:numId w:val="19"/>
        </w:numPr>
        <w:rPr>
          <w:rFonts w:ascii="Verdana" w:hAnsi="Verdana"/>
          <w:sz w:val="20"/>
          <w:szCs w:val="20"/>
        </w:rPr>
      </w:pPr>
      <w:r w:rsidRPr="005416C4">
        <w:rPr>
          <w:rFonts w:ascii="Verdana" w:hAnsi="Verdana"/>
          <w:b/>
          <w:bCs/>
          <w:sz w:val="20"/>
          <w:szCs w:val="20"/>
        </w:rPr>
        <w:t>Approvals Workflow Efficiency</w:t>
      </w:r>
    </w:p>
    <w:p w14:paraId="1556998E"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 of JEs approved within SLA (e.g., 24 hours).</w:t>
      </w:r>
    </w:p>
    <w:p w14:paraId="364D8892" w14:textId="77777777" w:rsidR="00E86FAA" w:rsidRPr="005416C4" w:rsidRDefault="00E86FAA" w:rsidP="00CD0202">
      <w:pPr>
        <w:numPr>
          <w:ilvl w:val="1"/>
          <w:numId w:val="19"/>
        </w:numPr>
        <w:rPr>
          <w:rFonts w:ascii="Verdana" w:hAnsi="Verdana"/>
          <w:sz w:val="20"/>
          <w:szCs w:val="20"/>
        </w:rPr>
      </w:pPr>
      <w:r w:rsidRPr="005416C4">
        <w:rPr>
          <w:rFonts w:ascii="Verdana" w:hAnsi="Verdana"/>
          <w:sz w:val="20"/>
          <w:szCs w:val="20"/>
        </w:rPr>
        <w:t>Best-in-class: &gt;95% on-time approvals.</w:t>
      </w:r>
    </w:p>
    <w:p w14:paraId="25D34C33" w14:textId="77777777" w:rsidR="006F1585" w:rsidRDefault="006F1585" w:rsidP="001C2836">
      <w:pPr>
        <w:rPr>
          <w:lang w:val="en-US"/>
        </w:rPr>
      </w:pPr>
    </w:p>
    <w:p w14:paraId="5493020E" w14:textId="673A0537" w:rsidR="00E86FAA" w:rsidRPr="00A66F97" w:rsidRDefault="00E86FAA"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2" w:name="_Toc206613723"/>
      <w:r>
        <w:rPr>
          <w:rFonts w:ascii="Verdana" w:eastAsia="Times New Roman" w:hAnsi="Verdana" w:cs="Arial"/>
          <w:b/>
          <w:bCs/>
          <w:color w:val="auto"/>
          <w:kern w:val="0"/>
          <w:sz w:val="22"/>
          <w:szCs w:val="26"/>
          <w:lang w:val="en-US"/>
          <w14:ligatures w14:val="none"/>
        </w:rPr>
        <w:t>6.</w:t>
      </w:r>
      <w:r w:rsidRPr="00A66F97">
        <w:rPr>
          <w:rFonts w:ascii="Verdana" w:eastAsia="Times New Roman" w:hAnsi="Verdana" w:cs="Arial"/>
          <w:b/>
          <w:bCs/>
          <w:color w:val="auto"/>
          <w:kern w:val="0"/>
          <w:sz w:val="22"/>
          <w:szCs w:val="26"/>
          <w:lang w:val="en-US"/>
          <w14:ligatures w14:val="none"/>
        </w:rPr>
        <w:t>3</w:t>
      </w:r>
      <w:r w:rsidRPr="009F43C5">
        <w:rPr>
          <w:rFonts w:ascii="Verdana" w:eastAsia="Times New Roman" w:hAnsi="Verdana" w:cs="Arial"/>
          <w:b/>
          <w:bCs/>
          <w:color w:val="auto"/>
          <w:kern w:val="0"/>
          <w:sz w:val="22"/>
          <w:szCs w:val="26"/>
          <w:lang w:val="en-US"/>
          <w14:ligatures w14:val="none"/>
        </w:rPr>
        <w:t xml:space="preserve">. </w:t>
      </w:r>
      <w:r w:rsidR="006A1C2F" w:rsidRPr="00A66F97">
        <w:rPr>
          <w:rFonts w:ascii="Verdana" w:eastAsia="Times New Roman" w:hAnsi="Verdana" w:cs="Arial"/>
          <w:b/>
          <w:bCs/>
          <w:color w:val="auto"/>
          <w:kern w:val="0"/>
          <w:sz w:val="22"/>
          <w:szCs w:val="26"/>
          <w:lang w:val="en-US"/>
          <w14:ligatures w14:val="none"/>
        </w:rPr>
        <w:t>Data Collection</w:t>
      </w:r>
      <w:bookmarkEnd w:id="22"/>
    </w:p>
    <w:p w14:paraId="3E963908" w14:textId="77777777" w:rsidR="00D367EC" w:rsidRPr="00CB312A" w:rsidRDefault="00D367EC" w:rsidP="00CD0202">
      <w:pPr>
        <w:numPr>
          <w:ilvl w:val="0"/>
          <w:numId w:val="20"/>
        </w:numPr>
        <w:rPr>
          <w:rFonts w:ascii="Verdana" w:hAnsi="Verdana"/>
          <w:sz w:val="20"/>
          <w:szCs w:val="20"/>
        </w:rPr>
      </w:pPr>
      <w:r w:rsidRPr="00CB312A">
        <w:rPr>
          <w:rFonts w:ascii="Verdana" w:hAnsi="Verdana"/>
          <w:sz w:val="20"/>
          <w:szCs w:val="20"/>
        </w:rPr>
        <w:t>Gather data from ERP/GL (SAP, Oracle, Workday).</w:t>
      </w:r>
    </w:p>
    <w:p w14:paraId="2416CD49" w14:textId="77777777" w:rsidR="00D367EC" w:rsidRPr="00CB312A" w:rsidRDefault="00D367EC" w:rsidP="00CD0202">
      <w:pPr>
        <w:numPr>
          <w:ilvl w:val="0"/>
          <w:numId w:val="20"/>
        </w:numPr>
        <w:rPr>
          <w:rFonts w:ascii="Verdana" w:hAnsi="Verdana"/>
          <w:sz w:val="20"/>
          <w:szCs w:val="20"/>
        </w:rPr>
      </w:pPr>
      <w:r w:rsidRPr="00CB312A">
        <w:rPr>
          <w:rFonts w:ascii="Verdana" w:hAnsi="Verdana"/>
          <w:sz w:val="20"/>
          <w:szCs w:val="20"/>
        </w:rPr>
        <w:t>Pull last 3–6 month’s JE data (volume, types, approval times, reversals).</w:t>
      </w:r>
    </w:p>
    <w:p w14:paraId="19CE3A25" w14:textId="77777777" w:rsidR="00D367EC" w:rsidRPr="00CB312A" w:rsidRDefault="00D367EC" w:rsidP="00CD0202">
      <w:pPr>
        <w:numPr>
          <w:ilvl w:val="0"/>
          <w:numId w:val="20"/>
        </w:numPr>
        <w:rPr>
          <w:rFonts w:ascii="Verdana" w:hAnsi="Verdana"/>
          <w:sz w:val="20"/>
          <w:szCs w:val="20"/>
        </w:rPr>
      </w:pPr>
      <w:r w:rsidRPr="00CB312A">
        <w:rPr>
          <w:rFonts w:ascii="Verdana" w:hAnsi="Verdana"/>
          <w:sz w:val="20"/>
          <w:szCs w:val="20"/>
        </w:rPr>
        <w:t>Classify entries into manual, recurring, adjustment, intercompany.</w:t>
      </w:r>
    </w:p>
    <w:p w14:paraId="12E24A12" w14:textId="77777777" w:rsidR="00E86FAA" w:rsidRPr="00A66F97" w:rsidRDefault="00E86FAA"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p>
    <w:p w14:paraId="0A13EAD3" w14:textId="744DAA16" w:rsidR="00940B05" w:rsidRPr="00A66F97" w:rsidRDefault="00940B05"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3" w:name="_Toc206613724"/>
      <w:r>
        <w:rPr>
          <w:rFonts w:ascii="Verdana" w:eastAsia="Times New Roman" w:hAnsi="Verdana" w:cs="Arial"/>
          <w:b/>
          <w:bCs/>
          <w:color w:val="auto"/>
          <w:kern w:val="0"/>
          <w:sz w:val="22"/>
          <w:szCs w:val="26"/>
          <w:lang w:val="en-US"/>
          <w14:ligatures w14:val="none"/>
        </w:rPr>
        <w:t>6.</w:t>
      </w:r>
      <w:r w:rsidRPr="00A66F97">
        <w:rPr>
          <w:rFonts w:ascii="Verdana" w:eastAsia="Times New Roman" w:hAnsi="Verdana" w:cs="Arial"/>
          <w:b/>
          <w:bCs/>
          <w:color w:val="auto"/>
          <w:kern w:val="0"/>
          <w:sz w:val="22"/>
          <w:szCs w:val="26"/>
          <w:lang w:val="en-US"/>
          <w14:ligatures w14:val="none"/>
        </w:rPr>
        <w:t>3</w:t>
      </w:r>
      <w:r w:rsidRPr="009F43C5">
        <w:rPr>
          <w:rFonts w:ascii="Verdana" w:eastAsia="Times New Roman" w:hAnsi="Verdana" w:cs="Arial"/>
          <w:b/>
          <w:bCs/>
          <w:color w:val="auto"/>
          <w:kern w:val="0"/>
          <w:sz w:val="22"/>
          <w:szCs w:val="26"/>
          <w:lang w:val="en-US"/>
          <w14:ligatures w14:val="none"/>
        </w:rPr>
        <w:t xml:space="preserve">. </w:t>
      </w:r>
      <w:r w:rsidRPr="00A66F97">
        <w:rPr>
          <w:rFonts w:ascii="Verdana" w:eastAsia="Times New Roman" w:hAnsi="Verdana" w:cs="Arial"/>
          <w:b/>
          <w:bCs/>
          <w:color w:val="auto"/>
          <w:kern w:val="0"/>
          <w:sz w:val="22"/>
          <w:szCs w:val="26"/>
          <w:lang w:val="en-US"/>
          <w14:ligatures w14:val="none"/>
        </w:rPr>
        <w:t>Benchmarking Analysis</w:t>
      </w:r>
      <w:bookmarkEnd w:id="23"/>
    </w:p>
    <w:p w14:paraId="209EE069" w14:textId="77777777" w:rsidR="00940B05" w:rsidRDefault="00940B05" w:rsidP="001C2836">
      <w:pPr>
        <w:rPr>
          <w:lang w:val="en-US"/>
        </w:rPr>
      </w:pPr>
    </w:p>
    <w:p w14:paraId="19D75377" w14:textId="77777777" w:rsidR="00884802" w:rsidRPr="00CB312A" w:rsidRDefault="00884802" w:rsidP="00CD0202">
      <w:pPr>
        <w:numPr>
          <w:ilvl w:val="0"/>
          <w:numId w:val="21"/>
        </w:numPr>
        <w:rPr>
          <w:rFonts w:ascii="Verdana" w:hAnsi="Verdana"/>
          <w:sz w:val="20"/>
          <w:szCs w:val="20"/>
        </w:rPr>
      </w:pPr>
      <w:r w:rsidRPr="00CB312A">
        <w:rPr>
          <w:rFonts w:ascii="Verdana" w:hAnsi="Verdana"/>
          <w:sz w:val="20"/>
          <w:szCs w:val="20"/>
        </w:rPr>
        <w:t>Compare your JE KPIs vs. peer/industry benchmarks.</w:t>
      </w:r>
    </w:p>
    <w:p w14:paraId="74A9B8D8" w14:textId="77777777" w:rsidR="00884802" w:rsidRPr="00CB312A" w:rsidRDefault="00884802" w:rsidP="00CD0202">
      <w:pPr>
        <w:numPr>
          <w:ilvl w:val="0"/>
          <w:numId w:val="21"/>
        </w:numPr>
        <w:rPr>
          <w:rFonts w:ascii="Verdana" w:hAnsi="Verdana"/>
          <w:sz w:val="20"/>
          <w:szCs w:val="20"/>
        </w:rPr>
      </w:pPr>
      <w:r w:rsidRPr="00CB312A">
        <w:rPr>
          <w:rFonts w:ascii="Verdana" w:hAnsi="Verdana"/>
          <w:sz w:val="20"/>
          <w:szCs w:val="20"/>
        </w:rPr>
        <w:t>Example:</w:t>
      </w:r>
    </w:p>
    <w:p w14:paraId="2E2534A6" w14:textId="77777777" w:rsidR="00884802" w:rsidRPr="00CB312A" w:rsidRDefault="00884802" w:rsidP="00CD0202">
      <w:pPr>
        <w:numPr>
          <w:ilvl w:val="1"/>
          <w:numId w:val="21"/>
        </w:numPr>
        <w:rPr>
          <w:rFonts w:ascii="Verdana" w:hAnsi="Verdana"/>
          <w:sz w:val="20"/>
          <w:szCs w:val="20"/>
        </w:rPr>
      </w:pPr>
      <w:r w:rsidRPr="00CB312A">
        <w:rPr>
          <w:rFonts w:ascii="Verdana" w:hAnsi="Verdana"/>
          <w:sz w:val="20"/>
          <w:szCs w:val="20"/>
        </w:rPr>
        <w:t>Your company posts 700 manual JEs per close.</w:t>
      </w:r>
    </w:p>
    <w:p w14:paraId="646199A5" w14:textId="77777777" w:rsidR="00884802" w:rsidRPr="00CB312A" w:rsidRDefault="00884802" w:rsidP="00CD0202">
      <w:pPr>
        <w:numPr>
          <w:ilvl w:val="1"/>
          <w:numId w:val="21"/>
        </w:numPr>
        <w:rPr>
          <w:rFonts w:ascii="Verdana" w:hAnsi="Verdana"/>
          <w:sz w:val="20"/>
          <w:szCs w:val="20"/>
        </w:rPr>
      </w:pPr>
      <w:r w:rsidRPr="00CB312A">
        <w:rPr>
          <w:rFonts w:ascii="Verdana" w:hAnsi="Verdana"/>
          <w:sz w:val="20"/>
          <w:szCs w:val="20"/>
        </w:rPr>
        <w:t>Peer average: 300–400.</w:t>
      </w:r>
    </w:p>
    <w:p w14:paraId="59C43A53" w14:textId="0F504AE0" w:rsidR="00940B05" w:rsidRPr="00CB312A" w:rsidRDefault="00884802" w:rsidP="00CD0202">
      <w:pPr>
        <w:pStyle w:val="ListParagraph"/>
        <w:numPr>
          <w:ilvl w:val="1"/>
          <w:numId w:val="21"/>
        </w:numPr>
        <w:rPr>
          <w:lang w:val="en-US"/>
        </w:rPr>
      </w:pPr>
      <w:r w:rsidRPr="00CB312A">
        <w:rPr>
          <w:rFonts w:ascii="Verdana" w:hAnsi="Verdana"/>
          <w:sz w:val="20"/>
          <w:szCs w:val="20"/>
        </w:rPr>
        <w:t>Best-in-class: &lt;100.</w:t>
      </w:r>
    </w:p>
    <w:p w14:paraId="0546FB9F" w14:textId="015AAC46" w:rsidR="008B1F14" w:rsidRDefault="008B1F14" w:rsidP="008B1F14">
      <w:pPr>
        <w:pStyle w:val="ListParagraph"/>
        <w:rPr>
          <w:rFonts w:ascii="Verdana" w:hAnsi="Verdana"/>
          <w:sz w:val="20"/>
          <w:szCs w:val="20"/>
        </w:rPr>
      </w:pPr>
      <w:r>
        <w:rPr>
          <w:rFonts w:ascii="Verdana" w:hAnsi="Verdana"/>
          <w:sz w:val="20"/>
          <w:szCs w:val="20"/>
        </w:rPr>
        <w:t xml:space="preserve">Note - </w:t>
      </w:r>
      <w:r w:rsidRPr="005416C4">
        <w:rPr>
          <w:rFonts w:ascii="Verdana" w:hAnsi="Verdana"/>
          <w:sz w:val="20"/>
          <w:szCs w:val="20"/>
        </w:rPr>
        <w:t>Clear improvement opportunity in automation &amp; standard templates.</w:t>
      </w:r>
    </w:p>
    <w:p w14:paraId="2DF7C749" w14:textId="77777777" w:rsidR="008B1F14" w:rsidRDefault="008B1F14" w:rsidP="008B1F14">
      <w:pPr>
        <w:pStyle w:val="ListParagraph"/>
        <w:rPr>
          <w:rFonts w:ascii="Verdana" w:hAnsi="Verdana"/>
          <w:sz w:val="20"/>
          <w:szCs w:val="20"/>
        </w:rPr>
      </w:pPr>
    </w:p>
    <w:p w14:paraId="7B807961" w14:textId="06939266" w:rsidR="00CD0D6F" w:rsidRPr="00A66F97" w:rsidRDefault="008668DC"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4" w:name="_Toc206613725"/>
      <w:r>
        <w:rPr>
          <w:rFonts w:ascii="Verdana" w:eastAsia="Times New Roman" w:hAnsi="Verdana" w:cs="Arial"/>
          <w:b/>
          <w:bCs/>
          <w:color w:val="auto"/>
          <w:kern w:val="0"/>
          <w:sz w:val="22"/>
          <w:szCs w:val="26"/>
          <w:lang w:val="en-US"/>
          <w14:ligatures w14:val="none"/>
        </w:rPr>
        <w:lastRenderedPageBreak/>
        <w:t>6.</w:t>
      </w:r>
      <w:r w:rsidRPr="00A66F97">
        <w:rPr>
          <w:rFonts w:ascii="Verdana" w:eastAsia="Times New Roman" w:hAnsi="Verdana" w:cs="Arial"/>
          <w:b/>
          <w:bCs/>
          <w:color w:val="auto"/>
          <w:kern w:val="0"/>
          <w:sz w:val="22"/>
          <w:szCs w:val="26"/>
          <w:lang w:val="en-US"/>
          <w14:ligatures w14:val="none"/>
        </w:rPr>
        <w:t>3</w:t>
      </w:r>
      <w:r w:rsidRPr="009F43C5">
        <w:rPr>
          <w:rFonts w:ascii="Verdana" w:eastAsia="Times New Roman" w:hAnsi="Verdana" w:cs="Arial"/>
          <w:b/>
          <w:bCs/>
          <w:color w:val="auto"/>
          <w:kern w:val="0"/>
          <w:sz w:val="22"/>
          <w:szCs w:val="26"/>
          <w:lang w:val="en-US"/>
          <w14:ligatures w14:val="none"/>
        </w:rPr>
        <w:t xml:space="preserve">. </w:t>
      </w:r>
      <w:r w:rsidR="00CD0D6F" w:rsidRPr="00A66F97">
        <w:rPr>
          <w:rFonts w:ascii="Verdana" w:eastAsia="Times New Roman" w:hAnsi="Verdana" w:cs="Arial"/>
          <w:b/>
          <w:bCs/>
          <w:color w:val="auto"/>
          <w:kern w:val="0"/>
          <w:sz w:val="22"/>
          <w:szCs w:val="26"/>
          <w:lang w:val="en-US"/>
          <w14:ligatures w14:val="none"/>
        </w:rPr>
        <w:t>Improvement Levers</w:t>
      </w:r>
      <w:bookmarkEnd w:id="24"/>
    </w:p>
    <w:p w14:paraId="0C5B2424" w14:textId="77777777" w:rsidR="00AA0081" w:rsidRPr="005416C4" w:rsidRDefault="00AA0081" w:rsidP="00AA0081">
      <w:pPr>
        <w:rPr>
          <w:rFonts w:ascii="Verdana" w:hAnsi="Verdana"/>
          <w:sz w:val="20"/>
          <w:szCs w:val="20"/>
        </w:rPr>
      </w:pPr>
      <w:r w:rsidRPr="005416C4">
        <w:rPr>
          <w:rFonts w:ascii="Verdana" w:hAnsi="Verdana"/>
          <w:sz w:val="20"/>
          <w:szCs w:val="20"/>
        </w:rPr>
        <w:t>Benchmarking reveals where to act:</w:t>
      </w:r>
    </w:p>
    <w:p w14:paraId="1F861ED8" w14:textId="77777777" w:rsidR="00AA0081" w:rsidRPr="005416C4" w:rsidRDefault="00AA0081" w:rsidP="00CD0202">
      <w:pPr>
        <w:numPr>
          <w:ilvl w:val="0"/>
          <w:numId w:val="22"/>
        </w:numPr>
        <w:rPr>
          <w:rFonts w:ascii="Verdana" w:hAnsi="Verdana"/>
          <w:sz w:val="20"/>
          <w:szCs w:val="20"/>
        </w:rPr>
      </w:pPr>
      <w:r w:rsidRPr="005416C4">
        <w:rPr>
          <w:rFonts w:ascii="Verdana" w:hAnsi="Verdana"/>
          <w:b/>
          <w:bCs/>
          <w:sz w:val="20"/>
          <w:szCs w:val="20"/>
        </w:rPr>
        <w:t>Automation</w:t>
      </w:r>
      <w:r w:rsidRPr="005416C4">
        <w:rPr>
          <w:rFonts w:ascii="Verdana" w:hAnsi="Verdana"/>
          <w:sz w:val="20"/>
          <w:szCs w:val="20"/>
        </w:rPr>
        <w:t>:</w:t>
      </w:r>
    </w:p>
    <w:p w14:paraId="775A0CEC" w14:textId="77777777" w:rsidR="00AA0081" w:rsidRPr="00CB312A" w:rsidRDefault="00AA0081" w:rsidP="00CD0202">
      <w:pPr>
        <w:numPr>
          <w:ilvl w:val="1"/>
          <w:numId w:val="22"/>
        </w:numPr>
        <w:rPr>
          <w:rFonts w:ascii="Verdana" w:hAnsi="Verdana"/>
          <w:sz w:val="20"/>
          <w:szCs w:val="20"/>
        </w:rPr>
      </w:pPr>
      <w:r w:rsidRPr="00CB312A">
        <w:rPr>
          <w:rFonts w:ascii="Verdana" w:hAnsi="Verdana"/>
          <w:sz w:val="20"/>
          <w:szCs w:val="20"/>
        </w:rPr>
        <w:t>Use ERP recurring JE templates, allocation rules, and auto-reversals.</w:t>
      </w:r>
    </w:p>
    <w:p w14:paraId="54AEAC60" w14:textId="77777777" w:rsidR="00AA0081" w:rsidRPr="00CB312A" w:rsidRDefault="00AA0081" w:rsidP="00CD0202">
      <w:pPr>
        <w:numPr>
          <w:ilvl w:val="1"/>
          <w:numId w:val="22"/>
        </w:numPr>
        <w:rPr>
          <w:rFonts w:ascii="Verdana" w:hAnsi="Verdana"/>
          <w:sz w:val="20"/>
          <w:szCs w:val="20"/>
        </w:rPr>
      </w:pPr>
      <w:r w:rsidRPr="00CB312A">
        <w:rPr>
          <w:rFonts w:ascii="Verdana" w:hAnsi="Verdana"/>
          <w:sz w:val="20"/>
          <w:szCs w:val="20"/>
        </w:rPr>
        <w:t>Deploy RPA for high-volume, rule-based entries.</w:t>
      </w:r>
    </w:p>
    <w:p w14:paraId="4C17B56B" w14:textId="77777777" w:rsidR="00AA0081" w:rsidRPr="005416C4" w:rsidRDefault="00AA0081" w:rsidP="00CD0202">
      <w:pPr>
        <w:numPr>
          <w:ilvl w:val="0"/>
          <w:numId w:val="22"/>
        </w:numPr>
        <w:rPr>
          <w:rFonts w:ascii="Verdana" w:hAnsi="Verdana"/>
          <w:sz w:val="20"/>
          <w:szCs w:val="20"/>
        </w:rPr>
      </w:pPr>
      <w:r w:rsidRPr="005416C4">
        <w:rPr>
          <w:rFonts w:ascii="Verdana" w:hAnsi="Verdana"/>
          <w:b/>
          <w:bCs/>
          <w:sz w:val="20"/>
          <w:szCs w:val="20"/>
        </w:rPr>
        <w:t>Standardization</w:t>
      </w:r>
      <w:r w:rsidRPr="005416C4">
        <w:rPr>
          <w:rFonts w:ascii="Verdana" w:hAnsi="Verdana"/>
          <w:sz w:val="20"/>
          <w:szCs w:val="20"/>
        </w:rPr>
        <w:t>:</w:t>
      </w:r>
    </w:p>
    <w:p w14:paraId="44979BD8" w14:textId="77777777" w:rsidR="00AA0081" w:rsidRPr="00CB312A" w:rsidRDefault="00AA0081" w:rsidP="00CD0202">
      <w:pPr>
        <w:numPr>
          <w:ilvl w:val="1"/>
          <w:numId w:val="22"/>
        </w:numPr>
        <w:rPr>
          <w:rFonts w:ascii="Verdana" w:hAnsi="Verdana"/>
          <w:sz w:val="20"/>
          <w:szCs w:val="20"/>
        </w:rPr>
      </w:pPr>
      <w:r w:rsidRPr="00CB312A">
        <w:rPr>
          <w:rFonts w:ascii="Verdana" w:hAnsi="Verdana"/>
          <w:sz w:val="20"/>
          <w:szCs w:val="20"/>
        </w:rPr>
        <w:t>Reduce unique JE types by harmonizing COA and posting rules.</w:t>
      </w:r>
    </w:p>
    <w:p w14:paraId="07427C5F" w14:textId="77777777" w:rsidR="00AA0081" w:rsidRPr="00CB312A" w:rsidRDefault="00AA0081" w:rsidP="00CD0202">
      <w:pPr>
        <w:numPr>
          <w:ilvl w:val="1"/>
          <w:numId w:val="22"/>
        </w:numPr>
        <w:rPr>
          <w:rFonts w:ascii="Verdana" w:hAnsi="Verdana"/>
          <w:sz w:val="20"/>
          <w:szCs w:val="20"/>
        </w:rPr>
      </w:pPr>
      <w:r w:rsidRPr="00CB312A">
        <w:rPr>
          <w:rFonts w:ascii="Verdana" w:hAnsi="Verdana"/>
          <w:sz w:val="20"/>
          <w:szCs w:val="20"/>
        </w:rPr>
        <w:t>Introduce policy on JE thresholds (e.g., no manual JE &lt; $1,000).</w:t>
      </w:r>
    </w:p>
    <w:p w14:paraId="1CAA0641" w14:textId="77777777" w:rsidR="00AA0081" w:rsidRPr="005416C4" w:rsidRDefault="00AA0081" w:rsidP="00CD0202">
      <w:pPr>
        <w:numPr>
          <w:ilvl w:val="0"/>
          <w:numId w:val="22"/>
        </w:numPr>
        <w:rPr>
          <w:rFonts w:ascii="Verdana" w:hAnsi="Verdana"/>
          <w:sz w:val="20"/>
          <w:szCs w:val="20"/>
        </w:rPr>
      </w:pPr>
      <w:r w:rsidRPr="005416C4">
        <w:rPr>
          <w:rFonts w:ascii="Verdana" w:hAnsi="Verdana"/>
          <w:b/>
          <w:bCs/>
          <w:sz w:val="20"/>
          <w:szCs w:val="20"/>
        </w:rPr>
        <w:t>Approval Workflow</w:t>
      </w:r>
      <w:r w:rsidRPr="005416C4">
        <w:rPr>
          <w:rFonts w:ascii="Verdana" w:hAnsi="Verdana"/>
          <w:sz w:val="20"/>
          <w:szCs w:val="20"/>
        </w:rPr>
        <w:t>:</w:t>
      </w:r>
    </w:p>
    <w:p w14:paraId="41BEB8DD" w14:textId="77777777" w:rsidR="00AA0081" w:rsidRPr="00CB312A" w:rsidRDefault="00AA0081" w:rsidP="00CD0202">
      <w:pPr>
        <w:numPr>
          <w:ilvl w:val="1"/>
          <w:numId w:val="22"/>
        </w:numPr>
        <w:rPr>
          <w:rFonts w:ascii="Verdana" w:hAnsi="Verdana"/>
          <w:sz w:val="20"/>
          <w:szCs w:val="20"/>
        </w:rPr>
      </w:pPr>
      <w:r w:rsidRPr="00CB312A">
        <w:rPr>
          <w:rFonts w:ascii="Verdana" w:hAnsi="Verdana"/>
          <w:sz w:val="20"/>
          <w:szCs w:val="20"/>
        </w:rPr>
        <w:t>Move from email/manual approvals to workflow-enabled approvals in ERP.</w:t>
      </w:r>
    </w:p>
    <w:p w14:paraId="4CC6DA8A" w14:textId="77777777" w:rsidR="00AA0081" w:rsidRPr="005416C4" w:rsidRDefault="00AA0081" w:rsidP="00CD0202">
      <w:pPr>
        <w:numPr>
          <w:ilvl w:val="0"/>
          <w:numId w:val="22"/>
        </w:numPr>
        <w:rPr>
          <w:rFonts w:ascii="Verdana" w:hAnsi="Verdana"/>
          <w:sz w:val="20"/>
          <w:szCs w:val="20"/>
        </w:rPr>
      </w:pPr>
      <w:r w:rsidRPr="005416C4">
        <w:rPr>
          <w:rFonts w:ascii="Verdana" w:hAnsi="Verdana"/>
          <w:b/>
          <w:bCs/>
          <w:sz w:val="20"/>
          <w:szCs w:val="20"/>
        </w:rPr>
        <w:t>Analytics &amp; Monitoring</w:t>
      </w:r>
      <w:r w:rsidRPr="005416C4">
        <w:rPr>
          <w:rFonts w:ascii="Verdana" w:hAnsi="Verdana"/>
          <w:sz w:val="20"/>
          <w:szCs w:val="20"/>
        </w:rPr>
        <w:t>:</w:t>
      </w:r>
    </w:p>
    <w:p w14:paraId="03BABB53" w14:textId="77777777" w:rsidR="00AA0081" w:rsidRPr="005416C4" w:rsidRDefault="00AA0081" w:rsidP="00CD0202">
      <w:pPr>
        <w:numPr>
          <w:ilvl w:val="1"/>
          <w:numId w:val="22"/>
        </w:numPr>
        <w:rPr>
          <w:rFonts w:ascii="Verdana" w:hAnsi="Verdana"/>
          <w:sz w:val="20"/>
          <w:szCs w:val="20"/>
        </w:rPr>
      </w:pPr>
      <w:r w:rsidRPr="005416C4">
        <w:rPr>
          <w:rFonts w:ascii="Verdana" w:hAnsi="Verdana"/>
          <w:sz w:val="20"/>
          <w:szCs w:val="20"/>
        </w:rPr>
        <w:t>Build JE dashboards (by volume, type, preparer, reviewer).</w:t>
      </w:r>
    </w:p>
    <w:p w14:paraId="2DB114CD" w14:textId="77777777" w:rsidR="00AA0081" w:rsidRPr="005416C4" w:rsidRDefault="00AA0081" w:rsidP="00CD0202">
      <w:pPr>
        <w:numPr>
          <w:ilvl w:val="1"/>
          <w:numId w:val="22"/>
        </w:numPr>
        <w:rPr>
          <w:rFonts w:ascii="Verdana" w:hAnsi="Verdana"/>
          <w:sz w:val="20"/>
          <w:szCs w:val="20"/>
        </w:rPr>
      </w:pPr>
      <w:r w:rsidRPr="005416C4">
        <w:rPr>
          <w:rFonts w:ascii="Verdana" w:hAnsi="Verdana"/>
          <w:sz w:val="20"/>
          <w:szCs w:val="20"/>
        </w:rPr>
        <w:t>Track recurring vs. ad-hoc entries.</w:t>
      </w:r>
    </w:p>
    <w:p w14:paraId="1FF985A2" w14:textId="77777777" w:rsidR="00CD0D6F" w:rsidRDefault="00CD0D6F" w:rsidP="008668DC">
      <w:pPr>
        <w:rPr>
          <w:rFonts w:ascii="Verdana" w:eastAsia="Times New Roman" w:hAnsi="Verdana" w:cs="Arial"/>
          <w:b/>
          <w:bCs/>
          <w:kern w:val="0"/>
          <w:szCs w:val="26"/>
          <w:lang w:val="en-US"/>
          <w14:ligatures w14:val="none"/>
        </w:rPr>
      </w:pPr>
    </w:p>
    <w:p w14:paraId="67BEAFA5" w14:textId="66CF2E0B" w:rsidR="00096050" w:rsidRPr="00A66F97" w:rsidRDefault="00096050" w:rsidP="00A66F97">
      <w:pPr>
        <w:pStyle w:val="Heading3"/>
        <w:keepLines w:val="0"/>
        <w:spacing w:before="40" w:after="40" w:line="240" w:lineRule="auto"/>
        <w:rPr>
          <w:rFonts w:ascii="Verdana" w:eastAsia="Times New Roman" w:hAnsi="Verdana" w:cs="Arial"/>
          <w:b/>
          <w:bCs/>
          <w:color w:val="auto"/>
          <w:kern w:val="0"/>
          <w:sz w:val="22"/>
          <w:szCs w:val="26"/>
          <w:lang w:val="en-US"/>
          <w14:ligatures w14:val="none"/>
        </w:rPr>
      </w:pPr>
      <w:bookmarkStart w:id="25" w:name="_Toc206613726"/>
      <w:r>
        <w:rPr>
          <w:rFonts w:ascii="Verdana" w:eastAsia="Times New Roman" w:hAnsi="Verdana" w:cs="Arial"/>
          <w:b/>
          <w:bCs/>
          <w:color w:val="auto"/>
          <w:kern w:val="0"/>
          <w:sz w:val="22"/>
          <w:szCs w:val="26"/>
          <w:lang w:val="en-US"/>
          <w14:ligatures w14:val="none"/>
        </w:rPr>
        <w:t>6.</w:t>
      </w:r>
      <w:r w:rsidR="00A66F97">
        <w:rPr>
          <w:rFonts w:ascii="Verdana" w:eastAsia="Times New Roman" w:hAnsi="Verdana" w:cs="Arial"/>
          <w:b/>
          <w:bCs/>
          <w:color w:val="auto"/>
          <w:kern w:val="0"/>
          <w:sz w:val="22"/>
          <w:szCs w:val="26"/>
          <w:lang w:val="en-US"/>
          <w14:ligatures w14:val="none"/>
        </w:rPr>
        <w:t>4</w:t>
      </w:r>
      <w:r w:rsidRPr="009F43C5">
        <w:rPr>
          <w:rFonts w:ascii="Verdana" w:eastAsia="Times New Roman" w:hAnsi="Verdana" w:cs="Arial"/>
          <w:b/>
          <w:bCs/>
          <w:color w:val="auto"/>
          <w:kern w:val="0"/>
          <w:sz w:val="22"/>
          <w:szCs w:val="26"/>
          <w:lang w:val="en-US"/>
          <w14:ligatures w14:val="none"/>
        </w:rPr>
        <w:t xml:space="preserve">. </w:t>
      </w:r>
      <w:r w:rsidR="007F2C60" w:rsidRPr="00A66F97">
        <w:rPr>
          <w:rFonts w:ascii="Verdana" w:eastAsia="Times New Roman" w:hAnsi="Verdana" w:cs="Arial"/>
          <w:b/>
          <w:bCs/>
          <w:color w:val="auto"/>
          <w:kern w:val="0"/>
          <w:sz w:val="22"/>
          <w:szCs w:val="26"/>
          <w:lang w:val="en-US"/>
          <w14:ligatures w14:val="none"/>
        </w:rPr>
        <w:t>Benchmarking Outcome</w:t>
      </w:r>
      <w:bookmarkEnd w:id="25"/>
    </w:p>
    <w:p w14:paraId="7D8A9AE9" w14:textId="77777777" w:rsidR="00CB312A" w:rsidRPr="00CB312A" w:rsidRDefault="00CB312A" w:rsidP="00CD0202">
      <w:pPr>
        <w:numPr>
          <w:ilvl w:val="0"/>
          <w:numId w:val="23"/>
        </w:numPr>
        <w:rPr>
          <w:rFonts w:ascii="Verdana" w:hAnsi="Verdana"/>
          <w:sz w:val="20"/>
          <w:szCs w:val="20"/>
        </w:rPr>
      </w:pPr>
      <w:r w:rsidRPr="00CB312A">
        <w:rPr>
          <w:rFonts w:ascii="Verdana" w:hAnsi="Verdana"/>
          <w:sz w:val="20"/>
          <w:szCs w:val="20"/>
        </w:rPr>
        <w:t xml:space="preserve">Reduce manual JE dependency </w:t>
      </w:r>
      <w:r w:rsidRPr="00CB312A">
        <w:rPr>
          <w:rFonts w:ascii="Arial" w:hAnsi="Arial" w:cs="Arial"/>
          <w:sz w:val="20"/>
          <w:szCs w:val="20"/>
        </w:rPr>
        <w:t>→</w:t>
      </w:r>
      <w:r w:rsidRPr="00CB312A">
        <w:rPr>
          <w:rFonts w:ascii="Verdana" w:hAnsi="Verdana"/>
          <w:sz w:val="20"/>
          <w:szCs w:val="20"/>
        </w:rPr>
        <w:t xml:space="preserve"> fewer errors &amp; faster close.</w:t>
      </w:r>
    </w:p>
    <w:p w14:paraId="4965DA99" w14:textId="77777777" w:rsidR="00CB312A" w:rsidRPr="00CB312A" w:rsidRDefault="00CB312A" w:rsidP="00CD0202">
      <w:pPr>
        <w:numPr>
          <w:ilvl w:val="0"/>
          <w:numId w:val="23"/>
        </w:numPr>
        <w:rPr>
          <w:rFonts w:ascii="Verdana" w:hAnsi="Verdana"/>
          <w:sz w:val="20"/>
          <w:szCs w:val="20"/>
        </w:rPr>
      </w:pPr>
      <w:r w:rsidRPr="00CB312A">
        <w:rPr>
          <w:rFonts w:ascii="Verdana" w:hAnsi="Verdana"/>
          <w:sz w:val="20"/>
          <w:szCs w:val="20"/>
        </w:rPr>
        <w:t xml:space="preserve">Free up finance staff from transactional posting </w:t>
      </w:r>
      <w:r w:rsidRPr="00CB312A">
        <w:rPr>
          <w:rFonts w:ascii="Arial" w:hAnsi="Arial" w:cs="Arial"/>
          <w:sz w:val="20"/>
          <w:szCs w:val="20"/>
        </w:rPr>
        <w:t>→</w:t>
      </w:r>
      <w:r w:rsidRPr="00CB312A">
        <w:rPr>
          <w:rFonts w:ascii="Verdana" w:hAnsi="Verdana"/>
          <w:sz w:val="20"/>
          <w:szCs w:val="20"/>
        </w:rPr>
        <w:t xml:space="preserve"> focus on analysis &amp; insights.</w:t>
      </w:r>
    </w:p>
    <w:p w14:paraId="63800675" w14:textId="77777777" w:rsidR="00CB312A" w:rsidRPr="00CB312A" w:rsidRDefault="00CB312A" w:rsidP="00CD0202">
      <w:pPr>
        <w:numPr>
          <w:ilvl w:val="0"/>
          <w:numId w:val="23"/>
        </w:numPr>
        <w:rPr>
          <w:rFonts w:ascii="Verdana" w:hAnsi="Verdana"/>
          <w:sz w:val="20"/>
          <w:szCs w:val="20"/>
        </w:rPr>
      </w:pPr>
      <w:r w:rsidRPr="00CB312A">
        <w:rPr>
          <w:rFonts w:ascii="Verdana" w:hAnsi="Verdana"/>
          <w:sz w:val="20"/>
          <w:szCs w:val="20"/>
        </w:rPr>
        <w:t xml:space="preserve">Accelerate close cycle time from 8–10 days </w:t>
      </w:r>
      <w:r w:rsidRPr="00CB312A">
        <w:rPr>
          <w:rFonts w:ascii="Arial" w:hAnsi="Arial" w:cs="Arial"/>
          <w:sz w:val="20"/>
          <w:szCs w:val="20"/>
        </w:rPr>
        <w:t>→</w:t>
      </w:r>
      <w:r w:rsidRPr="00CB312A">
        <w:rPr>
          <w:rFonts w:ascii="Verdana" w:hAnsi="Verdana"/>
          <w:sz w:val="20"/>
          <w:szCs w:val="20"/>
        </w:rPr>
        <w:t xml:space="preserve"> 3</w:t>
      </w:r>
      <w:r w:rsidRPr="00CB312A">
        <w:rPr>
          <w:rFonts w:ascii="Verdana" w:hAnsi="Verdana" w:cs="Verdana"/>
          <w:sz w:val="20"/>
          <w:szCs w:val="20"/>
        </w:rPr>
        <w:t>–</w:t>
      </w:r>
      <w:r w:rsidRPr="00CB312A">
        <w:rPr>
          <w:rFonts w:ascii="Verdana" w:hAnsi="Verdana"/>
          <w:sz w:val="20"/>
          <w:szCs w:val="20"/>
        </w:rPr>
        <w:t>5 days.</w:t>
      </w:r>
    </w:p>
    <w:p w14:paraId="41849F67" w14:textId="77777777" w:rsidR="00CB312A" w:rsidRPr="00CB312A" w:rsidRDefault="00CB312A" w:rsidP="00CD0202">
      <w:pPr>
        <w:numPr>
          <w:ilvl w:val="0"/>
          <w:numId w:val="23"/>
        </w:numPr>
        <w:rPr>
          <w:rFonts w:ascii="Verdana" w:hAnsi="Verdana"/>
          <w:sz w:val="20"/>
          <w:szCs w:val="20"/>
        </w:rPr>
      </w:pPr>
      <w:r w:rsidRPr="00CB312A">
        <w:rPr>
          <w:rFonts w:ascii="Verdana" w:hAnsi="Verdana"/>
          <w:sz w:val="20"/>
          <w:szCs w:val="20"/>
        </w:rPr>
        <w:t xml:space="preserve">Improve audit readiness </w:t>
      </w:r>
      <w:r w:rsidRPr="00CB312A">
        <w:rPr>
          <w:rFonts w:ascii="Arial" w:hAnsi="Arial" w:cs="Arial"/>
          <w:sz w:val="20"/>
          <w:szCs w:val="20"/>
        </w:rPr>
        <w:t>→</w:t>
      </w:r>
      <w:r w:rsidRPr="00CB312A">
        <w:rPr>
          <w:rFonts w:ascii="Verdana" w:hAnsi="Verdana"/>
          <w:sz w:val="20"/>
          <w:szCs w:val="20"/>
        </w:rPr>
        <w:t xml:space="preserve"> fewer corrections, stronger controls.</w:t>
      </w:r>
    </w:p>
    <w:p w14:paraId="6F0EB6B2" w14:textId="77777777" w:rsidR="007F2C60" w:rsidRDefault="007F2C60" w:rsidP="00096050">
      <w:pPr>
        <w:rPr>
          <w:rFonts w:ascii="Verdana" w:eastAsia="Times New Roman" w:hAnsi="Verdana" w:cs="Arial"/>
          <w:b/>
          <w:bCs/>
          <w:kern w:val="0"/>
          <w:szCs w:val="26"/>
          <w:lang w:val="en-US"/>
          <w14:ligatures w14:val="none"/>
        </w:rPr>
      </w:pPr>
    </w:p>
    <w:p w14:paraId="562515B5" w14:textId="77777777" w:rsidR="00096050" w:rsidRDefault="00096050" w:rsidP="008668DC">
      <w:pPr>
        <w:rPr>
          <w:rFonts w:ascii="Verdana" w:eastAsia="Times New Roman" w:hAnsi="Verdana" w:cs="Arial"/>
          <w:b/>
          <w:bCs/>
          <w:kern w:val="0"/>
          <w:szCs w:val="26"/>
          <w:lang w:val="en-US"/>
          <w14:ligatures w14:val="none"/>
        </w:rPr>
      </w:pPr>
    </w:p>
    <w:p w14:paraId="18DC6C03" w14:textId="77777777" w:rsidR="008668DC" w:rsidRPr="00884802" w:rsidRDefault="008668DC" w:rsidP="008B1F14">
      <w:pPr>
        <w:pStyle w:val="ListParagraph"/>
        <w:rPr>
          <w:lang w:val="en-US"/>
        </w:rPr>
      </w:pPr>
    </w:p>
    <w:p w14:paraId="529E63FB" w14:textId="77777777" w:rsidR="00D367EC" w:rsidRPr="001C2836" w:rsidRDefault="00D367EC" w:rsidP="001C2836">
      <w:pPr>
        <w:rPr>
          <w:lang w:val="en-US"/>
        </w:rPr>
      </w:pPr>
    </w:p>
    <w:p w14:paraId="7C15A6A8" w14:textId="77777777" w:rsidR="00A016C1" w:rsidRPr="00A016C1" w:rsidRDefault="00A016C1" w:rsidP="00A016C1">
      <w:pPr>
        <w:rPr>
          <w:lang w:val="en-US"/>
        </w:rPr>
      </w:pPr>
    </w:p>
    <w:p w14:paraId="3F86D3C5" w14:textId="77777777" w:rsidR="000B17B5" w:rsidRPr="009F43C5" w:rsidRDefault="000B17B5" w:rsidP="009F43C5">
      <w:pPr>
        <w:rPr>
          <w:lang w:val="en-US"/>
        </w:rPr>
      </w:pPr>
    </w:p>
    <w:sectPr w:rsidR="000B17B5" w:rsidRPr="009F43C5" w:rsidSect="00BB540E">
      <w:headerReference w:type="default" r:id="rId11"/>
      <w:footerReference w:type="default" r:id="rId12"/>
      <w:pgSz w:w="11906" w:h="16838"/>
      <w:pgMar w:top="90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F7D9" w14:textId="77777777" w:rsidR="007B650B" w:rsidRDefault="007B650B" w:rsidP="00BB540E">
      <w:pPr>
        <w:spacing w:after="0" w:line="240" w:lineRule="auto"/>
      </w:pPr>
      <w:r>
        <w:separator/>
      </w:r>
    </w:p>
  </w:endnote>
  <w:endnote w:type="continuationSeparator" w:id="0">
    <w:p w14:paraId="10A4FCF0" w14:textId="77777777" w:rsidR="007B650B" w:rsidRDefault="007B650B" w:rsidP="00BB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91273"/>
      <w:docPartObj>
        <w:docPartGallery w:val="Page Numbers (Bottom of Page)"/>
        <w:docPartUnique/>
      </w:docPartObj>
    </w:sdtPr>
    <w:sdtEndPr>
      <w:rPr>
        <w:color w:val="7F7F7F" w:themeColor="background1" w:themeShade="7F"/>
        <w:spacing w:val="60"/>
      </w:rPr>
    </w:sdtEndPr>
    <w:sdtContent>
      <w:p w14:paraId="4FBFAB6A" w14:textId="687827FE" w:rsidR="00BB540E" w:rsidRDefault="00BB54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BB540E">
          <w:rPr>
            <w:color w:val="7F7F7F" w:themeColor="background1" w:themeShade="7F"/>
            <w:spacing w:val="60"/>
          </w:rPr>
          <w:t xml:space="preserve">Finance Master Data </w:t>
        </w:r>
        <w:r w:rsidR="00CB0696">
          <w:rPr>
            <w:color w:val="7F7F7F" w:themeColor="background1" w:themeShade="7F"/>
            <w:spacing w:val="60"/>
          </w:rPr>
          <w:t>–</w:t>
        </w:r>
        <w:r>
          <w:rPr>
            <w:b/>
            <w:bCs/>
          </w:rPr>
          <w:t xml:space="preserve"> </w:t>
        </w:r>
        <w:r w:rsidR="008A19CD">
          <w:rPr>
            <w:color w:val="7F7F7F" w:themeColor="background1" w:themeShade="7F"/>
            <w:spacing w:val="60"/>
          </w:rPr>
          <w:t>Benchmarking Process</w:t>
        </w:r>
      </w:p>
    </w:sdtContent>
  </w:sdt>
  <w:p w14:paraId="7C1B870D" w14:textId="5FC2D058" w:rsidR="00BB540E" w:rsidRDefault="00BB5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4EC4" w14:textId="77777777" w:rsidR="007B650B" w:rsidRDefault="007B650B" w:rsidP="00BB540E">
      <w:pPr>
        <w:spacing w:after="0" w:line="240" w:lineRule="auto"/>
      </w:pPr>
      <w:r>
        <w:separator/>
      </w:r>
    </w:p>
  </w:footnote>
  <w:footnote w:type="continuationSeparator" w:id="0">
    <w:p w14:paraId="0E3C57EF" w14:textId="77777777" w:rsidR="007B650B" w:rsidRDefault="007B650B" w:rsidP="00BB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FBE2" w14:textId="77777777" w:rsidR="00F264AD" w:rsidRDefault="00F264AD">
    <w:pPr>
      <w:pStyle w:val="Header"/>
    </w:pPr>
  </w:p>
  <w:p w14:paraId="1F848ED2" w14:textId="77777777" w:rsidR="00715EAE" w:rsidRDefault="00715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AEF"/>
    <w:multiLevelType w:val="multilevel"/>
    <w:tmpl w:val="57B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F403E"/>
    <w:multiLevelType w:val="multilevel"/>
    <w:tmpl w:val="A88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3673"/>
    <w:multiLevelType w:val="multilevel"/>
    <w:tmpl w:val="214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6AA4"/>
    <w:multiLevelType w:val="multilevel"/>
    <w:tmpl w:val="B0F4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58E8"/>
    <w:multiLevelType w:val="multilevel"/>
    <w:tmpl w:val="07EC5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2CD3"/>
    <w:multiLevelType w:val="multilevel"/>
    <w:tmpl w:val="AE2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10395"/>
    <w:multiLevelType w:val="multilevel"/>
    <w:tmpl w:val="49E06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60EA3"/>
    <w:multiLevelType w:val="multilevel"/>
    <w:tmpl w:val="5DA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27098"/>
    <w:multiLevelType w:val="multilevel"/>
    <w:tmpl w:val="ABF6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A5B41"/>
    <w:multiLevelType w:val="multilevel"/>
    <w:tmpl w:val="35CA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C6EE0"/>
    <w:multiLevelType w:val="multilevel"/>
    <w:tmpl w:val="D1C28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8623A3"/>
    <w:multiLevelType w:val="multilevel"/>
    <w:tmpl w:val="ADC8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C05E0"/>
    <w:multiLevelType w:val="multilevel"/>
    <w:tmpl w:val="38E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7506F"/>
    <w:multiLevelType w:val="hybridMultilevel"/>
    <w:tmpl w:val="F678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5A338C"/>
    <w:multiLevelType w:val="multilevel"/>
    <w:tmpl w:val="8A5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D2F01"/>
    <w:multiLevelType w:val="multilevel"/>
    <w:tmpl w:val="E26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B5C97"/>
    <w:multiLevelType w:val="multilevel"/>
    <w:tmpl w:val="B25E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056AC"/>
    <w:multiLevelType w:val="multilevel"/>
    <w:tmpl w:val="846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01DD7"/>
    <w:multiLevelType w:val="multilevel"/>
    <w:tmpl w:val="09A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A761B"/>
    <w:multiLevelType w:val="multilevel"/>
    <w:tmpl w:val="D1C28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8108B"/>
    <w:multiLevelType w:val="multilevel"/>
    <w:tmpl w:val="C054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E72D9"/>
    <w:multiLevelType w:val="multilevel"/>
    <w:tmpl w:val="6870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C688F"/>
    <w:multiLevelType w:val="multilevel"/>
    <w:tmpl w:val="FA5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421933">
    <w:abstractNumId w:val="18"/>
  </w:num>
  <w:num w:numId="2" w16cid:durableId="1692609663">
    <w:abstractNumId w:val="10"/>
  </w:num>
  <w:num w:numId="3" w16cid:durableId="677003540">
    <w:abstractNumId w:val="19"/>
  </w:num>
  <w:num w:numId="4" w16cid:durableId="1596858731">
    <w:abstractNumId w:val="9"/>
  </w:num>
  <w:num w:numId="5" w16cid:durableId="918712346">
    <w:abstractNumId w:val="13"/>
  </w:num>
  <w:num w:numId="6" w16cid:durableId="81490273">
    <w:abstractNumId w:val="12"/>
  </w:num>
  <w:num w:numId="7" w16cid:durableId="294484820">
    <w:abstractNumId w:val="21"/>
  </w:num>
  <w:num w:numId="8" w16cid:durableId="1226187018">
    <w:abstractNumId w:val="5"/>
  </w:num>
  <w:num w:numId="9" w16cid:durableId="2124155956">
    <w:abstractNumId w:val="8"/>
  </w:num>
  <w:num w:numId="10" w16cid:durableId="31226726">
    <w:abstractNumId w:val="11"/>
  </w:num>
  <w:num w:numId="11" w16cid:durableId="330260818">
    <w:abstractNumId w:val="2"/>
  </w:num>
  <w:num w:numId="12" w16cid:durableId="841941792">
    <w:abstractNumId w:val="0"/>
  </w:num>
  <w:num w:numId="13" w16cid:durableId="1095244271">
    <w:abstractNumId w:val="1"/>
  </w:num>
  <w:num w:numId="14" w16cid:durableId="217476239">
    <w:abstractNumId w:val="3"/>
  </w:num>
  <w:num w:numId="15" w16cid:durableId="1431969162">
    <w:abstractNumId w:val="22"/>
  </w:num>
  <w:num w:numId="16" w16cid:durableId="437260000">
    <w:abstractNumId w:val="15"/>
  </w:num>
  <w:num w:numId="17" w16cid:durableId="573202064">
    <w:abstractNumId w:val="17"/>
  </w:num>
  <w:num w:numId="18" w16cid:durableId="151527259">
    <w:abstractNumId w:val="20"/>
  </w:num>
  <w:num w:numId="19" w16cid:durableId="1503666045">
    <w:abstractNumId w:val="6"/>
  </w:num>
  <w:num w:numId="20" w16cid:durableId="2087728076">
    <w:abstractNumId w:val="7"/>
  </w:num>
  <w:num w:numId="21" w16cid:durableId="2120488144">
    <w:abstractNumId w:val="16"/>
  </w:num>
  <w:num w:numId="22" w16cid:durableId="1614288208">
    <w:abstractNumId w:val="4"/>
  </w:num>
  <w:num w:numId="23" w16cid:durableId="1833713721">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65"/>
    <w:rsid w:val="000110D7"/>
    <w:rsid w:val="00011889"/>
    <w:rsid w:val="000206AE"/>
    <w:rsid w:val="00033ACE"/>
    <w:rsid w:val="000541F8"/>
    <w:rsid w:val="0007581C"/>
    <w:rsid w:val="000816AD"/>
    <w:rsid w:val="00096050"/>
    <w:rsid w:val="000B17B5"/>
    <w:rsid w:val="000E1F65"/>
    <w:rsid w:val="000E4DB6"/>
    <w:rsid w:val="000F79F2"/>
    <w:rsid w:val="001A4666"/>
    <w:rsid w:val="001C2836"/>
    <w:rsid w:val="001D3213"/>
    <w:rsid w:val="001D4147"/>
    <w:rsid w:val="002065C4"/>
    <w:rsid w:val="00213384"/>
    <w:rsid w:val="00232AD6"/>
    <w:rsid w:val="00245E75"/>
    <w:rsid w:val="002570D4"/>
    <w:rsid w:val="00280279"/>
    <w:rsid w:val="0029213D"/>
    <w:rsid w:val="002A0B62"/>
    <w:rsid w:val="002A2BE6"/>
    <w:rsid w:val="002A3936"/>
    <w:rsid w:val="002C4701"/>
    <w:rsid w:val="0032018D"/>
    <w:rsid w:val="00370A44"/>
    <w:rsid w:val="003C5F52"/>
    <w:rsid w:val="003D2E3B"/>
    <w:rsid w:val="00400EC1"/>
    <w:rsid w:val="004139D6"/>
    <w:rsid w:val="00415DE5"/>
    <w:rsid w:val="00424889"/>
    <w:rsid w:val="00431114"/>
    <w:rsid w:val="00465AAF"/>
    <w:rsid w:val="0048779F"/>
    <w:rsid w:val="004A3040"/>
    <w:rsid w:val="004D127D"/>
    <w:rsid w:val="004D420F"/>
    <w:rsid w:val="00523EB5"/>
    <w:rsid w:val="00525625"/>
    <w:rsid w:val="005454EC"/>
    <w:rsid w:val="0056552D"/>
    <w:rsid w:val="0058172D"/>
    <w:rsid w:val="0059034D"/>
    <w:rsid w:val="005A13EA"/>
    <w:rsid w:val="005B4EFD"/>
    <w:rsid w:val="005F1C89"/>
    <w:rsid w:val="0061677E"/>
    <w:rsid w:val="0062353D"/>
    <w:rsid w:val="006263CD"/>
    <w:rsid w:val="00642BB4"/>
    <w:rsid w:val="00656484"/>
    <w:rsid w:val="006A1C2F"/>
    <w:rsid w:val="006E15C5"/>
    <w:rsid w:val="006E4F7E"/>
    <w:rsid w:val="006F1585"/>
    <w:rsid w:val="0070230A"/>
    <w:rsid w:val="00715EAE"/>
    <w:rsid w:val="00730D09"/>
    <w:rsid w:val="00746A95"/>
    <w:rsid w:val="007967D8"/>
    <w:rsid w:val="007B650B"/>
    <w:rsid w:val="007D6EFD"/>
    <w:rsid w:val="007E2A53"/>
    <w:rsid w:val="007E40B9"/>
    <w:rsid w:val="007E67F2"/>
    <w:rsid w:val="007F2C60"/>
    <w:rsid w:val="00800A0D"/>
    <w:rsid w:val="00820307"/>
    <w:rsid w:val="00824E7B"/>
    <w:rsid w:val="00834910"/>
    <w:rsid w:val="00846260"/>
    <w:rsid w:val="00850716"/>
    <w:rsid w:val="008558D6"/>
    <w:rsid w:val="008570BF"/>
    <w:rsid w:val="008668DC"/>
    <w:rsid w:val="00867363"/>
    <w:rsid w:val="00884802"/>
    <w:rsid w:val="00896BD2"/>
    <w:rsid w:val="008A19CD"/>
    <w:rsid w:val="008A5915"/>
    <w:rsid w:val="008B1F14"/>
    <w:rsid w:val="008C1496"/>
    <w:rsid w:val="008D1749"/>
    <w:rsid w:val="00940B05"/>
    <w:rsid w:val="0094174B"/>
    <w:rsid w:val="00962C2E"/>
    <w:rsid w:val="00973DE8"/>
    <w:rsid w:val="00993D40"/>
    <w:rsid w:val="009A4C26"/>
    <w:rsid w:val="009C5950"/>
    <w:rsid w:val="009D0A2E"/>
    <w:rsid w:val="009D74F0"/>
    <w:rsid w:val="009E2CCE"/>
    <w:rsid w:val="009E4555"/>
    <w:rsid w:val="009F1274"/>
    <w:rsid w:val="009F43C5"/>
    <w:rsid w:val="00A016C1"/>
    <w:rsid w:val="00A12358"/>
    <w:rsid w:val="00A41220"/>
    <w:rsid w:val="00A66F8A"/>
    <w:rsid w:val="00A66F97"/>
    <w:rsid w:val="00AA0081"/>
    <w:rsid w:val="00AD13A8"/>
    <w:rsid w:val="00AE7528"/>
    <w:rsid w:val="00AF332A"/>
    <w:rsid w:val="00B21BBA"/>
    <w:rsid w:val="00B309BD"/>
    <w:rsid w:val="00B35AFB"/>
    <w:rsid w:val="00B56A76"/>
    <w:rsid w:val="00B624A5"/>
    <w:rsid w:val="00B82A1D"/>
    <w:rsid w:val="00B86DD1"/>
    <w:rsid w:val="00B87F67"/>
    <w:rsid w:val="00B97833"/>
    <w:rsid w:val="00BB540E"/>
    <w:rsid w:val="00C21E19"/>
    <w:rsid w:val="00C749DB"/>
    <w:rsid w:val="00C8295A"/>
    <w:rsid w:val="00C92A09"/>
    <w:rsid w:val="00C96D8B"/>
    <w:rsid w:val="00CA052E"/>
    <w:rsid w:val="00CB0696"/>
    <w:rsid w:val="00CB312A"/>
    <w:rsid w:val="00CD0202"/>
    <w:rsid w:val="00CD0AC0"/>
    <w:rsid w:val="00CD0D6F"/>
    <w:rsid w:val="00CD2FDF"/>
    <w:rsid w:val="00D01564"/>
    <w:rsid w:val="00D049C3"/>
    <w:rsid w:val="00D25E43"/>
    <w:rsid w:val="00D367EC"/>
    <w:rsid w:val="00D738F0"/>
    <w:rsid w:val="00D73EC7"/>
    <w:rsid w:val="00D800E3"/>
    <w:rsid w:val="00E00BC5"/>
    <w:rsid w:val="00E06EDA"/>
    <w:rsid w:val="00E63633"/>
    <w:rsid w:val="00E86FAA"/>
    <w:rsid w:val="00E97058"/>
    <w:rsid w:val="00EC2997"/>
    <w:rsid w:val="00EC2FA4"/>
    <w:rsid w:val="00F16647"/>
    <w:rsid w:val="00F20701"/>
    <w:rsid w:val="00F264AD"/>
    <w:rsid w:val="00F42B38"/>
    <w:rsid w:val="00FA6B60"/>
    <w:rsid w:val="00FB0518"/>
    <w:rsid w:val="00FD6B27"/>
    <w:rsid w:val="00FE2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901C"/>
  <w15:chartTrackingRefBased/>
  <w15:docId w15:val="{CEF20ECF-6A21-42D9-B39E-8A5A48D6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E1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0E1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F65"/>
    <w:rPr>
      <w:rFonts w:eastAsiaTheme="majorEastAsia" w:cstheme="majorBidi"/>
      <w:color w:val="272727" w:themeColor="text1" w:themeTint="D8"/>
    </w:rPr>
  </w:style>
  <w:style w:type="paragraph" w:styleId="Title">
    <w:name w:val="Title"/>
    <w:basedOn w:val="Normal"/>
    <w:next w:val="Normal"/>
    <w:link w:val="TitleChar"/>
    <w:uiPriority w:val="10"/>
    <w:qFormat/>
    <w:rsid w:val="000E1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F65"/>
    <w:pPr>
      <w:spacing w:before="160"/>
      <w:jc w:val="center"/>
    </w:pPr>
    <w:rPr>
      <w:i/>
      <w:iCs/>
      <w:color w:val="404040" w:themeColor="text1" w:themeTint="BF"/>
    </w:rPr>
  </w:style>
  <w:style w:type="character" w:customStyle="1" w:styleId="QuoteChar">
    <w:name w:val="Quote Char"/>
    <w:basedOn w:val="DefaultParagraphFont"/>
    <w:link w:val="Quote"/>
    <w:uiPriority w:val="29"/>
    <w:rsid w:val="000E1F65"/>
    <w:rPr>
      <w:i/>
      <w:iCs/>
      <w:color w:val="404040" w:themeColor="text1" w:themeTint="BF"/>
    </w:rPr>
  </w:style>
  <w:style w:type="paragraph" w:styleId="ListParagraph">
    <w:name w:val="List Paragraph"/>
    <w:basedOn w:val="Normal"/>
    <w:uiPriority w:val="34"/>
    <w:qFormat/>
    <w:rsid w:val="000E1F65"/>
    <w:pPr>
      <w:ind w:left="720"/>
      <w:contextualSpacing/>
    </w:pPr>
  </w:style>
  <w:style w:type="character" w:styleId="IntenseEmphasis">
    <w:name w:val="Intense Emphasis"/>
    <w:basedOn w:val="DefaultParagraphFont"/>
    <w:uiPriority w:val="21"/>
    <w:qFormat/>
    <w:rsid w:val="000E1F65"/>
    <w:rPr>
      <w:i/>
      <w:iCs/>
      <w:color w:val="2F5496" w:themeColor="accent1" w:themeShade="BF"/>
    </w:rPr>
  </w:style>
  <w:style w:type="paragraph" w:styleId="IntenseQuote">
    <w:name w:val="Intense Quote"/>
    <w:basedOn w:val="Normal"/>
    <w:next w:val="Normal"/>
    <w:link w:val="IntenseQuoteChar"/>
    <w:uiPriority w:val="30"/>
    <w:qFormat/>
    <w:rsid w:val="000E1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F65"/>
    <w:rPr>
      <w:i/>
      <w:iCs/>
      <w:color w:val="2F5496" w:themeColor="accent1" w:themeShade="BF"/>
    </w:rPr>
  </w:style>
  <w:style w:type="character" w:styleId="IntenseReference">
    <w:name w:val="Intense Reference"/>
    <w:basedOn w:val="DefaultParagraphFont"/>
    <w:uiPriority w:val="32"/>
    <w:qFormat/>
    <w:rsid w:val="000E1F65"/>
    <w:rPr>
      <w:b/>
      <w:bCs/>
      <w:smallCaps/>
      <w:color w:val="2F5496" w:themeColor="accent1" w:themeShade="BF"/>
      <w:spacing w:val="5"/>
    </w:rPr>
  </w:style>
  <w:style w:type="table" w:styleId="GridTable5Dark">
    <w:name w:val="Grid Table 5 Dark"/>
    <w:basedOn w:val="TableNormal"/>
    <w:uiPriority w:val="50"/>
    <w:rsid w:val="00820307"/>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Accent1">
    <w:name w:val="List Table 3 Accent 1"/>
    <w:basedOn w:val="TableNormal"/>
    <w:uiPriority w:val="48"/>
    <w:rsid w:val="00820307"/>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82030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AF332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D13A8"/>
    <w:pPr>
      <w:tabs>
        <w:tab w:val="left" w:pos="720"/>
        <w:tab w:val="right" w:leader="dot" w:pos="9016"/>
      </w:tabs>
      <w:spacing w:after="100"/>
    </w:pPr>
    <w:rPr>
      <w:rFonts w:ascii="Verdana" w:eastAsia="Times New Roman" w:hAnsi="Verdana" w:cs="Arial"/>
      <w:b/>
      <w:bCs/>
      <w:noProof/>
      <w:kern w:val="0"/>
      <w:sz w:val="20"/>
      <w:szCs w:val="20"/>
      <w:lang w:val="en-US"/>
      <w14:ligatures w14:val="none"/>
    </w:rPr>
  </w:style>
  <w:style w:type="paragraph" w:styleId="TOC3">
    <w:name w:val="toc 3"/>
    <w:basedOn w:val="Normal"/>
    <w:next w:val="Normal"/>
    <w:autoRedefine/>
    <w:uiPriority w:val="39"/>
    <w:unhideWhenUsed/>
    <w:rsid w:val="00AF332A"/>
    <w:pPr>
      <w:spacing w:after="100"/>
      <w:ind w:left="440"/>
    </w:pPr>
  </w:style>
  <w:style w:type="character" w:styleId="Hyperlink">
    <w:name w:val="Hyperlink"/>
    <w:basedOn w:val="DefaultParagraphFont"/>
    <w:uiPriority w:val="99"/>
    <w:unhideWhenUsed/>
    <w:rsid w:val="00AF332A"/>
    <w:rPr>
      <w:color w:val="0563C1" w:themeColor="hyperlink"/>
      <w:u w:val="single"/>
    </w:rPr>
  </w:style>
  <w:style w:type="table" w:styleId="GridTable4-Accent3">
    <w:name w:val="Grid Table 4 Accent 3"/>
    <w:basedOn w:val="TableNormal"/>
    <w:uiPriority w:val="49"/>
    <w:rsid w:val="00CD0AC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BB5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0E"/>
  </w:style>
  <w:style w:type="paragraph" w:styleId="Footer">
    <w:name w:val="footer"/>
    <w:basedOn w:val="Normal"/>
    <w:link w:val="FooterChar"/>
    <w:uiPriority w:val="99"/>
    <w:unhideWhenUsed/>
    <w:rsid w:val="00BB5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A100C-872E-42B3-867D-8A9D29FE8A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3BB231-39A2-4A04-A55A-D1F2AAA602F4}">
  <ds:schemaRefs>
    <ds:schemaRef ds:uri="http://schemas.microsoft.com/sharepoint/v3/contenttype/forms"/>
  </ds:schemaRefs>
</ds:datastoreItem>
</file>

<file path=customXml/itemProps3.xml><?xml version="1.0" encoding="utf-8"?>
<ds:datastoreItem xmlns:ds="http://schemas.openxmlformats.org/officeDocument/2006/customXml" ds:itemID="{BEEEEE7B-E527-45D3-9FA2-C1BC3B08D8ED}"/>
</file>

<file path=customXml/itemProps4.xml><?xml version="1.0" encoding="utf-8"?>
<ds:datastoreItem xmlns:ds="http://schemas.openxmlformats.org/officeDocument/2006/customXml" ds:itemID="{E610901E-AE51-4658-A958-64595B871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1713</Words>
  <Characters>10351</Characters>
  <Application>Microsoft Office Word</Application>
  <DocSecurity>0</DocSecurity>
  <Lines>575</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Vidur Sharma</cp:lastModifiedBy>
  <cp:revision>133</cp:revision>
  <dcterms:created xsi:type="dcterms:W3CDTF">2025-08-19T11:57:00Z</dcterms:created>
  <dcterms:modified xsi:type="dcterms:W3CDTF">2025-12-10T10:23:00Z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