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6"/>
          <w:szCs w:val="56"/>
        </w:rPr>
        <w:t xml:space="preserve">Kubernetes Services</w:t>
      </w:r>
    </w:p>
    <w:p>
      <w:pPr>
        <w:spacing w:after="80" w:before="0"/>
        <w:jc w:val="center"/>
      </w:pPr>
      <w:r>
        <w:rPr>
          <w:rFonts w:ascii="Arial" w:cs="Arial" w:eastAsia="Arial" w:hAnsi="Arial"/>
          <w:i/>
          <w:iCs/>
          <w:color w:val="666666"/>
          <w:sz w:val="28"/>
          <w:szCs w:val="28"/>
        </w:rPr>
        <w:t xml:space="preserve">A Visual Reference Guide</w:t>
      </w:r>
    </w:p>
    <w:p>
      <w:pPr>
        <w:spacing w:after="480" w:before="0"/>
        <w:jc w:val="center"/>
      </w:pPr>
      <w:r>
        <w:rPr>
          <w:rFonts w:ascii="Arial" w:cs="Arial" w:eastAsia="Arial" w:hAnsi="Arial"/>
          <w:color w:val="999999"/>
          <w:sz w:val="20"/>
          <w:szCs w:val="20"/>
        </w:rPr>
        <w:t xml:space="preserve">Pods  •  Services  •  ClusterIP  •  NodePort  •  LoadBalancer</w:t>
      </w:r>
    </w:p>
    <w:p>
      <w:pPr>
        <w:pBdr>
          <w:bottom w:val="single" w:color="D9D9D9" w:sz="4" w:space="1"/>
        </w:pBdr>
        <w:spacing w:after="160" w:before="16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01 — Pods: The Smallest Deployable Units</w:t>
      </w:r>
    </w:p>
    <w:p>
      <w:pPr>
        <w:spacing w:after="0" w:before="80"/>
      </w:pPr>
      <w:r>
        <w:t xml:space="preserve"/>
      </w:r>
    </w:p>
    <w:p>
      <w:pPr>
        <w:spacing w:after="80" w:before="80" w:line="276"/>
        <w:jc w:val="left"/>
      </w:pPr>
      <w:r>
        <w:rPr>
          <w:rFonts w:ascii="Arial" w:cs="Arial" w:eastAsia="Arial" w:hAnsi="Arial"/>
          <w:color w:val="404040"/>
          <w:sz w:val="22"/>
          <w:szCs w:val="22"/>
        </w:rPr>
        <w:t xml:space="preserve">Everything you run on Kubernetes lives inside a </w:t>
      </w:r>
      <w:r>
        <w:rPr>
          <w:rFonts w:ascii="Arial" w:cs="Arial" w:eastAsia="Arial" w:hAnsi="Arial"/>
          <w:b/>
          <w:bCs/>
          <w:color w:val="404040"/>
          <w:sz w:val="22"/>
          <w:szCs w:val="22"/>
        </w:rPr>
        <w:t xml:space="preserve">pod</w:t>
      </w:r>
      <w:r>
        <w:rPr>
          <w:rFonts w:ascii="Arial" w:cs="Arial" w:eastAsia="Arial" w:hAnsi="Arial"/>
          <w:color w:val="404040"/>
          <w:sz w:val="22"/>
          <w:szCs w:val="22"/>
        </w:rPr>
        <w:t xml:space="preserve">. Pods are the fundamental unit of deployment — if you want to run something on Kubernetes, you need to create a pod and place the application in it.</w:t>
      </w:r>
    </w:p>
    <w:p>
      <w:pPr>
        <w:spacing w:after="0" w:before="60"/>
      </w:pPr>
      <w:r>
        <w:t xml:space="preserve"/>
      </w:r>
    </w:p>
    <w:p>
      <w:pPr>
        <w:spacing w:after="80" w:before="80" w:line="276"/>
        <w:jc w:val="left"/>
      </w:pPr>
      <w:r>
        <w:rPr>
          <w:rFonts w:ascii="Arial" w:cs="Arial" w:eastAsia="Arial" w:hAnsi="Arial"/>
          <w:color w:val="404040"/>
          <w:sz w:val="22"/>
          <w:szCs w:val="22"/>
        </w:rPr>
        <w:t xml:space="preserve">Pods are </w:t>
      </w:r>
      <w:r>
        <w:rPr>
          <w:rFonts w:ascii="Arial" w:cs="Arial" w:eastAsia="Arial" w:hAnsi="Arial"/>
          <w:b/>
          <w:bCs/>
          <w:color w:val="404040"/>
          <w:sz w:val="22"/>
          <w:szCs w:val="22"/>
        </w:rPr>
        <w:t xml:space="preserve">ephemeral</w:t>
      </w:r>
      <w:r>
        <w:rPr>
          <w:rFonts w:ascii="Arial" w:cs="Arial" w:eastAsia="Arial" w:hAnsi="Arial"/>
          <w:color w:val="404040"/>
          <w:sz w:val="22"/>
          <w:szCs w:val="22"/>
        </w:rPr>
        <w:t xml:space="preserve"> by nature, which means they can be created and killed at any time to match the desired cluster state declared by Deployments.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7B5800"/>
                <w:sz w:val="20"/>
                <w:szCs w:val="20"/>
              </w:rPr>
              <w:t xml:space="preserve">⚠ Problem</w:t>
            </w:r>
          </w:p>
        </w:tc>
        <w:tc>
          <w:tcPr>
            <w:tcW w:type="dxa" w:w="8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line="276"/>
              <w:jc w:val="left"/>
            </w:pPr>
            <w:r>
              <w:rPr>
                <w:rFonts w:ascii="Arial" w:cs="Arial" w:eastAsia="Arial" w:hAnsi="Arial"/>
                <w:color w:val="404040"/>
                <w:sz w:val="22"/>
                <w:szCs w:val="22"/>
              </w:rPr>
              <w:t xml:space="preserve">Each pod gets its own IP address — but these IPs change constantly as pods come and go. A front-end service cannot hardcode the IP of a back-end pod that might be replaced at any moment.</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02 — Services: Stable Abstraction Over Pods</w:t>
      </w:r>
    </w:p>
    <w:p>
      <w:pPr>
        <w:spacing w:after="0" w:before="80"/>
      </w:pPr>
      <w:r>
        <w:t xml:space="preserve"/>
      </w:r>
    </w:p>
    <w:p>
      <w:pPr>
        <w:spacing w:after="80" w:before="80" w:line="276"/>
        <w:jc w:val="left"/>
      </w:pPr>
      <w:r>
        <w:rPr>
          <w:rFonts w:ascii="Arial" w:cs="Arial" w:eastAsia="Arial" w:hAnsi="Arial"/>
          <w:color w:val="404040"/>
          <w:sz w:val="22"/>
          <w:szCs w:val="22"/>
        </w:rPr>
        <w:t xml:space="preserve">A </w:t>
      </w:r>
      <w:r>
        <w:rPr>
          <w:rFonts w:ascii="Arial" w:cs="Arial" w:eastAsia="Arial" w:hAnsi="Arial"/>
          <w:b/>
          <w:bCs/>
          <w:color w:val="404040"/>
          <w:sz w:val="22"/>
          <w:szCs w:val="22"/>
        </w:rPr>
        <w:t xml:space="preserve">Service</w:t>
      </w:r>
      <w:r>
        <w:rPr>
          <w:rFonts w:ascii="Arial" w:cs="Arial" w:eastAsia="Arial" w:hAnsi="Arial"/>
          <w:color w:val="404040"/>
          <w:sz w:val="22"/>
          <w:szCs w:val="22"/>
        </w:rPr>
        <w:t xml:space="preserve"> solves the IP problem. It gets its own stable IP address and DNS name, and uses </w:t>
      </w:r>
      <w:r>
        <w:rPr>
          <w:rFonts w:ascii="Arial" w:cs="Arial" w:eastAsia="Arial" w:hAnsi="Arial"/>
          <w:b/>
          <w:bCs/>
          <w:color w:val="404040"/>
          <w:sz w:val="22"/>
          <w:szCs w:val="22"/>
        </w:rPr>
        <w:t xml:space="preserve">label selectors</w:t>
      </w:r>
      <w:r>
        <w:rPr>
          <w:rFonts w:ascii="Arial" w:cs="Arial" w:eastAsia="Arial" w:hAnsi="Arial"/>
          <w:color w:val="404040"/>
          <w:sz w:val="22"/>
          <w:szCs w:val="22"/>
        </w:rPr>
        <w:t xml:space="preserve"> to find the right pods in a large pool — automatically routing traffic to them even as pods are replaced.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top"/>
          </w:tcPr>
          <w:p>
            <w:pPr>
              <w:spacing w:after="40" w:before="80"/>
              <w:jc w:val="center"/>
            </w:pPr>
            <w:r>
              <w:rPr>
                <w:rFonts w:ascii="Arial" w:cs="Arial" w:eastAsia="Arial" w:hAnsi="Arial"/>
                <w:b/>
                <w:bCs/>
                <w:color w:val="2E75B6"/>
                <w:sz w:val="20"/>
                <w:szCs w:val="20"/>
              </w:rPr>
              <w:t xml:space="preserve">Frontend Pod  →  backend-service (stable IP)  →  backend-pod-a / pod-b / pod-c</w:t>
            </w:r>
          </w:p>
          <w:p>
            <w:pPr>
              <w:spacing w:after="80" w:before="0"/>
              <w:jc w:val="center"/>
            </w:pPr>
            <w:r>
              <w:rPr>
                <w:rFonts w:ascii="Arial" w:cs="Arial" w:eastAsia="Arial" w:hAnsi="Arial"/>
                <w:i/>
                <w:iCs/>
                <w:color w:val="666666"/>
                <w:sz w:val="18"/>
                <w:szCs w:val="18"/>
              </w:rPr>
              <w:t xml:space="preserve">The service IP never changes, even as backend pods are created or replaced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D6ECD9" w:val="clear"/>
            <w:tcMar>
              <w:top w:type="dxa" w:w="100"/>
              <w:left w:type="dxa" w:w="140"/>
              <w:bottom w:type="dxa" w:w="100"/>
              <w:right w:type="dxa" w:w="140"/>
            </w:tcMar>
            <w:vAlign w:val="center"/>
          </w:tcPr>
          <w:p>
            <w:pPr>
              <w:jc w:val="center"/>
            </w:pPr>
            <w:r>
              <w:rPr>
                <w:rFonts w:ascii="Arial" w:cs="Arial" w:eastAsia="Arial" w:hAnsi="Arial"/>
                <w:b/>
                <w:bCs/>
                <w:color w:val="1D6A3E"/>
                <w:sz w:val="20"/>
                <w:szCs w:val="20"/>
              </w:rPr>
              <w:t xml:space="preserve">✔ Solution</w:t>
            </w:r>
          </w:p>
        </w:tc>
        <w:tc>
          <w:tcPr>
            <w:tcW w:type="dxa" w:w="8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80" w:before="80" w:line="276"/>
              <w:jc w:val="left"/>
            </w:pPr>
            <w:r>
              <w:rPr>
                <w:rFonts w:ascii="Arial" w:cs="Arial" w:eastAsia="Arial" w:hAnsi="Arial"/>
                <w:color w:val="404040"/>
                <w:sz w:val="22"/>
                <w:szCs w:val="22"/>
              </w:rPr>
              <w:t xml:space="preserve">Services are an abstraction that determines which pods to connect to and the policy on how to connect them. Pods have labels on them so that a service can select them from a large pool.</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03 — How Services Find Pods: Labels &amp; Selectors</w:t>
      </w:r>
    </w:p>
    <w:p>
      <w:pPr>
        <w:spacing w:after="0" w:before="80"/>
      </w:pPr>
      <w:r>
        <w:t xml:space="preserve"/>
      </w:r>
    </w:p>
    <w:p>
      <w:pPr>
        <w:spacing w:after="80" w:before="80" w:line="276"/>
        <w:jc w:val="left"/>
      </w:pPr>
      <w:r>
        <w:rPr>
          <w:rFonts w:ascii="Arial" w:cs="Arial" w:eastAsia="Arial" w:hAnsi="Arial"/>
          <w:color w:val="404040"/>
          <w:sz w:val="22"/>
          <w:szCs w:val="22"/>
        </w:rPr>
        <w:t xml:space="preserve">Pods carry </w:t>
      </w:r>
      <w:r>
        <w:rPr>
          <w:rFonts w:ascii="Arial" w:cs="Arial" w:eastAsia="Arial" w:hAnsi="Arial"/>
          <w:b/>
          <w:bCs/>
          <w:color w:val="404040"/>
          <w:sz w:val="22"/>
          <w:szCs w:val="22"/>
        </w:rPr>
        <w:t xml:space="preserve">labels</w:t>
      </w:r>
      <w:r>
        <w:rPr>
          <w:rFonts w:ascii="Arial" w:cs="Arial" w:eastAsia="Arial" w:hAnsi="Arial"/>
          <w:color w:val="404040"/>
          <w:sz w:val="22"/>
          <w:szCs w:val="22"/>
        </w:rPr>
        <w:t xml:space="preserve"> — key/value pairs attached to their metadata. A service uses a </w:t>
      </w:r>
      <w:r>
        <w:rPr>
          <w:rFonts w:ascii="Arial" w:cs="Arial" w:eastAsia="Arial" w:hAnsi="Arial"/>
          <w:b/>
          <w:bCs/>
          <w:color w:val="404040"/>
          <w:sz w:val="22"/>
          <w:szCs w:val="22"/>
        </w:rPr>
        <w:t xml:space="preserve">selector</w:t>
      </w:r>
      <w:r>
        <w:rPr>
          <w:rFonts w:ascii="Arial" w:cs="Arial" w:eastAsia="Arial" w:hAnsi="Arial"/>
          <w:color w:val="404040"/>
          <w:sz w:val="22"/>
          <w:szCs w:val="22"/>
        </w:rPr>
        <w:t xml:space="preserve"> to watch for pods matching those labels, automatically updating its routing table as pods appear and disappear.</w:t>
      </w:r>
    </w:p>
    <w:p>
      <w:pPr>
        <w:spacing w:after="0" w:before="80"/>
      </w:pPr>
      <w:r>
        <w:t xml:space="preserve"/>
      </w:r>
    </w:p>
    <w:p>
      <w:pPr>
        <w:spacing w:after="80" w:before="200"/>
      </w:pPr>
      <w:r>
        <w:rPr>
          <w:rFonts w:ascii="Arial" w:cs="Arial" w:eastAsia="Arial" w:hAnsi="Arial"/>
          <w:b/>
          <w:bCs/>
          <w:color w:val="404040"/>
          <w:sz w:val="24"/>
          <w:szCs w:val="24"/>
        </w:rPr>
        <w:t xml:space="preserve">Example: Label &amp;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spacing w:after="60" w:before="40"/>
            </w:pPr>
            <w:r>
              <w:rPr>
                <w:rFonts w:ascii="Arial" w:cs="Arial" w:eastAsia="Arial" w:hAnsi="Arial"/>
                <w:b/>
                <w:bCs/>
                <w:color w:val="FFFFFF"/>
                <w:sz w:val="20"/>
                <w:szCs w:val="20"/>
              </w:rPr>
              <w:t xml:space="preserve">Pod Definition (label)</w:t>
            </w:r>
          </w:p>
        </w:tc>
        <w:tc>
          <w:tcPr>
            <w:tcW w:type="dxa" w:w="468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spacing w:after="60" w:before="40"/>
            </w:pPr>
            <w:r>
              <w:rPr>
                <w:rFonts w:ascii="Arial" w:cs="Arial" w:eastAsia="Arial" w:hAnsi="Arial"/>
                <w:b/>
                <w:bCs/>
                <w:color w:val="FFFFFF"/>
                <w:sz w:val="20"/>
                <w:szCs w:val="20"/>
              </w:rPr>
              <w:t xml:space="preserve">Service Selector</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20" w:before="40"/>
            </w:pPr>
            <w:r>
              <w:rPr>
                <w:rFonts w:ascii="Courier New" w:cs="Courier New" w:eastAsia="Courier New" w:hAnsi="Courier New"/>
                <w:color w:val="404040"/>
                <w:sz w:val="20"/>
                <w:szCs w:val="20"/>
              </w:rPr>
              <w:t xml:space="preserve">metadata:</w:t>
            </w:r>
          </w:p>
          <w:p>
            <w:pPr>
              <w:spacing w:after="20" w:before="0"/>
            </w:pPr>
            <w:r>
              <w:rPr>
                <w:rFonts w:ascii="Courier New" w:cs="Courier New" w:eastAsia="Courier New" w:hAnsi="Courier New"/>
                <w:color w:val="404040"/>
                <w:sz w:val="20"/>
                <w:szCs w:val="20"/>
              </w:rPr>
              <w:t xml:space="preserve">  labels:</w:t>
            </w:r>
          </w:p>
          <w:p>
            <w:pPr>
              <w:spacing w:after="60" w:before="0"/>
            </w:pPr>
            <w:r>
              <w:rPr>
                <w:rFonts w:ascii="Courier New" w:cs="Courier New" w:eastAsia="Courier New" w:hAnsi="Courier New"/>
                <w:b/>
                <w:bCs/>
                <w:color w:val="1D6A3E"/>
                <w:sz w:val="20"/>
                <w:szCs w:val="20"/>
              </w:rPr>
              <w:t xml:space="preserve">    app: backend</w:t>
            </w:r>
          </w:p>
        </w:tc>
        <w:tc>
          <w:tcPr>
            <w:tcW w:type="dxa" w:w="468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20" w:before="40"/>
            </w:pPr>
            <w:r>
              <w:rPr>
                <w:rFonts w:ascii="Courier New" w:cs="Courier New" w:eastAsia="Courier New" w:hAnsi="Courier New"/>
                <w:color w:val="404040"/>
                <w:sz w:val="20"/>
                <w:szCs w:val="20"/>
              </w:rPr>
              <w:t xml:space="preserve">spec:</w:t>
            </w:r>
          </w:p>
          <w:p>
            <w:pPr>
              <w:spacing w:after="20" w:before="0"/>
            </w:pPr>
            <w:r>
              <w:rPr>
                <w:rFonts w:ascii="Courier New" w:cs="Courier New" w:eastAsia="Courier New" w:hAnsi="Courier New"/>
                <w:color w:val="404040"/>
                <w:sz w:val="20"/>
                <w:szCs w:val="20"/>
              </w:rPr>
              <w:t xml:space="preserve">  selector:</w:t>
            </w:r>
          </w:p>
          <w:p>
            <w:pPr>
              <w:spacing w:after="20" w:before="0"/>
            </w:pPr>
            <w:r>
              <w:rPr>
                <w:rFonts w:ascii="Courier New" w:cs="Courier New" w:eastAsia="Courier New" w:hAnsi="Courier New"/>
                <w:b/>
                <w:bCs/>
                <w:color w:val="1D6A3E"/>
                <w:sz w:val="20"/>
                <w:szCs w:val="20"/>
              </w:rPr>
              <w:t xml:space="preserve">    app: backend</w:t>
            </w:r>
          </w:p>
          <w:p>
            <w:pPr>
              <w:spacing w:after="20" w:before="0"/>
            </w:pPr>
            <w:r>
              <w:rPr>
                <w:rFonts w:ascii="Courier New" w:cs="Courier New" w:eastAsia="Courier New" w:hAnsi="Courier New"/>
                <w:color w:val="404040"/>
                <w:sz w:val="20"/>
                <w:szCs w:val="20"/>
              </w:rPr>
              <w:t xml:space="preserve">  ports:</w:t>
            </w:r>
          </w:p>
          <w:p>
            <w:pPr>
              <w:spacing w:after="60" w:before="0"/>
            </w:pPr>
            <w:r>
              <w:rPr>
                <w:rFonts w:ascii="Courier New" w:cs="Courier New" w:eastAsia="Courier New" w:hAnsi="Courier New"/>
                <w:color w:val="404040"/>
                <w:sz w:val="20"/>
                <w:szCs w:val="20"/>
              </w:rPr>
              <w:t xml:space="preserve">    - port: 80</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04 — Three Types of Services</w:t>
      </w:r>
    </w:p>
    <w:p>
      <w:pPr>
        <w:spacing w:after="0" w:before="80"/>
      </w:pPr>
      <w:r>
        <w:t xml:space="preserve"/>
      </w:r>
    </w:p>
    <w:p>
      <w:pPr>
        <w:spacing w:after="80" w:before="80" w:line="276"/>
        <w:jc w:val="left"/>
      </w:pPr>
      <w:r>
        <w:rPr>
          <w:rFonts w:ascii="Arial" w:cs="Arial" w:eastAsia="Arial" w:hAnsi="Arial"/>
          <w:color w:val="404040"/>
          <w:sz w:val="22"/>
          <w:szCs w:val="22"/>
        </w:rPr>
        <w:t xml:space="preserve">Kubernetes provides three service types, each suited to different communication needs: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spacing w:after="40" w:before="60"/>
              <w:jc w:val="center"/>
            </w:pPr>
            <w:r>
              <w:rPr>
                <w:rFonts w:ascii="Arial" w:cs="Arial" w:eastAsia="Arial" w:hAnsi="Arial"/>
                <w:b/>
                <w:bCs/>
                <w:color w:val="FFFFFF"/>
                <w:sz w:val="22"/>
                <w:szCs w:val="22"/>
              </w:rPr>
              <w:t xml:space="preserve">ClusterIP</w:t>
            </w:r>
          </w:p>
          <w:p>
            <w:pPr>
              <w:jc w:val="center"/>
            </w:pPr>
            <w:r>
              <w:rPr>
                <w:rFonts w:ascii="Arial" w:cs="Arial" w:eastAsia="Arial" w:hAnsi="Arial"/>
                <w:i/>
                <w:iCs/>
                <w:color w:val="FFFFFF"/>
                <w:sz w:val="18"/>
                <w:szCs w:val="18"/>
              </w:rPr>
              <w:t xml:space="preserve">Default · Internal only</w:t>
            </w:r>
          </w:p>
        </w:tc>
        <w:tc>
          <w:tcPr>
            <w:tcW w:type="dxa" w:w="776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top"/>
          </w:tcPr>
          <w:p>
            <w:pPr>
              <w:spacing w:after="80" w:before="200"/>
            </w:pPr>
            <w:r>
              <w:rPr>
                <w:rFonts w:ascii="Arial" w:cs="Arial" w:eastAsia="Arial" w:hAnsi="Arial"/>
                <w:b/>
                <w:bCs/>
                <w:color w:val="1F4E79"/>
                <w:sz w:val="24"/>
                <w:szCs w:val="24"/>
              </w:rPr>
              <w:t xml:space="preserve">Default Type — Internal Communication</w:t>
            </w:r>
          </w:p>
          <w:p>
            <w:pPr>
              <w:spacing w:after="80" w:before="80" w:line="276"/>
              <w:jc w:val="left"/>
            </w:pPr>
            <w:r>
              <w:rPr>
                <w:rFonts w:ascii="Arial" w:cs="Arial" w:eastAsia="Arial" w:hAnsi="Arial"/>
                <w:color w:val="404040"/>
                <w:sz w:val="22"/>
                <w:szCs w:val="22"/>
              </w:rPr>
              <w:t xml:space="preserve">Creates a virtual IP accessible only within the cluster. Used when front-end, back-end, and database pods need to communicate with each other. No external traffic can reach this service directly. This is the most common type for microservice-to-microservice communication.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CCCCC" w:sz="1"/>
              <w:left w:val="single" w:color="CCCCCC" w:sz="1"/>
              <w:bottom w:val="single" w:color="CCCCCC" w:sz="1"/>
              <w:right w:val="single" w:color="CCCCCC" w:sz="1"/>
            </w:tcBorders>
            <w:shd w:fill="1D6A3E" w:val="clear"/>
            <w:tcMar>
              <w:top w:type="dxa" w:w="100"/>
              <w:left w:type="dxa" w:w="140"/>
              <w:bottom w:type="dxa" w:w="100"/>
              <w:right w:type="dxa" w:w="140"/>
            </w:tcMar>
            <w:vAlign w:val="center"/>
          </w:tcPr>
          <w:p>
            <w:pPr>
              <w:spacing w:after="40" w:before="60"/>
              <w:jc w:val="center"/>
            </w:pPr>
            <w:r>
              <w:rPr>
                <w:rFonts w:ascii="Arial" w:cs="Arial" w:eastAsia="Arial" w:hAnsi="Arial"/>
                <w:b/>
                <w:bCs/>
                <w:color w:val="FFFFFF"/>
                <w:sz w:val="22"/>
                <w:szCs w:val="22"/>
              </w:rPr>
              <w:t xml:space="preserve">NodePort</w:t>
            </w:r>
          </w:p>
          <w:p>
            <w:pPr>
              <w:jc w:val="center"/>
            </w:pPr>
            <w:r>
              <w:rPr>
                <w:rFonts w:ascii="Arial" w:cs="Arial" w:eastAsia="Arial" w:hAnsi="Arial"/>
                <w:i/>
                <w:iCs/>
                <w:color w:val="FFFFFF"/>
                <w:sz w:val="18"/>
                <w:szCs w:val="18"/>
              </w:rPr>
              <w:t xml:space="preserve">External access via nodes</w:t>
            </w:r>
          </w:p>
        </w:tc>
        <w:tc>
          <w:tcPr>
            <w:tcW w:type="dxa" w:w="7760"/>
            <w:gridSpan w:val="1"/>
            <w:tcBorders>
              <w:top w:val="single" w:color="CCCCCC" w:sz="1"/>
              <w:left w:val="single" w:color="CCCCCC" w:sz="1"/>
              <w:bottom w:val="single" w:color="CCCCCC" w:sz="1"/>
              <w:right w:val="single" w:color="CCCCCC" w:sz="1"/>
            </w:tcBorders>
            <w:shd w:fill="D6ECD9" w:val="clear"/>
            <w:tcMar>
              <w:top w:type="dxa" w:w="100"/>
              <w:left w:type="dxa" w:w="140"/>
              <w:bottom w:type="dxa" w:w="100"/>
              <w:right w:type="dxa" w:w="140"/>
            </w:tcMar>
            <w:vAlign w:val="top"/>
          </w:tcPr>
          <w:p>
            <w:pPr>
              <w:spacing w:after="80" w:before="200"/>
            </w:pPr>
            <w:r>
              <w:rPr>
                <w:rFonts w:ascii="Arial" w:cs="Arial" w:eastAsia="Arial" w:hAnsi="Arial"/>
                <w:b/>
                <w:bCs/>
                <w:color w:val="1D6A3E"/>
                <w:sz w:val="24"/>
                <w:szCs w:val="24"/>
              </w:rPr>
              <w:t xml:space="preserve">Expose on a Predefined Port Across All Nodes</w:t>
            </w:r>
          </w:p>
          <w:p>
            <w:pPr>
              <w:spacing w:after="80" w:before="80" w:line="276"/>
              <w:jc w:val="left"/>
            </w:pPr>
            <w:r>
              <w:rPr>
                <w:rFonts w:ascii="Arial" w:cs="Arial" w:eastAsia="Arial" w:hAnsi="Arial"/>
                <w:color w:val="404040"/>
                <w:sz w:val="22"/>
                <w:szCs w:val="22"/>
              </w:rPr>
              <w:t xml:space="preserve">Opens a specific port on every node in the cluster. External traffic hitting NodeIP:NodePort is forwarded to the service. Good for development environments and on-premises clusters where no cloud load balancer is available. Port range is typically 30000–32767.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CCCCC" w:sz="1"/>
              <w:left w:val="single" w:color="CCCCCC" w:sz="1"/>
              <w:bottom w:val="single" w:color="CCCCCC" w:sz="1"/>
              <w:right w:val="single" w:color="CCCCCC" w:sz="1"/>
            </w:tcBorders>
            <w:shd w:fill="7B5800" w:val="clear"/>
            <w:tcMar>
              <w:top w:type="dxa" w:w="100"/>
              <w:left w:type="dxa" w:w="140"/>
              <w:bottom w:type="dxa" w:w="100"/>
              <w:right w:type="dxa" w:w="140"/>
            </w:tcMar>
            <w:vAlign w:val="center"/>
          </w:tcPr>
          <w:p>
            <w:pPr>
              <w:spacing w:after="40" w:before="60"/>
              <w:jc w:val="center"/>
            </w:pPr>
            <w:r>
              <w:rPr>
                <w:rFonts w:ascii="Arial" w:cs="Arial" w:eastAsia="Arial" w:hAnsi="Arial"/>
                <w:b/>
                <w:bCs/>
                <w:color w:val="FFFFFF"/>
                <w:sz w:val="22"/>
                <w:szCs w:val="22"/>
              </w:rPr>
              <w:t xml:space="preserve">LoadBalancer</w:t>
            </w:r>
          </w:p>
          <w:p>
            <w:pPr>
              <w:jc w:val="center"/>
            </w:pPr>
            <w:r>
              <w:rPr>
                <w:rFonts w:ascii="Arial" w:cs="Arial" w:eastAsia="Arial" w:hAnsi="Arial"/>
                <w:i/>
                <w:iCs/>
                <w:color w:val="FFFFFF"/>
                <w:sz w:val="18"/>
                <w:szCs w:val="18"/>
              </w:rPr>
              <w:t xml:space="preserve">Cloud providers only</w:t>
            </w:r>
          </w:p>
        </w:tc>
        <w:tc>
          <w:tcPr>
            <w:tcW w:type="dxa" w:w="776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spacing w:after="80" w:before="200"/>
            </w:pPr>
            <w:r>
              <w:rPr>
                <w:rFonts w:ascii="Arial" w:cs="Arial" w:eastAsia="Arial" w:hAnsi="Arial"/>
                <w:b/>
                <w:bCs/>
                <w:color w:val="7B5800"/>
                <w:sz w:val="24"/>
                <w:szCs w:val="24"/>
              </w:rPr>
              <w:t xml:space="preserve">Provision a Cloud Load Balancer Automatically</w:t>
            </w:r>
          </w:p>
          <w:p>
            <w:pPr>
              <w:spacing w:after="80" w:before="80" w:line="276"/>
              <w:jc w:val="left"/>
            </w:pPr>
            <w:r>
              <w:rPr>
                <w:rFonts w:ascii="Arial" w:cs="Arial" w:eastAsia="Arial" w:hAnsi="Arial"/>
                <w:color w:val="404040"/>
                <w:sz w:val="22"/>
                <w:szCs w:val="22"/>
              </w:rPr>
              <w:t xml:space="preserve">Only supported by cloud providers such as AWS, GCP, and Azure. Extends the NodePort mechanism by automatically invoking the cloud provider's load balancer to distribute external traffic to the exposed ports on all cluster nodes. The recommended approach for production workloads in the cloud.</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05 — Traffic Flow by Service Type</w:t>
      </w:r>
    </w:p>
    <w:p>
      <w:pPr>
        <w:spacing w:after="0" w:before="80"/>
      </w:pPr>
      <w:r>
        <w:t xml:space="preserve"/>
      </w:r>
    </w:p>
    <w:p>
      <w:pPr>
        <w:spacing w:after="80" w:before="80" w:line="276"/>
        <w:jc w:val="left"/>
      </w:pPr>
      <w:r>
        <w:rPr>
          <w:rFonts w:ascii="Arial" w:cs="Arial" w:eastAsia="Arial" w:hAnsi="Arial"/>
          <w:color w:val="404040"/>
          <w:sz w:val="22"/>
          <w:szCs w:val="22"/>
        </w:rPr>
        <w:t xml:space="preserve">The three service types stack on top of each other. LoadBalancer extends NodePort, which extends ClusterIP: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6860"/>
      </w:tblGrid>
      <w:tr>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Layer</w:t>
            </w:r>
          </w:p>
        </w:tc>
        <w:tc>
          <w:tcPr>
            <w:tcW w:type="dxa" w:w="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t xml:space="preserve"/>
            </w:r>
          </w:p>
        </w:tc>
        <w:tc>
          <w:tcPr>
            <w:tcW w:type="dxa" w:w="68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Component</w:t>
            </w:r>
          </w:p>
        </w:tc>
      </w:tr>
      <w:tr>
        <w:tc>
          <w:tcPr>
            <w:tcW w:type="dxa" w:w="20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7B5800"/>
                <w:sz w:val="20"/>
                <w:szCs w:val="20"/>
              </w:rPr>
              <w:t xml:space="preserve">LoadBalancer</w:t>
            </w:r>
          </w:p>
        </w:tc>
        <w:tc>
          <w:tcPr>
            <w:tcW w:type="dxa" w:w="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color w:val="999999"/>
                <w:sz w:val="28"/>
                <w:szCs w:val="28"/>
              </w:rPr>
              <w:t xml:space="preserve">↓</w:t>
            </w:r>
          </w:p>
        </w:tc>
        <w:tc>
          <w:tcPr>
            <w:tcW w:type="dxa" w:w="686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color w:val="7B5800"/>
                <w:sz w:val="20"/>
                <w:szCs w:val="20"/>
              </w:rPr>
              <w:t xml:space="preserve">Cloud Load Balancer (AWS ELB / GCP LB / Azure LB)</w:t>
            </w:r>
          </w:p>
        </w:tc>
      </w:tr>
      <w:tr>
        <w:tc>
          <w:tcPr>
            <w:tcW w:type="dxa" w:w="2000"/>
            <w:gridSpan w:val="1"/>
            <w:tcBorders>
              <w:top w:val="single" w:color="CCCCCC" w:sz="1"/>
              <w:left w:val="single" w:color="CCCCCC" w:sz="1"/>
              <w:bottom w:val="single" w:color="CCCCCC" w:sz="1"/>
              <w:right w:val="single" w:color="CCCCCC" w:sz="1"/>
            </w:tcBorders>
            <w:shd w:fill="D6ECD9" w:val="clear"/>
            <w:tcMar>
              <w:top w:type="dxa" w:w="100"/>
              <w:left w:type="dxa" w:w="140"/>
              <w:bottom w:type="dxa" w:w="100"/>
              <w:right w:type="dxa" w:w="140"/>
            </w:tcMar>
            <w:vAlign w:val="center"/>
          </w:tcPr>
          <w:p>
            <w:pPr>
              <w:jc w:val="center"/>
            </w:pPr>
            <w:r>
              <w:rPr>
                <w:rFonts w:ascii="Arial" w:cs="Arial" w:eastAsia="Arial" w:hAnsi="Arial"/>
                <w:b/>
                <w:bCs/>
                <w:color w:val="1D6A3E"/>
                <w:sz w:val="20"/>
                <w:szCs w:val="20"/>
              </w:rPr>
              <w:t xml:space="preserve">NodePort</w:t>
            </w:r>
          </w:p>
        </w:tc>
        <w:tc>
          <w:tcPr>
            <w:tcW w:type="dxa" w:w="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color w:val="999999"/>
                <w:sz w:val="28"/>
                <w:szCs w:val="28"/>
              </w:rPr>
              <w:t xml:space="preserve">↓</w:t>
            </w:r>
          </w:p>
        </w:tc>
        <w:tc>
          <w:tcPr>
            <w:tcW w:type="dxa" w:w="6860"/>
            <w:gridSpan w:val="1"/>
            <w:tcBorders>
              <w:top w:val="single" w:color="CCCCCC" w:sz="1"/>
              <w:left w:val="single" w:color="CCCCCC" w:sz="1"/>
              <w:bottom w:val="single" w:color="CCCCCC" w:sz="1"/>
              <w:right w:val="single" w:color="CCCCCC" w:sz="1"/>
            </w:tcBorders>
            <w:shd w:fill="D6ECD9" w:val="clear"/>
            <w:tcMar>
              <w:top w:type="dxa" w:w="100"/>
              <w:left w:type="dxa" w:w="140"/>
              <w:bottom w:type="dxa" w:w="100"/>
              <w:right w:type="dxa" w:w="140"/>
            </w:tcMar>
            <w:vAlign w:val="top"/>
          </w:tcPr>
          <w:p>
            <w:r>
              <w:rPr>
                <w:rFonts w:ascii="Arial" w:cs="Arial" w:eastAsia="Arial" w:hAnsi="Arial"/>
                <w:color w:val="1D6A3E"/>
                <w:sz w:val="20"/>
                <w:szCs w:val="20"/>
              </w:rPr>
              <w:t xml:space="preserve">Node 1 :30080  •  Node 2 :30080  •  Node 3 :30080</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ClusterIP</w:t>
            </w:r>
          </w:p>
        </w:tc>
        <w:tc>
          <w:tcPr>
            <w:tcW w:type="dxa" w:w="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color w:val="999999"/>
                <w:sz w:val="28"/>
                <w:szCs w:val="28"/>
              </w:rPr>
              <w:t xml:space="preserve">↓</w:t>
            </w:r>
          </w:p>
        </w:tc>
        <w:tc>
          <w:tcPr>
            <w:tcW w:type="dxa" w:w="686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top"/>
          </w:tcPr>
          <w:p>
            <w:r>
              <w:rPr>
                <w:rFonts w:ascii="Arial" w:cs="Arial" w:eastAsia="Arial" w:hAnsi="Arial"/>
                <w:color w:val="2E75B6"/>
                <w:sz w:val="20"/>
                <w:szCs w:val="20"/>
              </w:rPr>
              <w:t xml:space="preserve">my-service  →  10.96.1.10 (stable virtual 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404040"/>
                <w:sz w:val="20"/>
                <w:szCs w:val="20"/>
              </w:rPr>
              <w:t xml:space="preserve">Pods</w:t>
            </w:r>
          </w:p>
        </w:tc>
        <w:tc>
          <w:tcPr>
            <w:tcW w:type="dxa" w:w="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center"/>
          </w:tcPr>
          <w:p>
            <w:pPr>
              <w:jc w:val="center"/>
            </w:pPr>
            <w:r>
              <w:rPr>
                <w:rFonts w:ascii="Arial" w:cs="Arial" w:eastAsia="Arial" w:hAnsi="Arial"/>
                <w:color w:val="999999"/>
                <w:sz w:val="28"/>
                <w:szCs w:val="28"/>
              </w:rPr>
              <w:t xml:space="preserve">↓</w:t>
            </w:r>
          </w:p>
        </w:tc>
        <w:tc>
          <w:tcPr>
            <w:tcW w:type="dxa" w:w="6860"/>
            <w:gridSpan w:val="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r>
              <w:rPr>
                <w:rFonts w:ascii="Arial" w:cs="Arial" w:eastAsia="Arial" w:hAnsi="Arial"/>
                <w:color w:val="404040"/>
                <w:sz w:val="20"/>
                <w:szCs w:val="20"/>
              </w:rPr>
              <w:t xml:space="preserve">pod-1 (app: backend)  •  pod-2 (app: backend)  •  pod-3 (app: backend)</w:t>
            </w:r>
          </w:p>
        </w:tc>
      </w:tr>
    </w:tbl>
    <w:p>
      <w:pPr>
        <w:spacing w:after="0" w:before="120"/>
      </w:pPr>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06 — Quick Reference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60"/>
        <w:gridCol w:w="3600"/>
      </w:tblGrid>
      <w:tr>
        <w:trPr>
          <w:tblHeader/>
        </w:trPr>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Type</w:t>
            </w:r>
          </w:p>
        </w:tc>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Accessibility</w:t>
            </w:r>
          </w:p>
        </w:tc>
        <w:tc>
          <w:tcPr>
            <w:tcW w:type="dxa" w:w="176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Cloud Required</w:t>
            </w:r>
          </w:p>
        </w:tc>
        <w:tc>
          <w:tcPr>
            <w:tcW w:type="dxa" w:w="3600"/>
            <w:gridSpan w:val="1"/>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Best Used For</w:t>
            </w:r>
          </w:p>
        </w:tc>
      </w:tr>
      <w:tr>
        <w:tc>
          <w:tcPr>
            <w:tcW w:type="dxa" w:w="1800"/>
            <w:gridSpan w:val="1"/>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top"/>
          </w:tcPr>
          <w:p>
            <w:r>
              <w:rPr>
                <w:rFonts w:ascii="Arial" w:cs="Arial" w:eastAsia="Arial" w:hAnsi="Arial"/>
                <w:b/>
                <w:bCs/>
                <w:color w:val="2E75B6"/>
                <w:sz w:val="20"/>
                <w:szCs w:val="20"/>
              </w:rPr>
              <w:t xml:space="preserve">ClusterIP</w:t>
            </w:r>
          </w:p>
        </w:tc>
        <w:tc>
          <w:tcPr>
            <w:tcW w:type="dxa" w:w="2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404040"/>
                <w:sz w:val="20"/>
                <w:szCs w:val="20"/>
              </w:rPr>
              <w:t xml:space="preserve">Internal only</w:t>
            </w:r>
          </w:p>
        </w:tc>
        <w:tc>
          <w:tcPr>
            <w:tcW w:type="dxa" w:w="1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D6A3E"/>
                <w:sz w:val="20"/>
                <w:szCs w:val="20"/>
              </w:rPr>
              <w:t xml:space="preserve">No</w:t>
            </w:r>
          </w:p>
        </w:tc>
        <w:tc>
          <w:tcPr>
            <w:tcW w:type="dxa" w:w="36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404040"/>
                <w:sz w:val="20"/>
                <w:szCs w:val="20"/>
              </w:rPr>
              <w:t xml:space="preserve">Pod-to-pod communication, microservices</w:t>
            </w:r>
          </w:p>
        </w:tc>
      </w:tr>
      <w:tr>
        <w:tc>
          <w:tcPr>
            <w:tcW w:type="dxa" w:w="1800"/>
            <w:gridSpan w:val="1"/>
            <w:tcBorders>
              <w:top w:val="single" w:color="CCCCCC" w:sz="1"/>
              <w:left w:val="single" w:color="CCCCCC" w:sz="1"/>
              <w:bottom w:val="single" w:color="CCCCCC" w:sz="1"/>
              <w:right w:val="single" w:color="CCCCCC" w:sz="1"/>
            </w:tcBorders>
            <w:shd w:fill="D6ECD9" w:val="clear"/>
            <w:tcMar>
              <w:top w:type="dxa" w:w="100"/>
              <w:left w:type="dxa" w:w="140"/>
              <w:bottom w:type="dxa" w:w="100"/>
              <w:right w:type="dxa" w:w="140"/>
            </w:tcMar>
            <w:vAlign w:val="top"/>
          </w:tcPr>
          <w:p>
            <w:r>
              <w:rPr>
                <w:rFonts w:ascii="Arial" w:cs="Arial" w:eastAsia="Arial" w:hAnsi="Arial"/>
                <w:b/>
                <w:bCs/>
                <w:color w:val="1D6A3E"/>
                <w:sz w:val="20"/>
                <w:szCs w:val="20"/>
              </w:rPr>
              <w:t xml:space="preserve">NodePort</w:t>
            </w:r>
          </w:p>
        </w:tc>
        <w:tc>
          <w:tcPr>
            <w:tcW w:type="dxa" w:w="2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404040"/>
                <w:sz w:val="20"/>
                <w:szCs w:val="20"/>
              </w:rPr>
              <w:t xml:space="preserve">External via node IP &amp; port</w:t>
            </w:r>
          </w:p>
        </w:tc>
        <w:tc>
          <w:tcPr>
            <w:tcW w:type="dxa" w:w="1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1D6A3E"/>
                <w:sz w:val="20"/>
                <w:szCs w:val="20"/>
              </w:rPr>
              <w:t xml:space="preserve">No</w:t>
            </w:r>
          </w:p>
        </w:tc>
        <w:tc>
          <w:tcPr>
            <w:tcW w:type="dxa" w:w="36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404040"/>
                <w:sz w:val="20"/>
                <w:szCs w:val="20"/>
              </w:rPr>
              <w:t xml:space="preserve">Dev/test, on-premise clusters</w:t>
            </w:r>
          </w:p>
        </w:tc>
      </w:tr>
      <w:tr>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r>
              <w:rPr>
                <w:rFonts w:ascii="Arial" w:cs="Arial" w:eastAsia="Arial" w:hAnsi="Arial"/>
                <w:b/>
                <w:bCs/>
                <w:color w:val="7B5800"/>
                <w:sz w:val="20"/>
                <w:szCs w:val="20"/>
              </w:rPr>
              <w:t xml:space="preserve">LoadBalancer</w:t>
            </w:r>
          </w:p>
        </w:tc>
        <w:tc>
          <w:tcPr>
            <w:tcW w:type="dxa" w:w="22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404040"/>
                <w:sz w:val="20"/>
                <w:szCs w:val="20"/>
              </w:rPr>
              <w:t xml:space="preserve">External via cloud LB endpoint</w:t>
            </w:r>
          </w:p>
        </w:tc>
        <w:tc>
          <w:tcPr>
            <w:tcW w:type="dxa" w:w="176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center"/>
            </w:pPr>
            <w:r>
              <w:rPr>
                <w:rFonts w:ascii="Arial" w:cs="Arial" w:eastAsia="Arial" w:hAnsi="Arial"/>
                <w:b/>
                <w:bCs/>
                <w:color w:val="7B1D1D"/>
                <w:sz w:val="20"/>
                <w:szCs w:val="20"/>
              </w:rPr>
              <w:t xml:space="preserve">Yes</w:t>
            </w:r>
          </w:p>
        </w:tc>
        <w:tc>
          <w:tcPr>
            <w:tcW w:type="dxa" w:w="3600"/>
            <w:gridSpan w:val="1"/>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404040"/>
                <w:sz w:val="20"/>
                <w:szCs w:val="20"/>
              </w:rPr>
              <w:t xml:space="preserve">Production workloads on AWS/GCP/Azure</w:t>
            </w:r>
          </w:p>
        </w:tc>
      </w:tr>
    </w:tbl>
    <w:p>
      <w:pPr>
        <w:spacing w:after="0" w:before="120"/>
      </w:pPr>
      <w:r>
        <w:t xml:space="preserve"/>
      </w:r>
    </w:p>
    <w:p>
      <w:pPr>
        <w:pBdr>
          <w:bottom w:val="single" w:color="D9D9D9" w:sz="4" w:space="1"/>
        </w:pBdr>
        <w:spacing w:after="160" w:before="160"/>
      </w:pPr>
      <w:r>
        <w:t xml:space="preserve"/>
      </w:r>
    </w:p>
    <w:p>
      <w:pPr>
        <w:spacing w:after="80" w:before="200"/>
      </w:pPr>
      <w:r>
        <w:rPr>
          <w:rFonts w:ascii="Arial" w:cs="Arial" w:eastAsia="Arial" w:hAnsi="Arial"/>
          <w:b/>
          <w:bCs/>
          <w:color w:val="404040"/>
          <w:sz w:val="24"/>
          <w:szCs w:val="24"/>
        </w:rPr>
        <w:t xml:space="preserve">Key Takeaways</w:t>
      </w:r>
    </w:p>
    <w:p>
      <w:pPr>
        <w:spacing w:after="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Pods are ephemeral — their IPs change constantly. Services provide a stable endpoint.</w:t>
      </w:r>
    </w:p>
    <w:p>
      <w:pPr>
        <w:pStyle w:val="ListParagraph"/>
        <w:numPr>
          <w:ilvl w:val="0"/>
          <w:numId w:val="2"/>
        </w:numPr>
        <w:spacing w:after="60" w:before="60"/>
      </w:pPr>
      <w:r>
        <w:rPr>
          <w:rFonts w:ascii="Arial" w:cs="Arial" w:eastAsia="Arial" w:hAnsi="Arial"/>
          <w:color w:val="404040"/>
          <w:sz w:val="22"/>
          <w:szCs w:val="22"/>
        </w:rPr>
        <w:t xml:space="preserve">Services use label selectors to route traffic to matching pods automatically.</w:t>
      </w:r>
    </w:p>
    <w:p>
      <w:pPr>
        <w:pStyle w:val="ListParagraph"/>
        <w:numPr>
          <w:ilvl w:val="0"/>
          <w:numId w:val="2"/>
        </w:numPr>
        <w:spacing w:after="60" w:before="60"/>
      </w:pPr>
      <w:r>
        <w:rPr>
          <w:rFonts w:ascii="Arial" w:cs="Arial" w:eastAsia="Arial" w:hAnsi="Arial"/>
          <w:color w:val="404040"/>
          <w:sz w:val="22"/>
          <w:szCs w:val="22"/>
        </w:rPr>
        <w:t xml:space="preserve">ClusterIP is the default — for internal cluster communication only.</w:t>
      </w:r>
    </w:p>
    <w:p>
      <w:pPr>
        <w:pStyle w:val="ListParagraph"/>
        <w:numPr>
          <w:ilvl w:val="0"/>
          <w:numId w:val="2"/>
        </w:numPr>
        <w:spacing w:after="60" w:before="60"/>
      </w:pPr>
      <w:r>
        <w:rPr>
          <w:rFonts w:ascii="Arial" w:cs="Arial" w:eastAsia="Arial" w:hAnsi="Arial"/>
          <w:color w:val="404040"/>
          <w:sz w:val="22"/>
          <w:szCs w:val="22"/>
        </w:rPr>
        <w:t xml:space="preserve">NodePort opens a port on all cluster nodes for external access without a cloud provider.</w:t>
      </w:r>
    </w:p>
    <w:p>
      <w:pPr>
        <w:pStyle w:val="ListParagraph"/>
        <w:numPr>
          <w:ilvl w:val="0"/>
          <w:numId w:val="2"/>
        </w:numPr>
        <w:spacing w:after="60" w:before="60"/>
      </w:pPr>
      <w:r>
        <w:rPr>
          <w:rFonts w:ascii="Arial" w:cs="Arial" w:eastAsia="Arial" w:hAnsi="Arial"/>
          <w:color w:val="404040"/>
          <w:sz w:val="22"/>
          <w:szCs w:val="22"/>
        </w:rPr>
        <w:t xml:space="preserve">LoadBalancer is the production choice for cloud environments, automatically provisioning an external load balancer.</w:t>
      </w:r>
    </w:p>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10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r>
            <w:rPr>
              <w:rFonts w:ascii="Arial" w:cs="Arial" w:eastAsia="Arial" w:hAnsi="Arial"/>
              <w:b/>
              <w:bCs/>
              <w:color w:val="2E75B6"/>
              <w:sz w:val="20"/>
              <w:szCs w:val="20"/>
            </w:rPr>
            <w:t xml:space="preserve">Kubernetes Services</w:t>
          </w:r>
        </w:p>
      </w:tc>
      <w:tc>
        <w:tcPr>
          <w:tcW w:type="dxa" w:w="336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jc w:val="right"/>
          </w:pPr>
          <w:r>
            <w:rPr>
              <w:rFonts w:ascii="Arial" w:cs="Arial" w:eastAsia="Arial" w:hAnsi="Arial"/>
              <w:i/>
              <w:iCs/>
              <w:color w:val="999999"/>
              <w:sz w:val="20"/>
              <w:szCs w:val="20"/>
            </w:rPr>
            <w:t xml:space="preserve">Visual Reference Guide</w:t>
          </w:r>
        </w:p>
      </w:tc>
    </w:tr>
  </w:tbl>
  <w:p>
    <w:pPr>
      <w:pBdr>
        <w:bottom w:val="single" w:color="2E75B6"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2026-03-25T01:15:45.589Z</dcterms:created>
  <dcterms:modified xsi:type="dcterms:W3CDTF">2026-03-25T01:15:45.590Z</dcterms:modified>
</cp:coreProperties>
</file>

<file path=docProps/custom.xml><?xml version="1.0" encoding="utf-8"?>
<Properties xmlns="http://schemas.openxmlformats.org/officeDocument/2006/custom-properties" xmlns:vt="http://schemas.openxmlformats.org/officeDocument/2006/docPropsVTypes"/>
</file>