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VidzPro Platform – Complete System Scope &amp; Architecture</w:t>
      </w:r>
    </w:p>
    <w:p>
      <w:pPr>
        <w:pStyle w:val="Heading1"/>
      </w:pPr>
      <w:r>
        <w:t>Platform Architecture Diagram</w:t>
      </w:r>
    </w:p>
    <w:p>
      <w:r>
        <w:br/>
        <w:t xml:space="preserve">                VidzPro Platform</w:t>
        <w:br/>
        <w:t xml:space="preserve">                       │</w:t>
        <w:br/>
        <w:t xml:space="preserve">        ┌──────────────┴──────────────┐</w:t>
        <w:br/>
        <w:t xml:space="preserve">        │                             │</w:t>
        <w:br/>
        <w:t xml:space="preserve">   VidzPro Talks                VidzPro Comply</w:t>
        <w:br/>
        <w:t xml:space="preserve"> (Training Platform)       (Compliance Platform)</w:t>
        <w:br/>
        <w:t xml:space="preserve">        │                             │</w:t>
        <w:br/>
        <w:t xml:space="preserve">        │                     ┌───────────────┐</w:t>
        <w:br/>
        <w:t xml:space="preserve">        │                     │ AI Document   │</w:t>
        <w:br/>
        <w:t xml:space="preserve">        │                     │ Scanner       │</w:t>
        <w:br/>
        <w:t xml:space="preserve">        │                     └───────────────┘</w:t>
        <w:br/>
        <w:t xml:space="preserve">        │</w:t>
        <w:br/>
        <w:t xml:space="preserve"> Employee Training</w:t>
        <w:br/>
        <w:t xml:space="preserve"> Video Modules</w:t>
        <w:br/>
        <w:t xml:space="preserve"> Certificate Generation</w:t>
        <w:br/>
        <w:t xml:space="preserve">        │</w:t>
        <w:br/>
        <w:t xml:space="preserve">        └──────────► Certificate Data Shared ◄───────────</w:t>
        <w:br/>
        <w:t xml:space="preserve">                              │</w:t>
        <w:br/>
        <w:t xml:space="preserve">                        Compliance Validation</w:t>
        <w:br/>
        <w:t xml:space="preserve">                              │</w:t>
        <w:br/>
        <w:t xml:space="preserve">                         Project Readiness</w:t>
        <w:br/>
      </w:r>
    </w:p>
    <w:p>
      <w:pPr>
        <w:pStyle w:val="Heading1"/>
      </w:pPr>
      <w:r>
        <w:t>Explanation</w:t>
      </w:r>
    </w:p>
    <w:p>
      <w:r>
        <w:t>Users access the VidzPro platform through a single login and land on the Product Library where VidzPro Talks and VidzPro Comply are available based on subscription. Training completed in VidzPro Talks generates certificates that automatically cross over into VidzPro Comply. When employees are assigned to projects, Comply validates these certificates to confirm workforce training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