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Программная система «ЦРСВЭД». Технические требования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Параметр</w:t>
            </w:r>
          </w:p>
        </w:tc>
        <w:tc>
          <w:tcPr>
            <w:tcW w:type="dxa" w:w="4320"/>
          </w:tcPr>
          <w:p>
            <w:r>
              <w:rPr>
                <w:b/>
              </w:rPr>
              <w:t>Значение</w:t>
            </w:r>
          </w:p>
        </w:tc>
      </w:tr>
      <w:tr>
        <w:tc>
          <w:tcPr>
            <w:tcW w:type="dxa" w:w="4320"/>
          </w:tcPr>
          <w:p>
            <w:r>
              <w:t>Обозначение</w:t>
            </w:r>
          </w:p>
        </w:tc>
        <w:tc>
          <w:tcPr>
            <w:tcW w:type="dxa" w:w="4320"/>
          </w:tcPr>
          <w:p>
            <w:r>
              <w:t>ПС-ЦРСВЭД-ТТ-2.0</w:t>
            </w:r>
          </w:p>
        </w:tc>
      </w:tr>
      <w:tr>
        <w:tc>
          <w:tcPr>
            <w:tcW w:type="dxa" w:w="4320"/>
          </w:tcPr>
          <w:p>
            <w:r>
              <w:t>Версия</w:t>
            </w:r>
          </w:p>
        </w:tc>
        <w:tc>
          <w:tcPr>
            <w:tcW w:type="dxa" w:w="4320"/>
          </w:tcPr>
          <w:p>
            <w:r>
              <w:t>2.0</w:t>
            </w:r>
          </w:p>
        </w:tc>
      </w:tr>
      <w:tr>
        <w:tc>
          <w:tcPr>
            <w:tcW w:type="dxa" w:w="4320"/>
          </w:tcPr>
          <w:p>
            <w:r>
              <w:t>Дата</w:t>
            </w:r>
          </w:p>
        </w:tc>
        <w:tc>
          <w:tcPr>
            <w:tcW w:type="dxa" w:w="4320"/>
          </w:tcPr>
          <w:p>
            <w:r>
              <w:t>15.07.2026</w:t>
            </w:r>
          </w:p>
        </w:tc>
      </w:tr>
      <w:tr>
        <w:tc>
          <w:tcPr>
            <w:tcW w:type="dxa" w:w="4320"/>
          </w:tcPr>
          <w:p>
            <w:r>
              <w:t>Статус</w:t>
            </w:r>
          </w:p>
        </w:tc>
        <w:tc>
          <w:tcPr>
            <w:tcW w:type="dxa" w:w="4320"/>
          </w:tcPr>
          <w:p>
            <w:r>
              <w:t>Утверждён</w:t>
            </w:r>
          </w:p>
        </w:tc>
      </w:tr>
      <w:tr>
        <w:tc>
          <w:tcPr>
            <w:tcW w:type="dxa" w:w="4320"/>
          </w:tcPr>
          <w:p>
            <w:r>
              <w:t>Заказчик</w:t>
            </w:r>
          </w:p>
        </w:tc>
        <w:tc>
          <w:tcPr>
            <w:tcW w:type="dxa" w:w="4320"/>
          </w:tcPr>
          <w:p>
            <w:r>
              <w:t>Управление аналитики ДЦС</w:t>
            </w:r>
          </w:p>
        </w:tc>
      </w:tr>
    </w:tbl>
    <w:p>
      <w:pPr>
        <w:pStyle w:val="Heading2"/>
        <w:jc w:val="left"/>
      </w:pPr>
      <w:r>
        <w:t>1. Назначение</w:t>
      </w:r>
    </w:p>
    <w:p>
      <w:r>
        <w:t>ПС «ЦРСВЭД» обеспечивает централизованный сбор, нормализацию и хранение сведений о внешнеэкономической деятельности, а также предоставление агрегированных данных аналитическим подразделениям.</w:t>
      </w:r>
    </w:p>
    <w:p>
      <w:pPr>
        <w:pStyle w:val="Heading2"/>
        <w:jc w:val="left"/>
      </w:pPr>
      <w:r>
        <w:t>2. Состав подсистем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Подсистема</w:t>
            </w:r>
          </w:p>
        </w:tc>
        <w:tc>
          <w:tcPr>
            <w:tcW w:type="dxa" w:w="4320"/>
          </w:tcPr>
          <w:p>
            <w:r>
              <w:rPr>
                <w:b/>
              </w:rPr>
              <w:t>Назначение</w:t>
            </w:r>
          </w:p>
        </w:tc>
      </w:tr>
      <w:tr>
        <w:tc>
          <w:tcPr>
            <w:tcW w:type="dxa" w:w="4320"/>
          </w:tcPr>
          <w:p>
            <w:r>
              <w:t>Приём сведений</w:t>
            </w:r>
          </w:p>
        </w:tc>
        <w:tc>
          <w:tcPr>
            <w:tcW w:type="dxa" w:w="4320"/>
          </w:tcPr>
          <w:p>
            <w:r>
              <w:t>Приём пакетов от источников, регистрация поступлений</w:t>
            </w:r>
          </w:p>
        </w:tc>
      </w:tr>
      <w:tr>
        <w:tc>
          <w:tcPr>
            <w:tcW w:type="dxa" w:w="4320"/>
          </w:tcPr>
          <w:p>
            <w:r>
              <w:t>Нормализация и контроль</w:t>
            </w:r>
          </w:p>
        </w:tc>
        <w:tc>
          <w:tcPr>
            <w:tcW w:type="dxa" w:w="4320"/>
          </w:tcPr>
          <w:p>
            <w:r>
              <w:t>Приведение к единому формату, проверка по правилам</w:t>
            </w:r>
          </w:p>
        </w:tc>
      </w:tr>
      <w:tr>
        <w:tc>
          <w:tcPr>
            <w:tcW w:type="dxa" w:w="4320"/>
          </w:tcPr>
          <w:p>
            <w:r>
              <w:t>Витрина аналитики</w:t>
            </w:r>
          </w:p>
        </w:tc>
        <w:tc>
          <w:tcPr>
            <w:tcW w:type="dxa" w:w="4320"/>
          </w:tcPr>
          <w:p>
            <w:r>
              <w:t>Хранение и выдача агрегированных показателей</w:t>
            </w:r>
          </w:p>
        </w:tc>
      </w:tr>
    </w:tbl>
    <w:p>
      <w:pPr>
        <w:pStyle w:val="Heading2"/>
        <w:jc w:val="left"/>
      </w:pPr>
      <w:r>
        <w:t>3. Объём и производительность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Показатель</w:t>
            </w:r>
          </w:p>
        </w:tc>
        <w:tc>
          <w:tcPr>
            <w:tcW w:type="dxa" w:w="4320"/>
          </w:tcPr>
          <w:p>
            <w:r>
              <w:rPr>
                <w:b/>
              </w:rPr>
              <w:t>Значение</w:t>
            </w:r>
          </w:p>
        </w:tc>
      </w:tr>
      <w:tr>
        <w:tc>
          <w:tcPr>
            <w:tcW w:type="dxa" w:w="4320"/>
          </w:tcPr>
          <w:p>
            <w:r>
              <w:t>Годовой объём</w:t>
            </w:r>
          </w:p>
        </w:tc>
        <w:tc>
          <w:tcPr>
            <w:tcW w:type="dxa" w:w="4320"/>
          </w:tcPr>
          <w:p>
            <w:r>
              <w:t>около 12 млн записей</w:t>
            </w:r>
          </w:p>
        </w:tc>
      </w:tr>
      <w:tr>
        <w:tc>
          <w:tcPr>
            <w:tcW w:type="dxa" w:w="4320"/>
          </w:tcPr>
          <w:p>
            <w:r>
              <w:t>Квартальный прирост</w:t>
            </w:r>
          </w:p>
        </w:tc>
        <w:tc>
          <w:tcPr>
            <w:tcW w:type="dxa" w:w="4320"/>
          </w:tcPr>
          <w:p>
            <w:r>
              <w:t>до 8 %</w:t>
            </w:r>
          </w:p>
        </w:tc>
      </w:tr>
      <w:tr>
        <w:tc>
          <w:tcPr>
            <w:tcW w:type="dxa" w:w="4320"/>
          </w:tcPr>
          <w:p>
            <w:r>
              <w:t>Загрузка суточного пакета</w:t>
            </w:r>
          </w:p>
        </w:tc>
        <w:tc>
          <w:tcPr>
            <w:tcW w:type="dxa" w:w="4320"/>
          </w:tcPr>
          <w:p>
            <w:r>
              <w:t>не более 45 минут</w:t>
            </w:r>
          </w:p>
        </w:tc>
      </w:tr>
      <w:tr>
        <w:tc>
          <w:tcPr>
            <w:tcW w:type="dxa" w:w="4320"/>
          </w:tcPr>
          <w:p>
            <w:r>
              <w:t>Формирование аналитического среза</w:t>
            </w:r>
          </w:p>
        </w:tc>
        <w:tc>
          <w:tcPr>
            <w:tcW w:type="dxa" w:w="4320"/>
          </w:tcPr>
          <w:p>
            <w:r>
              <w:t>не более 10 минут</w:t>
            </w:r>
          </w:p>
        </w:tc>
      </w:tr>
      <w:tr>
        <w:tc>
          <w:tcPr>
            <w:tcW w:type="dxa" w:w="4320"/>
          </w:tcPr>
          <w:p>
            <w:r>
              <w:t>Срок хранения сведений</w:t>
            </w:r>
          </w:p>
        </w:tc>
        <w:tc>
          <w:tcPr>
            <w:tcW w:type="dxa" w:w="4320"/>
          </w:tcPr>
          <w:p>
            <w:r>
              <w:t>5 лет</w:t>
            </w:r>
          </w:p>
        </w:tc>
      </w:tr>
    </w:tbl>
    <w:p>
      <w:pPr>
        <w:pStyle w:val="Heading2"/>
        <w:jc w:val="left"/>
      </w:pPr>
      <w:r>
        <w:t>4. Контроль качества данных</w:t>
      </w:r>
    </w:p>
    <w:p>
      <w:r>
        <w:t>При приёме пакета выполняется проверка по 24 правилам валидации. Записи, не прошедшие проверку, не загружаются; формируется протокол с перечнем отклонённых записей и указанием правила, которое не выполнено.</w:t>
      </w:r>
    </w:p>
    <w:p>
      <w:pPr>
        <w:pStyle w:val="ListBullet"/>
      </w:pPr>
      <w:r>
        <w:t>проверка обязательных полей и форматов;</w:t>
      </w:r>
    </w:p>
    <w:p>
      <w:pPr>
        <w:pStyle w:val="ListBullet"/>
      </w:pPr>
      <w:r>
        <w:t>контроль уникальности идентификаторов;</w:t>
      </w:r>
    </w:p>
    <w:p>
      <w:pPr>
        <w:pStyle w:val="ListBullet"/>
      </w:pPr>
      <w:r>
        <w:t>сверка контрольных сумм пакета;</w:t>
      </w:r>
    </w:p>
    <w:p>
      <w:pPr>
        <w:pStyle w:val="ListBullet"/>
      </w:pPr>
      <w:r>
        <w:t>проверка логической согласованности связанных записей.</w:t>
      </w:r>
    </w:p>
    <w:p>
      <w:pPr>
        <w:pStyle w:val="Heading2"/>
        <w:jc w:val="left"/>
      </w:pPr>
      <w:r>
        <w:t>5. Роли пользователей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Роль</w:t>
            </w:r>
          </w:p>
        </w:tc>
        <w:tc>
          <w:tcPr>
            <w:tcW w:type="dxa" w:w="4320"/>
          </w:tcPr>
          <w:p>
            <w:r>
              <w:rPr>
                <w:b/>
              </w:rPr>
              <w:t>Права</w:t>
            </w:r>
          </w:p>
        </w:tc>
      </w:tr>
      <w:tr>
        <w:tc>
          <w:tcPr>
            <w:tcW w:type="dxa" w:w="4320"/>
          </w:tcPr>
          <w:p>
            <w:r>
              <w:t>Оператор загрузки</w:t>
            </w:r>
          </w:p>
        </w:tc>
        <w:tc>
          <w:tcPr>
            <w:tcW w:type="dxa" w:w="4320"/>
          </w:tcPr>
          <w:p>
            <w:r>
              <w:t>Приём пакетов, просмотр протоколов</w:t>
            </w:r>
          </w:p>
        </w:tc>
      </w:tr>
      <w:tr>
        <w:tc>
          <w:tcPr>
            <w:tcW w:type="dxa" w:w="4320"/>
          </w:tcPr>
          <w:p>
            <w:r>
              <w:t>Аналитик</w:t>
            </w:r>
          </w:p>
        </w:tc>
        <w:tc>
          <w:tcPr>
            <w:tcW w:type="dxa" w:w="4320"/>
          </w:tcPr>
          <w:p>
            <w:r>
              <w:t>Построение срезов, выгрузка агрегированных данных</w:t>
            </w:r>
          </w:p>
        </w:tc>
      </w:tr>
      <w:tr>
        <w:tc>
          <w:tcPr>
            <w:tcW w:type="dxa" w:w="4320"/>
          </w:tcPr>
          <w:p>
            <w:r>
              <w:t>Администратор</w:t>
            </w:r>
          </w:p>
        </w:tc>
        <w:tc>
          <w:tcPr>
            <w:tcW w:type="dxa" w:w="4320"/>
          </w:tcPr>
          <w:p>
            <w:r>
              <w:t>Управление правилами, пользователями, регламентами</w:t>
            </w:r>
          </w:p>
        </w:tc>
      </w:tr>
    </w:tbl>
    <w:p>
      <w:pPr>
        <w:pStyle w:val="Heading2"/>
        <w:jc w:val="left"/>
      </w:pPr>
      <w:r>
        <w:t>6. Этапы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Этап</w:t>
            </w:r>
          </w:p>
        </w:tc>
        <w:tc>
          <w:tcPr>
            <w:tcW w:type="dxa" w:w="4320"/>
          </w:tcPr>
          <w:p>
            <w:r>
              <w:rPr>
                <w:b/>
              </w:rPr>
              <w:t>Срок</w:t>
            </w:r>
          </w:p>
        </w:tc>
      </w:tr>
      <w:tr>
        <w:tc>
          <w:tcPr>
            <w:tcW w:type="dxa" w:w="4320"/>
          </w:tcPr>
          <w:p>
            <w:r>
              <w:t>Разработка версии 2.0</w:t>
            </w:r>
          </w:p>
        </w:tc>
        <w:tc>
          <w:tcPr>
            <w:tcW w:type="dxa" w:w="4320"/>
          </w:tcPr>
          <w:p>
            <w:r>
              <w:t>завершена 10.07.2026</w:t>
            </w:r>
          </w:p>
        </w:tc>
      </w:tr>
      <w:tr>
        <w:tc>
          <w:tcPr>
            <w:tcW w:type="dxa" w:w="4320"/>
          </w:tcPr>
          <w:p>
            <w:r>
              <w:t>Опытная эксплуатация</w:t>
            </w:r>
          </w:p>
        </w:tc>
        <w:tc>
          <w:tcPr>
            <w:tcW w:type="dxa" w:w="4320"/>
          </w:tcPr>
          <w:p>
            <w:r>
              <w:t>01.10.2026 — 31.03.2027</w:t>
            </w:r>
          </w:p>
        </w:tc>
      </w:tr>
      <w:tr>
        <w:tc>
          <w:tcPr>
            <w:tcW w:type="dxa" w:w="4320"/>
          </w:tcPr>
          <w:p>
            <w:r>
              <w:t>Постоянная эксплуатация</w:t>
            </w:r>
          </w:p>
        </w:tc>
        <w:tc>
          <w:tcPr>
            <w:tcW w:type="dxa" w:w="4320"/>
          </w:tcPr>
          <w:p>
            <w:r>
              <w:t>с мая 2027</w:t>
            </w:r>
          </w:p>
        </w:tc>
      </w:tr>
    </w:tbl>
    <w:p>
      <w:r>
        <w:rPr>
          <w:i/>
        </w:rPr>
        <w:t>Примечание. Документ подготовлен для демонстрационного корпуса; значения и сроки вымышлены.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