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Программная система «Малахит».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</w:t>
            </w:r>
          </w:p>
        </w:tc>
        <w:tc>
          <w:tcPr>
            <w:tcW w:type="dxa" w:w="4320"/>
          </w:tcPr>
          <w:p>
            <w:r>
              <w:t>ПС-МАЛАХИТ-ТТ-1.9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03.07.2026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Утверждён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Аналитическое управление ДЦС</w:t>
            </w:r>
          </w:p>
        </w:tc>
      </w:tr>
      <w:tr>
        <w:tc>
          <w:tcPr>
            <w:tcW w:type="dxa" w:w="4320"/>
          </w:tcPr>
          <w:p>
            <w:r>
              <w:t>Разработчик</w:t>
            </w:r>
          </w:p>
        </w:tc>
        <w:tc>
          <w:tcPr>
            <w:tcW w:type="dxa" w:w="4320"/>
          </w:tcPr>
          <w:p>
            <w:r>
              <w:t>ООО «ИнфоТех-Сервис»</w:t>
            </w:r>
          </w:p>
        </w:tc>
      </w:tr>
    </w:tbl>
    <w:p>
      <w:pPr>
        <w:pStyle w:val="Heading2"/>
        <w:jc w:val="left"/>
      </w:pPr>
      <w:r>
        <w:t>1. Назначение</w:t>
      </w:r>
    </w:p>
    <w:p>
      <w:r>
        <w:t>ПС «Малахит» — аналитическая система сбора, нормализации и представления сведений о внешнеэкономической деятельности. Система обеспечивает подготовку агрегированных показателей и выдачу онлайн-справок по запросам подразделений.</w:t>
      </w:r>
    </w:p>
    <w:p>
      <w:pPr>
        <w:pStyle w:val="Heading2"/>
        <w:jc w:val="left"/>
      </w:pPr>
      <w:r>
        <w:t>2. Состав подсистем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Подсистема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Сбор данных</w:t>
            </w:r>
          </w:p>
        </w:tc>
        <w:tc>
          <w:tcPr>
            <w:tcW w:type="dxa" w:w="4320"/>
          </w:tcPr>
          <w:p>
            <w:r>
              <w:t>Загрузка сведений из источников, контроль целостности</w:t>
            </w:r>
          </w:p>
        </w:tc>
      </w:tr>
      <w:tr>
        <w:tc>
          <w:tcPr>
            <w:tcW w:type="dxa" w:w="4320"/>
          </w:tcPr>
          <w:p>
            <w:r>
              <w:t>Аналитическое ядро</w:t>
            </w:r>
          </w:p>
        </w:tc>
        <w:tc>
          <w:tcPr>
            <w:tcW w:type="dxa" w:w="4320"/>
          </w:tcPr>
          <w:p>
            <w:r>
              <w:t>Расчёт показателей, агрегация, построение срезов</w:t>
            </w:r>
          </w:p>
        </w:tc>
      </w:tr>
      <w:tr>
        <w:tc>
          <w:tcPr>
            <w:tcW w:type="dxa" w:w="4320"/>
          </w:tcPr>
          <w:p>
            <w:r>
              <w:t>Витрина отчётности</w:t>
            </w:r>
          </w:p>
        </w:tc>
        <w:tc>
          <w:tcPr>
            <w:tcW w:type="dxa" w:w="4320"/>
          </w:tcPr>
          <w:p>
            <w:r>
              <w:t>Готовые отчёты и выгрузки для пользователей</w:t>
            </w:r>
          </w:p>
        </w:tc>
      </w:tr>
      <w:tr>
        <w:tc>
          <w:tcPr>
            <w:tcW w:type="dxa" w:w="4320"/>
          </w:tcPr>
          <w:p>
            <w:r>
              <w:t>Администрирование</w:t>
            </w:r>
          </w:p>
        </w:tc>
        <w:tc>
          <w:tcPr>
            <w:tcW w:type="dxa" w:w="4320"/>
          </w:tcPr>
          <w:p>
            <w:r>
              <w:t>Управление доступами, регламентами и справочниками</w:t>
            </w:r>
          </w:p>
        </w:tc>
      </w:tr>
    </w:tbl>
    <w:p>
      <w:pPr>
        <w:pStyle w:val="Heading2"/>
        <w:jc w:val="left"/>
      </w:pPr>
      <w:r>
        <w:t>3. Требования к производительности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Онлайн-запросы</w:t>
            </w:r>
          </w:p>
        </w:tc>
        <w:tc>
          <w:tcPr>
            <w:tcW w:type="dxa" w:w="4320"/>
          </w:tcPr>
          <w:p>
            <w:r>
              <w:t>не менее 1500 в час</w:t>
            </w:r>
          </w:p>
        </w:tc>
      </w:tr>
      <w:tr>
        <w:tc>
          <w:tcPr>
            <w:tcW w:type="dxa" w:w="4320"/>
          </w:tcPr>
          <w:p>
            <w:r>
              <w:t>Среднее время ответа на онлайн-запрос</w:t>
            </w:r>
          </w:p>
        </w:tc>
        <w:tc>
          <w:tcPr>
            <w:tcW w:type="dxa" w:w="4320"/>
          </w:tcPr>
          <w:p>
            <w:r>
              <w:t>не более 2 секунд</w:t>
            </w:r>
          </w:p>
        </w:tc>
      </w:tr>
      <w:tr>
        <w:tc>
          <w:tcPr>
            <w:tcW w:type="dxa" w:w="4320"/>
          </w:tcPr>
          <w:p>
            <w:r>
              <w:t>95-й процентиль времени ответа (p95)</w:t>
            </w:r>
          </w:p>
        </w:tc>
        <w:tc>
          <w:tcPr>
            <w:tcW w:type="dxa" w:w="4320"/>
          </w:tcPr>
          <w:p>
            <w:r>
              <w:t>не более 5 секунд</w:t>
            </w:r>
          </w:p>
        </w:tc>
      </w:tr>
      <w:tr>
        <w:tc>
          <w:tcPr>
            <w:tcW w:type="dxa" w:w="4320"/>
          </w:tcPr>
          <w:p>
            <w:r>
              <w:t>Загрузка суточного пакета данных</w:t>
            </w:r>
          </w:p>
        </w:tc>
        <w:tc>
          <w:tcPr>
            <w:tcW w:type="dxa" w:w="4320"/>
          </w:tcPr>
          <w:p>
            <w:r>
              <w:t>не более 45 минут</w:t>
            </w:r>
          </w:p>
        </w:tc>
      </w:tr>
    </w:tbl>
    <w:p>
      <w:pPr>
        <w:pStyle w:val="Heading2"/>
        <w:jc w:val="left"/>
      </w:pPr>
      <w:r>
        <w:t>4. Требования к хранению данных</w:t>
      </w:r>
    </w:p>
    <w:p>
      <w:r>
        <w:t>Сведения хранятся в горячем контуре 36 месяцев с момента загрузки. По истечении этого срока данные переносятся в архивный контур, доступный только в режиме чтения и с задержкой формирования ответа до 30 минут.</w:t>
      </w:r>
    </w:p>
    <w:p>
      <w:pPr>
        <w:pStyle w:val="Heading2"/>
        <w:jc w:val="left"/>
      </w:pPr>
      <w:r>
        <w:t>5. Разграничение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Уровень доступа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type="dxa" w:w="4320"/>
          </w:tcPr>
          <w:p>
            <w:r>
              <w:t>Просмотр</w:t>
            </w:r>
          </w:p>
        </w:tc>
        <w:tc>
          <w:tcPr>
            <w:tcW w:type="dxa" w:w="4320"/>
          </w:tcPr>
          <w:p>
            <w:r>
              <w:t>Доступ к типовым отчётам и справкам</w:t>
            </w:r>
          </w:p>
        </w:tc>
      </w:tr>
      <w:tr>
        <w:tc>
          <w:tcPr>
            <w:tcW w:type="dxa" w:w="4320"/>
          </w:tcPr>
          <w:p>
            <w:r>
              <w:t>Аналитик</w:t>
            </w:r>
          </w:p>
        </w:tc>
        <w:tc>
          <w:tcPr>
            <w:tcW w:type="dxa" w:w="4320"/>
          </w:tcPr>
          <w:p>
            <w:r>
              <w:t>Построение произвольных срезов, выгрузка данных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Управление пользователями, регламентами, доступом к источникам</w:t>
            </w:r>
          </w:p>
        </w:tc>
      </w:tr>
    </w:tbl>
    <w:p>
      <w:pPr>
        <w:pStyle w:val="Heading2"/>
        <w:jc w:val="left"/>
      </w:pPr>
      <w:r>
        <w:t>6. Этапы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4320"/>
          </w:tcPr>
          <w:p>
            <w:r>
              <w:t>Разработка версии 1.9</w:t>
            </w:r>
          </w:p>
        </w:tc>
        <w:tc>
          <w:tcPr>
            <w:tcW w:type="dxa" w:w="4320"/>
          </w:tcPr>
          <w:p>
            <w:r>
              <w:t>завершена 30.06.2026</w:t>
            </w:r>
          </w:p>
        </w:tc>
      </w:tr>
      <w:tr>
        <w:tc>
          <w:tcPr>
            <w:tcW w:type="dxa" w:w="4320"/>
          </w:tcPr>
          <w:p>
            <w:r>
              <w:t>Опытная эксплуатация</w:t>
            </w:r>
          </w:p>
        </w:tc>
        <w:tc>
          <w:tcPr>
            <w:tcW w:type="dxa" w:w="4320"/>
          </w:tcPr>
          <w:p>
            <w:r>
              <w:t>15.09.2026 — 15.12.2026</w:t>
            </w:r>
          </w:p>
        </w:tc>
      </w:tr>
      <w:tr>
        <w:tc>
          <w:tcPr>
            <w:tcW w:type="dxa" w:w="4320"/>
          </w:tcPr>
          <w:p>
            <w:r>
              <w:t>Приёмочные испытания</w:t>
            </w:r>
          </w:p>
        </w:tc>
        <w:tc>
          <w:tcPr>
            <w:tcW w:type="dxa" w:w="4320"/>
          </w:tcPr>
          <w:p>
            <w:r>
              <w:t>январь 2027</w:t>
            </w:r>
          </w:p>
        </w:tc>
      </w:tr>
    </w:tbl>
    <w:p>
      <w:pPr>
        <w:pStyle w:val="Heading2"/>
        <w:jc w:val="left"/>
      </w:pPr>
      <w:r>
        <w:t>7. Требования к интеграции</w:t>
      </w:r>
    </w:p>
    <w:p>
      <w:pPr>
        <w:pStyle w:val="ListBullet"/>
      </w:pPr>
      <w:r>
        <w:t>взаимодействие с источниками — по расписанию и по запросу;</w:t>
      </w:r>
    </w:p>
    <w:p>
      <w:pPr>
        <w:pStyle w:val="ListBullet"/>
      </w:pPr>
      <w:r>
        <w:t>передача данных — в формате XML и JSON;</w:t>
      </w:r>
    </w:p>
    <w:p>
      <w:pPr>
        <w:pStyle w:val="ListBullet"/>
      </w:pPr>
      <w:r>
        <w:t>подпись пакетов — усиленная квалифицированная электронная подпись;</w:t>
      </w:r>
    </w:p>
    <w:p>
      <w:pPr>
        <w:pStyle w:val="ListBullet"/>
      </w:pPr>
      <w:r>
        <w:t>протоколирование всех обменов с фиксацией идентификатора пакета.</w:t>
      </w:r>
    </w:p>
    <w:p>
      <w:r>
        <w:rPr>
          <w:i/>
        </w:rPr>
        <w:t>Примечание. Документ подготовлен для демонстрационного корпуса; организации, показатели и сроки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