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Спецификация онлайн-запросов ИПС «Малахит»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10.07.2026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Действует</w:t>
            </w:r>
          </w:p>
        </w:tc>
      </w:tr>
    </w:tbl>
    <w:p>
      <w:pPr>
        <w:pStyle w:val="Heading2"/>
        <w:jc w:val="left"/>
      </w:pPr>
      <w:r>
        <w:t>1. Общие положения</w:t>
      </w:r>
    </w:p>
    <w:p>
      <w:r>
        <w:t>Спецификация определяет состав сервисов онлайн-доступа к витрине отчётности ИПС «Малахит», ограничения по нагрузке и правила обработки ошибок.</w:t>
      </w:r>
    </w:p>
    <w:p>
      <w:pPr>
        <w:pStyle w:val="Heading2"/>
        <w:jc w:val="left"/>
      </w:pPr>
      <w:r>
        <w:t>2. Перечень сервисов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Ограничение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GET /api/v2/declarations</w:t>
            </w:r>
          </w:p>
        </w:tc>
        <w:tc>
          <w:tcPr>
            <w:tcW w:type="dxa" w:w="2160"/>
          </w:tcPr>
          <w:p>
            <w:r>
              <w:t>Реестр деклараций</w:t>
            </w:r>
          </w:p>
        </w:tc>
        <w:tc>
          <w:tcPr>
            <w:tcW w:type="dxa" w:w="2160"/>
          </w:tcPr>
          <w:p>
            <w:r>
              <w:t>до 1000 записей на страницу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GET /api/v2/declarations/{id}</w:t>
            </w:r>
          </w:p>
        </w:tc>
        <w:tc>
          <w:tcPr>
            <w:tcW w:type="dxa" w:w="2160"/>
          </w:tcPr>
          <w:p>
            <w:r>
              <w:t>Карточка декларации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GET /api/v2/indicators</w:t>
            </w:r>
          </w:p>
        </w:tc>
        <w:tc>
          <w:tcPr>
            <w:tcW w:type="dxa" w:w="2160"/>
          </w:tcPr>
          <w:p>
            <w:r>
              <w:t>Агрегированные показатели</w:t>
            </w:r>
          </w:p>
        </w:tc>
        <w:tc>
          <w:tcPr>
            <w:tcW w:type="dxa" w:w="2160"/>
          </w:tcPr>
          <w:p>
            <w:r>
              <w:t>период до 12 месяцев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POST /api/v2/reports</w:t>
            </w:r>
          </w:p>
        </w:tc>
        <w:tc>
          <w:tcPr>
            <w:tcW w:type="dxa" w:w="2160"/>
          </w:tcPr>
          <w:p>
            <w:r>
              <w:t>Формирование отчёта</w:t>
            </w:r>
          </w:p>
        </w:tc>
        <w:tc>
          <w:tcPr>
            <w:tcW w:type="dxa" w:w="2160"/>
          </w:tcPr>
          <w:p>
            <w:r>
              <w:t>асинхронный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GET /api/v2/reports/{job_id}</w:t>
            </w:r>
          </w:p>
        </w:tc>
        <w:tc>
          <w:tcPr>
            <w:tcW w:type="dxa" w:w="2160"/>
          </w:tcPr>
          <w:p>
            <w:r>
              <w:t>Готовность отчёта</w:t>
            </w:r>
          </w:p>
        </w:tc>
        <w:tc>
          <w:tcPr>
            <w:tcW w:type="dxa" w:w="2160"/>
          </w:tcPr>
          <w:p>
            <w:r>
              <w:t>опрос не чаще 30 секунд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GET /api/v2/dictionaries</w:t>
            </w:r>
          </w:p>
        </w:tc>
        <w:tc>
          <w:tcPr>
            <w:tcW w:type="dxa" w:w="2160"/>
          </w:tcPr>
          <w:p>
            <w:r>
              <w:t>Справочники</w:t>
            </w:r>
          </w:p>
        </w:tc>
        <w:tc>
          <w:tcPr>
            <w:tcW w:type="dxa" w:w="2160"/>
          </w:tcPr>
          <w:p>
            <w:r>
              <w:t>кэш 24 часа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GET /api/v2/audit</w:t>
            </w:r>
          </w:p>
        </w:tc>
        <w:tc>
          <w:tcPr>
            <w:tcW w:type="dxa" w:w="2160"/>
          </w:tcPr>
          <w:p>
            <w:r>
              <w:t>Журнал доступа</w:t>
            </w:r>
          </w:p>
        </w:tc>
        <w:tc>
          <w:tcPr>
            <w:tcW w:type="dxa" w:w="2160"/>
          </w:tcPr>
          <w:p>
            <w:r>
              <w:t>только для администратора</w:t>
            </w:r>
          </w:p>
        </w:tc>
      </w:tr>
    </w:tbl>
    <w:p>
      <w:r>
        <w:rPr>
          <w:i/>
        </w:rPr>
        <w:t>Примечание. Всего в спецификации описано 12 сервисов; в таблице приведены основные. Полный перечень — в приложении А.</w:t>
      </w:r>
    </w:p>
    <w:p>
      <w:pPr>
        <w:pStyle w:val="Heading2"/>
        <w:jc w:val="left"/>
      </w:pPr>
      <w:r>
        <w:t>3. Режимы обработки</w:t>
      </w:r>
    </w:p>
    <w:p>
      <w:r>
        <w:t>Запросы, время выполнения которых не превышает 30 секунд, обрабатываются синхронно. Более длительные операции переводятся в асинхронный режим: клиент получает идентификатор задания (job_id) и опрашивает статус до получения результата.</w:t>
      </w:r>
    </w:p>
    <w:p>
      <w:pPr>
        <w:pStyle w:val="Heading2"/>
        <w:jc w:val="left"/>
      </w:pPr>
      <w:r>
        <w:t>4. Ограничения по нагрузке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Частота запросов</w:t>
            </w:r>
          </w:p>
        </w:tc>
        <w:tc>
          <w:tcPr>
            <w:tcW w:type="dxa" w:w="4320"/>
          </w:tcPr>
          <w:p>
            <w:r>
              <w:t>не более 120 в минуту на клиента</w:t>
            </w:r>
          </w:p>
        </w:tc>
      </w:tr>
      <w:tr>
        <w:tc>
          <w:tcPr>
            <w:tcW w:type="dxa" w:w="4320"/>
          </w:tcPr>
          <w:p>
            <w:r>
              <w:t>Код при превышении</w:t>
            </w:r>
          </w:p>
        </w:tc>
        <w:tc>
          <w:tcPr>
            <w:tcW w:type="dxa" w:w="4320"/>
          </w:tcPr>
          <w:p>
            <w:r>
              <w:t>429 Too Many Requests</w:t>
            </w:r>
          </w:p>
        </w:tc>
      </w:tr>
      <w:tr>
        <w:tc>
          <w:tcPr>
            <w:tcW w:type="dxa" w:w="4320"/>
          </w:tcPr>
          <w:p>
            <w:r>
              <w:t>Повторная попытка</w:t>
            </w:r>
          </w:p>
        </w:tc>
        <w:tc>
          <w:tcPr>
            <w:tcW w:type="dxa" w:w="4320"/>
          </w:tcPr>
          <w:p>
            <w:r>
              <w:t>не ранее чем через 60 секунд</w:t>
            </w:r>
          </w:p>
        </w:tc>
      </w:tr>
      <w:tr>
        <w:tc>
          <w:tcPr>
            <w:tcW w:type="dxa" w:w="4320"/>
          </w:tcPr>
          <w:p>
            <w:r>
              <w:t>Максимальная глубина выгрузки</w:t>
            </w:r>
          </w:p>
        </w:tc>
        <w:tc>
          <w:tcPr>
            <w:tcW w:type="dxa" w:w="4320"/>
          </w:tcPr>
          <w:p>
            <w:r>
              <w:t>100 000 записей на отчёт</w:t>
            </w:r>
          </w:p>
        </w:tc>
      </w:tr>
    </w:tbl>
    <w:p>
      <w:pPr>
        <w:pStyle w:val="Heading2"/>
        <w:jc w:val="left"/>
      </w:pPr>
      <w:r>
        <w:t>5. Обработка ошибок</w:t>
      </w:r>
    </w:p>
    <w:p>
      <w:r>
        <w:t>Ответ об ошибке содержит код, текстовое сообщение и идентификатор трассировки (trace_id). Идентификатор трассировки обязателен при обращении в службу технической поддержки.</w:t>
      </w:r>
    </w:p>
    <w:p>
      <w:pPr>
        <w:pStyle w:val="Heading2"/>
        <w:jc w:val="left"/>
      </w:pPr>
      <w:r>
        <w:t>6. Порядок подключения</w:t>
      </w:r>
    </w:p>
    <w:p>
      <w:pPr>
        <w:pStyle w:val="ListNumber"/>
      </w:pPr>
      <w:r>
        <w:t>оформление заявки на подключение с указанием перечня сервисов;</w:t>
      </w:r>
    </w:p>
    <w:p>
      <w:pPr>
        <w:pStyle w:val="ListNumber"/>
      </w:pPr>
      <w:r>
        <w:t>регистрация клиента и выдача учётных данных;</w:t>
      </w:r>
    </w:p>
    <w:p>
      <w:pPr>
        <w:pStyle w:val="ListNumber"/>
      </w:pPr>
      <w:r>
        <w:t>проверка доступа на тестовом контуре;</w:t>
      </w:r>
    </w:p>
    <w:p>
      <w:pPr>
        <w:pStyle w:val="ListNumber"/>
      </w:pPr>
      <w:r>
        <w:t>перевод клиента на продуктивный контур.</w:t>
      </w:r>
    </w:p>
    <w:p>
      <w:r>
        <w:rPr>
          <w:i/>
        </w:rPr>
        <w:t>Примечание. Документ подготовлен для демонстрационного корпуса; параметры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