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Программная система «Постконтроль».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</w:t>
            </w:r>
          </w:p>
        </w:tc>
        <w:tc>
          <w:tcPr>
            <w:tcW w:type="dxa" w:w="4320"/>
          </w:tcPr>
          <w:p>
            <w:r>
              <w:t>ПС-ПК-ТТ-3.1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21.09.2026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Утверждён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Управление контроля ДЦС</w:t>
            </w:r>
          </w:p>
        </w:tc>
      </w:tr>
    </w:tbl>
    <w:p>
      <w:pPr>
        <w:pStyle w:val="Heading2"/>
        <w:jc w:val="left"/>
      </w:pPr>
      <w:r>
        <w:t>1. Назначение</w:t>
      </w:r>
    </w:p>
    <w:p>
      <w:r>
        <w:t>ПС «Постконтроль» предназначена для выявления признаков нарушений по сведениям, содержащимся в декларациях и сопутствующих документах, после выпуска товаров. Система формирует выборки для проверки, ведёт реестр проверок и агрегирует их результаты.</w:t>
      </w:r>
    </w:p>
    <w:p>
      <w:pPr>
        <w:pStyle w:val="Heading2"/>
        <w:jc w:val="left"/>
      </w:pPr>
      <w:r>
        <w:t>2. Источники сведений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Состав данных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Режим передачи</w:t>
            </w:r>
          </w:p>
        </w:tc>
      </w:tr>
      <w:tr>
        <w:tc>
          <w:tcPr>
            <w:tcW w:type="dxa" w:w="2880"/>
          </w:tcPr>
          <w:p>
            <w:r>
              <w:t>АИС декларирования</w:t>
            </w:r>
          </w:p>
        </w:tc>
        <w:tc>
          <w:tcPr>
            <w:tcW w:type="dxa" w:w="2880"/>
          </w:tcPr>
          <w:p>
            <w:r>
              <w:t>Декларации, товары, участники ВЭД</w:t>
            </w:r>
          </w:p>
        </w:tc>
        <w:tc>
          <w:tcPr>
            <w:tcW w:type="dxa" w:w="2880"/>
          </w:tcPr>
          <w:p>
            <w:r>
              <w:t>суточный пакет</w:t>
            </w:r>
          </w:p>
        </w:tc>
      </w:tr>
      <w:tr>
        <w:tc>
          <w:tcPr>
            <w:tcW w:type="dxa" w:w="2880"/>
          </w:tcPr>
          <w:p>
            <w:r>
              <w:t>Система управления рисками</w:t>
            </w:r>
          </w:p>
        </w:tc>
        <w:tc>
          <w:tcPr>
            <w:tcW w:type="dxa" w:w="2880"/>
          </w:tcPr>
          <w:p>
            <w:r>
              <w:t>Профили риска, индикаторы</w:t>
            </w:r>
          </w:p>
        </w:tc>
        <w:tc>
          <w:tcPr>
            <w:tcW w:type="dxa" w:w="2880"/>
          </w:tcPr>
          <w:p>
            <w:r>
              <w:t>по событию</w:t>
            </w:r>
          </w:p>
        </w:tc>
      </w:tr>
      <w:tr>
        <w:tc>
          <w:tcPr>
            <w:tcW w:type="dxa" w:w="2880"/>
          </w:tcPr>
          <w:p>
            <w:r>
              <w:t>Архив документов</w:t>
            </w:r>
          </w:p>
        </w:tc>
        <w:tc>
          <w:tcPr>
            <w:tcW w:type="dxa" w:w="2880"/>
          </w:tcPr>
          <w:p>
            <w:r>
              <w:t>Сканы и электронные документы</w:t>
            </w:r>
          </w:p>
        </w:tc>
        <w:tc>
          <w:tcPr>
            <w:tcW w:type="dxa" w:w="2880"/>
          </w:tcPr>
          <w:p>
            <w:r>
              <w:t>по запросу</w:t>
            </w:r>
          </w:p>
        </w:tc>
      </w:tr>
    </w:tbl>
    <w:p>
      <w:pPr>
        <w:pStyle w:val="Heading2"/>
        <w:jc w:val="left"/>
      </w:pPr>
      <w:r>
        <w:t>3. Целевые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Целевое значение</w:t>
            </w:r>
          </w:p>
        </w:tc>
      </w:tr>
      <w:tr>
        <w:tc>
          <w:tcPr>
            <w:tcW w:type="dxa" w:w="4320"/>
          </w:tcPr>
          <w:p>
            <w:r>
              <w:t>Доля автоматически выявленных нарушений</w:t>
            </w:r>
          </w:p>
        </w:tc>
        <w:tc>
          <w:tcPr>
            <w:tcW w:type="dxa" w:w="4320"/>
          </w:tcPr>
          <w:p>
            <w:r>
              <w:t>не менее 25 %</w:t>
            </w:r>
          </w:p>
        </w:tc>
      </w:tr>
      <w:tr>
        <w:tc>
          <w:tcPr>
            <w:tcW w:type="dxa" w:w="4320"/>
          </w:tcPr>
          <w:p>
            <w:r>
              <w:t>Доля ложных срабатываний</w:t>
            </w:r>
          </w:p>
        </w:tc>
        <w:tc>
          <w:tcPr>
            <w:tcW w:type="dxa" w:w="4320"/>
          </w:tcPr>
          <w:p>
            <w:r>
              <w:t>не более 10 %</w:t>
            </w:r>
          </w:p>
        </w:tc>
      </w:tr>
      <w:tr>
        <w:tc>
          <w:tcPr>
            <w:tcW w:type="dxa" w:w="4320"/>
          </w:tcPr>
          <w:p>
            <w:r>
              <w:t>Регламентное время обработки суточного массива</w:t>
            </w:r>
          </w:p>
        </w:tc>
        <w:tc>
          <w:tcPr>
            <w:tcW w:type="dxa" w:w="4320"/>
          </w:tcPr>
          <w:p>
            <w:r>
              <w:t>не более 4 часов</w:t>
            </w:r>
          </w:p>
        </w:tc>
      </w:tr>
      <w:tr>
        <w:tc>
          <w:tcPr>
            <w:tcW w:type="dxa" w:w="4320"/>
          </w:tcPr>
          <w:p>
            <w:r>
              <w:t>Срок хранения реестра проверок</w:t>
            </w:r>
          </w:p>
        </w:tc>
        <w:tc>
          <w:tcPr>
            <w:tcW w:type="dxa" w:w="4320"/>
          </w:tcPr>
          <w:p>
            <w:r>
              <w:t>5 лет</w:t>
            </w:r>
          </w:p>
        </w:tc>
      </w:tr>
    </w:tbl>
    <w:p>
      <w:pPr>
        <w:pStyle w:val="Heading2"/>
        <w:jc w:val="left"/>
      </w:pPr>
      <w:r>
        <w:t>4. Функциональные требования</w:t>
      </w:r>
    </w:p>
    <w:p>
      <w:pPr>
        <w:pStyle w:val="ListNumber"/>
      </w:pPr>
      <w:r>
        <w:t>автоматический отбор деклараций по правилам и профилям риска;</w:t>
      </w:r>
    </w:p>
    <w:p>
      <w:pPr>
        <w:pStyle w:val="ListNumber"/>
      </w:pPr>
      <w:r>
        <w:t>формирование задания на проверку с обоснованием отбора;</w:t>
      </w:r>
    </w:p>
    <w:p>
      <w:pPr>
        <w:pStyle w:val="ListNumber"/>
      </w:pPr>
      <w:r>
        <w:t>фиксация результатов проверки и принятых мер;</w:t>
      </w:r>
    </w:p>
    <w:p>
      <w:pPr>
        <w:pStyle w:val="ListNumber"/>
      </w:pPr>
      <w:r>
        <w:t>формирование аналитических отчётов по итогам периода;</w:t>
      </w:r>
    </w:p>
    <w:p>
      <w:pPr>
        <w:pStyle w:val="ListNumber"/>
      </w:pPr>
      <w:r>
        <w:t>выгрузка сведений по запросам уполномоченных подразделений.</w:t>
      </w:r>
    </w:p>
    <w:p>
      <w:pPr>
        <w:pStyle w:val="Heading2"/>
        <w:jc w:val="left"/>
      </w:pPr>
      <w:r>
        <w:t>5. Требования к защите информации</w:t>
      </w:r>
    </w:p>
    <w:p>
      <w:r>
        <w:t>Доступ к сведениям предоставляется в соответствии с должностными обязанностями. Все операции просмотра и выгрузки фиксируются в журнале доступа; срок хранения журнала — 3 года.</w:t>
      </w:r>
    </w:p>
    <w:p>
      <w:pPr>
        <w:pStyle w:val="Heading2"/>
        <w:jc w:val="left"/>
      </w:pPr>
      <w:r>
        <w:t>6. Этапы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4320"/>
          </w:tcPr>
          <w:p>
            <w:r>
              <w:t>Разработка версии 3.1</w:t>
            </w:r>
          </w:p>
        </w:tc>
        <w:tc>
          <w:tcPr>
            <w:tcW w:type="dxa" w:w="4320"/>
          </w:tcPr>
          <w:p>
            <w:r>
              <w:t>завершена 15.09.2026</w:t>
            </w:r>
          </w:p>
        </w:tc>
      </w:tr>
      <w:tr>
        <w:tc>
          <w:tcPr>
            <w:tcW w:type="dxa" w:w="4320"/>
          </w:tcPr>
          <w:p>
            <w:r>
              <w:t>Опытная эксплуатация</w:t>
            </w:r>
          </w:p>
        </w:tc>
        <w:tc>
          <w:tcPr>
            <w:tcW w:type="dxa" w:w="4320"/>
          </w:tcPr>
          <w:p>
            <w:r>
              <w:t>01.10.2026 — 31.03.2027</w:t>
            </w:r>
          </w:p>
        </w:tc>
      </w:tr>
      <w:tr>
        <w:tc>
          <w:tcPr>
            <w:tcW w:type="dxa" w:w="4320"/>
          </w:tcPr>
          <w:p>
            <w:r>
              <w:t>Постоянная эксплуатация</w:t>
            </w:r>
          </w:p>
        </w:tc>
        <w:tc>
          <w:tcPr>
            <w:tcW w:type="dxa" w:w="4320"/>
          </w:tcPr>
          <w:p>
            <w:r>
              <w:t>с апреля 2027</w:t>
            </w:r>
          </w:p>
        </w:tc>
      </w:tr>
    </w:tbl>
    <w:p>
      <w:r>
        <w:rPr>
          <w:i/>
        </w:rPr>
        <w:t>Примечание. Документ подготовлен для демонстрационного корпуса; показатели и сроки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