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Инструкция по обработке запросов правоохранительных органов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05.09.2026</w:t>
            </w:r>
          </w:p>
        </w:tc>
      </w:tr>
      <w:tr>
        <w:tc>
          <w:tcPr>
            <w:tcW w:type="dxa" w:w="4320"/>
          </w:tcPr>
          <w:p>
            <w:r>
              <w:t>Ответственное подразделение</w:t>
            </w:r>
          </w:p>
        </w:tc>
        <w:tc>
          <w:tcPr>
            <w:tcW w:type="dxa" w:w="4320"/>
          </w:tcPr>
          <w:p>
            <w:r>
              <w:t>Уполномоченное подразделение ДЦС</w:t>
            </w:r>
          </w:p>
        </w:tc>
      </w:tr>
    </w:tbl>
    <w:p>
      <w:pPr>
        <w:pStyle w:val="Heading2"/>
        <w:jc w:val="left"/>
      </w:pPr>
      <w:r>
        <w:t>1. Общие положения</w:t>
      </w:r>
    </w:p>
    <w:p>
      <w:r>
        <w:t>Инструкция определяет порядок действий сотрудников при поступлении запросов правоохранительных органов и устанавливает единые требования к подготовке ответов.</w:t>
      </w:r>
    </w:p>
    <w:p>
      <w:pPr>
        <w:pStyle w:val="Heading2"/>
        <w:jc w:val="left"/>
      </w:pPr>
      <w:r>
        <w:t>2. Порядок обработки запроса</w:t>
      </w:r>
    </w:p>
    <w:p>
      <w:pPr>
        <w:pStyle w:val="ListNumber"/>
      </w:pPr>
      <w:r>
        <w:t>регистрация запроса в журнале в день поступления;</w:t>
      </w:r>
    </w:p>
    <w:p>
      <w:pPr>
        <w:pStyle w:val="ListNumber"/>
      </w:pPr>
      <w:r>
        <w:t>проверка наличия оснований, предусмотренных регламентом;</w:t>
      </w:r>
    </w:p>
    <w:p>
      <w:pPr>
        <w:pStyle w:val="ListNumber"/>
      </w:pPr>
      <w:r>
        <w:t>проверка полномочий подписанта запроса;</w:t>
      </w:r>
    </w:p>
    <w:p>
      <w:pPr>
        <w:pStyle w:val="ListNumber"/>
      </w:pPr>
      <w:r>
        <w:t>подготовка запрашиваемых сведений;</w:t>
      </w:r>
    </w:p>
    <w:p>
      <w:pPr>
        <w:pStyle w:val="ListNumber"/>
      </w:pPr>
      <w:r>
        <w:t>проверка полноты и соответствия формы ответа;</w:t>
      </w:r>
    </w:p>
    <w:p>
      <w:pPr>
        <w:pStyle w:val="ListNumber"/>
      </w:pPr>
      <w:r>
        <w:t>направление ответа и фиксация факта отправки в журнале.</w:t>
      </w:r>
    </w:p>
    <w:p>
      <w:pPr>
        <w:pStyle w:val="Heading2"/>
        <w:jc w:val="left"/>
      </w:pPr>
      <w:r>
        <w:t>3. Требования к ответу</w:t>
      </w:r>
    </w:p>
    <w:p>
      <w:r>
        <w:t>Ответ оформляется по единой форме. Обязательные реквизиты: номер и дата запроса, состав переданных сведений, ссылка на основание предоставления, дата и исходящий номер ответа, подпись уполномоченного сотрудника.</w:t>
      </w:r>
    </w:p>
    <w:p>
      <w:pPr>
        <w:pStyle w:val="Heading2"/>
        <w:jc w:val="left"/>
      </w:pPr>
      <w:r>
        <w:t>4. Особенности срочных запросов</w:t>
      </w:r>
    </w:p>
    <w:p>
      <w:r>
        <w:t>Запросы с отметкой «срочно» обрабатываются вне очереди, срок подготовки ответа — 24 часа. При невозможности подготовить полный ответ в срок направляется промежуточный ответ с указанием срока предоставления оставшихся сведений.</w:t>
      </w:r>
    </w:p>
    <w:p>
      <w:pPr>
        <w:pStyle w:val="Heading2"/>
        <w:jc w:val="left"/>
      </w:pPr>
      <w:r>
        <w:t>5. Хранение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Срок хранения</w:t>
            </w:r>
          </w:p>
        </w:tc>
      </w:tr>
      <w:tr>
        <w:tc>
          <w:tcPr>
            <w:tcW w:type="dxa" w:w="4320"/>
          </w:tcPr>
          <w:p>
            <w:r>
              <w:t>Копия ответа на запрос</w:t>
            </w:r>
          </w:p>
        </w:tc>
        <w:tc>
          <w:tcPr>
            <w:tcW w:type="dxa" w:w="4320"/>
          </w:tcPr>
          <w:p>
            <w:r>
              <w:t>5 лет</w:t>
            </w:r>
          </w:p>
        </w:tc>
      </w:tr>
      <w:tr>
        <w:tc>
          <w:tcPr>
            <w:tcW w:type="dxa" w:w="4320"/>
          </w:tcPr>
          <w:p>
            <w:r>
              <w:t>Журнал регистрации запросов</w:t>
            </w:r>
          </w:p>
        </w:tc>
        <w:tc>
          <w:tcPr>
            <w:tcW w:type="dxa" w:w="4320"/>
          </w:tcPr>
          <w:p>
            <w:r>
              <w:t>3 года</w:t>
            </w:r>
          </w:p>
        </w:tc>
      </w:tr>
      <w:tr>
        <w:tc>
          <w:tcPr>
            <w:tcW w:type="dxa" w:w="4320"/>
          </w:tcPr>
          <w:p>
            <w:r>
              <w:t>Материалы проверки полномочий подписанта</w:t>
            </w:r>
          </w:p>
        </w:tc>
        <w:tc>
          <w:tcPr>
            <w:tcW w:type="dxa" w:w="4320"/>
          </w:tcPr>
          <w:p>
            <w:r>
              <w:t>1 год</w:t>
            </w:r>
          </w:p>
        </w:tc>
      </w:tr>
    </w:tbl>
    <w:p>
      <w:pPr>
        <w:pStyle w:val="Heading2"/>
        <w:jc w:val="left"/>
      </w:pPr>
      <w:r>
        <w:t>6. Ответственность</w:t>
      </w:r>
    </w:p>
    <w:p>
      <w:r>
        <w:t>Сотрудник, подготовивший ответ, несёт ответственность за полноту и достоверность переданных сведений. Нарушение сроков регистрации запроса рассматривается на оперативном совещании подразделения.</w:t>
      </w:r>
    </w:p>
    <w:p>
      <w:r>
        <w:rPr>
          <w:i/>
        </w:rPr>
        <w:t>Примечание. Документ подготовлен для демонстрационного корпуса; сроки и формулировки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