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Инструкция по подготовке документов к загрузке в базу знаний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25.09.2026</w:t>
            </w:r>
          </w:p>
        </w:tc>
      </w:tr>
      <w:tr>
        <w:tc>
          <w:tcPr>
            <w:tcW w:type="dxa" w:w="4320"/>
          </w:tcPr>
          <w:p>
            <w:r>
              <w:t>Назначение</w:t>
            </w:r>
          </w:p>
        </w:tc>
        <w:tc>
          <w:tcPr>
            <w:tcW w:type="dxa" w:w="4320"/>
          </w:tcPr>
          <w:p>
            <w:r>
              <w:t>Подготовка корпуса для поиска с цитированием</w:t>
            </w:r>
          </w:p>
        </w:tc>
      </w:tr>
    </w:tbl>
    <w:p>
      <w:pPr>
        <w:pStyle w:val="Heading2"/>
        <w:jc w:val="left"/>
      </w:pPr>
      <w:r>
        <w:t>1. Поддерживаемые форматы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Извлечение текста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PDF (цифровой)</w:t>
            </w:r>
          </w:p>
        </w:tc>
        <w:tc>
          <w:tcPr>
            <w:tcW w:type="dxa" w:w="2880"/>
          </w:tcPr>
          <w:p>
            <w:r>
              <w:t>полное</w:t>
            </w:r>
          </w:p>
        </w:tc>
        <w:tc>
          <w:tcPr>
            <w:tcW w:type="dxa" w:w="2880"/>
          </w:tcPr>
          <w:p>
            <w:r>
              <w:t>таблицы и заголовки сохраняются</w:t>
            </w:r>
          </w:p>
        </w:tc>
      </w:tr>
      <w:tr>
        <w:tc>
          <w:tcPr>
            <w:tcW w:type="dxa" w:w="2880"/>
          </w:tcPr>
          <w:p>
            <w:r>
              <w:t>PDF (скан)</w:t>
            </w:r>
          </w:p>
        </w:tc>
        <w:tc>
          <w:tcPr>
            <w:tcW w:type="dxa" w:w="2880"/>
          </w:tcPr>
          <w:p>
            <w:r>
              <w:t>отсутствует</w:t>
            </w:r>
          </w:p>
        </w:tc>
        <w:tc>
          <w:tcPr>
            <w:tcW w:type="dxa" w:w="2880"/>
          </w:tcPr>
          <w:p>
            <w:r>
              <w:t>требуется предварительное распознавание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полное</w:t>
            </w:r>
          </w:p>
        </w:tc>
        <w:tc>
          <w:tcPr>
            <w:tcW w:type="dxa" w:w="2880"/>
          </w:tcPr>
          <w:p>
            <w:r>
              <w:t>включая таблицы и списки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полное</w:t>
            </w:r>
          </w:p>
        </w:tc>
        <w:tc>
          <w:tcPr>
            <w:tcW w:type="dxa" w:w="2880"/>
          </w:tcPr>
          <w:p>
            <w:r>
              <w:t>основной текст без навигации</w:t>
            </w:r>
          </w:p>
        </w:tc>
      </w:tr>
      <w:tr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полное</w:t>
            </w:r>
          </w:p>
        </w:tc>
        <w:tc>
          <w:tcPr>
            <w:tcW w:type="dxa" w:w="2880"/>
          </w:tcPr>
          <w:p>
            <w:r>
              <w:t>заголовки используются как структура</w:t>
            </w:r>
          </w:p>
        </w:tc>
      </w:tr>
    </w:tbl>
    <w:p>
      <w:pPr>
        <w:pStyle w:val="Heading2"/>
        <w:jc w:val="left"/>
      </w:pPr>
      <w:r>
        <w:t>2. Требования к файлам</w:t>
      </w:r>
    </w:p>
    <w:p>
      <w:pPr>
        <w:pStyle w:val="ListBullet"/>
      </w:pPr>
      <w:r>
        <w:t>максимальный размер файла — 50 МБ;</w:t>
      </w:r>
    </w:p>
    <w:p>
      <w:pPr>
        <w:pStyle w:val="ListBullet"/>
      </w:pPr>
      <w:r>
        <w:t>имя файла — до 120 символов, без символов ? * : " &lt; &gt; |;</w:t>
      </w:r>
    </w:p>
    <w:p>
      <w:pPr>
        <w:pStyle w:val="ListBullet"/>
      </w:pPr>
      <w:r>
        <w:t>файлы, защищённые паролем, не индексируются;</w:t>
      </w:r>
    </w:p>
    <w:p>
      <w:pPr>
        <w:pStyle w:val="ListBullet"/>
      </w:pPr>
      <w:r>
        <w:t>один документ — один файл (не объединять редакции в одном файле).</w:t>
      </w:r>
    </w:p>
    <w:p>
      <w:pPr>
        <w:pStyle w:val="Heading2"/>
        <w:jc w:val="left"/>
      </w:pPr>
      <w:r>
        <w:t>3. Структура каталогов</w:t>
      </w:r>
    </w:p>
    <w:p>
      <w:r>
        <w:t>Документы размещаются в каталоге вида &lt;ПС&gt;/&lt;документ&gt;.&lt;расширение&gt;, где &lt;ПС&gt; — slug подсистемы (категория знаний). Категория определяет фильтр поиска: пользователь может ограничить поиск одной или несколькими подсистемами.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Пример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Категория</w:t>
            </w:r>
          </w:p>
        </w:tc>
      </w:tr>
      <w:tr>
        <w:tc>
          <w:tcPr>
            <w:tcW w:type="dxa" w:w="4320"/>
          </w:tcPr>
          <w:p>
            <w:r>
              <w:t>tarify/zayavka_T-2026-0412.pdf</w:t>
            </w:r>
          </w:p>
        </w:tc>
        <w:tc>
          <w:tcPr>
            <w:tcW w:type="dxa" w:w="4320"/>
          </w:tcPr>
          <w:p>
            <w:r>
              <w:t>Тарифы</w:t>
            </w:r>
          </w:p>
        </w:tc>
      </w:tr>
      <w:tr>
        <w:tc>
          <w:tcPr>
            <w:tcW w:type="dxa" w:w="4320"/>
          </w:tcPr>
          <w:p>
            <w:r>
              <w:t>malahit/specifikaciya_online.docx</w:t>
            </w:r>
          </w:p>
        </w:tc>
        <w:tc>
          <w:tcPr>
            <w:tcW w:type="dxa" w:w="4320"/>
          </w:tcPr>
          <w:p>
            <w:r>
              <w:t>Малахит</w:t>
            </w:r>
          </w:p>
        </w:tc>
      </w:tr>
      <w:tr>
        <w:tc>
          <w:tcPr>
            <w:tcW w:type="dxa" w:w="4320"/>
          </w:tcPr>
          <w:p>
            <w:r>
              <w:t>postkontrol/metodika_otbora.pdf</w:t>
            </w:r>
          </w:p>
        </w:tc>
        <w:tc>
          <w:tcPr>
            <w:tcW w:type="dxa" w:w="4320"/>
          </w:tcPr>
          <w:p>
            <w:r>
              <w:t>Постконтроль</w:t>
            </w:r>
          </w:p>
        </w:tc>
      </w:tr>
    </w:tbl>
    <w:p>
      <w:pPr>
        <w:pStyle w:val="Heading2"/>
        <w:jc w:val="left"/>
      </w:pPr>
      <w:r>
        <w:t>4. Порядок загрузки</w:t>
      </w:r>
    </w:p>
    <w:p>
      <w:pPr>
        <w:pStyle w:val="ListNumber"/>
      </w:pPr>
      <w:r>
        <w:t>разместить файл в каталоге соответствующей категории;</w:t>
      </w:r>
    </w:p>
    <w:p>
      <w:pPr>
        <w:pStyle w:val="ListNumber"/>
      </w:pPr>
      <w:r>
        <w:t>запустить индексацию (полную или инкрементальную);</w:t>
      </w:r>
    </w:p>
    <w:p>
      <w:pPr>
        <w:pStyle w:val="ListNumber"/>
      </w:pPr>
      <w:r>
        <w:t>проверить статус индексации и число сформированных фрагментов;</w:t>
      </w:r>
    </w:p>
    <w:p>
      <w:pPr>
        <w:pStyle w:val="ListNumber"/>
      </w:pPr>
      <w:r>
        <w:t>выполнить контрольный поиск по характерному фрагменту текста.</w:t>
      </w:r>
    </w:p>
    <w:p>
      <w:pPr>
        <w:pStyle w:val="Heading2"/>
        <w:jc w:val="left"/>
      </w:pPr>
      <w:r>
        <w:t>5. Ограничения</w:t>
      </w:r>
    </w:p>
    <w:p>
      <w:r>
        <w:t>Сканы без текстового слоя пропускаются: страницы, для которых не найден текст, не попадают в индекс. Документы с большим количеством изображений индексируются только в части текстовых страниц.</w:t>
      </w:r>
    </w:p>
    <w:p>
      <w:r>
        <w:rPr>
          <w:i/>
        </w:rPr>
        <w:t>Примечание. Документ подготовлен для демонстрационного корпуса; параметры соответствуют демонстрационной конфигурации системы.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