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Обзор изменений законодательства за III квартал 2026 года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Подготовлено</w:t>
            </w:r>
          </w:p>
        </w:tc>
        <w:tc>
          <w:tcPr>
            <w:tcW w:type="dxa" w:w="4320"/>
          </w:tcPr>
          <w:p>
            <w:r>
              <w:t>Правовой отдел ДЦС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30.09.2026</w:t>
            </w:r>
          </w:p>
        </w:tc>
      </w:tr>
      <w:tr>
        <w:tc>
          <w:tcPr>
            <w:tcW w:type="dxa" w:w="4320"/>
          </w:tcPr>
          <w:p>
            <w:r>
              <w:t>Версия обзора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Статус</w:t>
            </w:r>
          </w:p>
        </w:tc>
        <w:tc>
          <w:tcPr>
            <w:tcW w:type="dxa" w:w="4320"/>
          </w:tcPr>
          <w:p>
            <w:r>
              <w:t>Для внутреннего использования</w:t>
            </w:r>
          </w:p>
        </w:tc>
      </w:tr>
    </w:tbl>
    <w:p>
      <w:pPr>
        <w:pStyle w:val="Heading2"/>
        <w:jc w:val="left"/>
      </w:pPr>
      <w:r>
        <w:t>1. Общие положения</w:t>
      </w:r>
    </w:p>
    <w:p>
      <w:r>
        <w:t>Обзор содержит перечень изменений, влияющих на работу информационных систем и подразделений, а также оценку влияния на действующие регламенты. Изменения приведены по состоянию на 30.09.2026.</w:t>
      </w:r>
    </w:p>
    <w:p>
      <w:pPr>
        <w:pStyle w:val="Heading2"/>
        <w:jc w:val="left"/>
      </w:pPr>
      <w:r>
        <w:t>2. Перечень изменений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Документ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Суть изменения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Вступление в силу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Приказ № 417</w:t>
            </w:r>
          </w:p>
        </w:tc>
        <w:tc>
          <w:tcPr>
            <w:tcW w:type="dxa" w:w="2160"/>
          </w:tcPr>
          <w:p>
            <w:r>
              <w:t>Обязательное указание идентификатора машиночитаемой доверенности в электронной декларации</w:t>
            </w:r>
          </w:p>
        </w:tc>
        <w:tc>
          <w:tcPr>
            <w:tcW w:type="dxa" w:w="2160"/>
          </w:tcPr>
          <w:p>
            <w:r>
              <w:t>01.10.2026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Приказ № 431</w:t>
            </w:r>
          </w:p>
        </w:tc>
        <w:tc>
          <w:tcPr>
            <w:tcW w:type="dxa" w:w="2160"/>
          </w:tcPr>
          <w:p>
            <w:r>
              <w:t>Сокращение срока рассмотрения заявок на экспертизу тарифов с 30 до 20 рабочих дней</w:t>
            </w:r>
          </w:p>
        </w:tc>
        <w:tc>
          <w:tcPr>
            <w:tcW w:type="dxa" w:w="2160"/>
          </w:tcPr>
          <w:p>
            <w:r>
              <w:t>01.12.2026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Приказ № 425</w:t>
            </w:r>
          </w:p>
        </w:tc>
        <w:tc>
          <w:tcPr>
            <w:tcW w:type="dxa" w:w="2160"/>
          </w:tcPr>
          <w:p>
            <w:r>
              <w:t>Расширение состава сведений, передаваемых в ЦРСВЭД: добавлены 4 показателя</w:t>
            </w:r>
          </w:p>
        </w:tc>
        <w:tc>
          <w:tcPr>
            <w:tcW w:type="dxa" w:w="2160"/>
          </w:tcPr>
          <w:p>
            <w:r>
              <w:t>01.11.2026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Приказ № 440</w:t>
            </w:r>
          </w:p>
        </w:tc>
        <w:tc>
          <w:tcPr>
            <w:tcW w:type="dxa" w:w="2160"/>
          </w:tcPr>
          <w:p>
            <w:r>
              <w:t>Уточнение оснований для отказа в предоставлении сведений по запросам правоохранительных органов</w:t>
            </w:r>
          </w:p>
        </w:tc>
        <w:tc>
          <w:tcPr>
            <w:tcW w:type="dxa" w:w="2160"/>
          </w:tcPr>
          <w:p>
            <w:r>
              <w:t>01.10.2026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Приказ № 452</w:t>
            </w:r>
          </w:p>
        </w:tc>
        <w:tc>
          <w:tcPr>
            <w:tcW w:type="dxa" w:w="2160"/>
          </w:tcPr>
          <w:p>
            <w:r>
              <w:t>Увеличение срока хранения переписки по обращениям граждан с 1 года до 3 лет</w:t>
            </w:r>
          </w:p>
        </w:tc>
        <w:tc>
          <w:tcPr>
            <w:tcW w:type="dxa" w:w="2160"/>
          </w:tcPr>
          <w:p>
            <w:r>
              <w:t>01.01.2027</w:t>
            </w:r>
          </w:p>
        </w:tc>
      </w:tr>
    </w:tbl>
    <w:p>
      <w:pPr>
        <w:pStyle w:val="Heading2"/>
        <w:jc w:val="left"/>
      </w:pPr>
      <w:r>
        <w:t>3. Влияние на информационные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Система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Изменение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Требуется доработка</w:t>
            </w:r>
          </w:p>
        </w:tc>
      </w:tr>
      <w:tr>
        <w:tc>
          <w:tcPr>
            <w:tcW w:type="dxa" w:w="2880"/>
          </w:tcPr>
          <w:p>
            <w:r>
              <w:t>ИПС «Тарифы»</w:t>
            </w:r>
          </w:p>
        </w:tc>
        <w:tc>
          <w:tcPr>
            <w:tcW w:type="dxa" w:w="2880"/>
          </w:tcPr>
          <w:p>
            <w:r>
              <w:t>Сокращение срока рассмотрения заявок</w:t>
            </w:r>
          </w:p>
        </w:tc>
        <w:tc>
          <w:tcPr>
            <w:tcW w:type="dxa" w:w="2880"/>
          </w:tcPr>
          <w:p>
            <w:r>
              <w:t>до 01.12.2026</w:t>
            </w:r>
          </w:p>
        </w:tc>
      </w:tr>
      <w:tr>
        <w:tc>
          <w:tcPr>
            <w:tcW w:type="dxa" w:w="2880"/>
          </w:tcPr>
          <w:p>
            <w:r>
              <w:t>ИПС «Малахит»</w:t>
            </w:r>
          </w:p>
        </w:tc>
        <w:tc>
          <w:tcPr>
            <w:tcW w:type="dxa" w:w="2880"/>
          </w:tcPr>
          <w:p>
            <w:r>
              <w:t>Новые показатели в отчётности</w:t>
            </w:r>
          </w:p>
        </w:tc>
        <w:tc>
          <w:tcPr>
            <w:tcW w:type="dxa" w:w="2880"/>
          </w:tcPr>
          <w:p>
            <w:r>
              <w:t>до 01.11.2026</w:t>
            </w:r>
          </w:p>
        </w:tc>
      </w:tr>
      <w:tr>
        <w:tc>
          <w:tcPr>
            <w:tcW w:type="dxa" w:w="2880"/>
          </w:tcPr>
          <w:p>
            <w:r>
              <w:t>ИПС «Постконтроль»</w:t>
            </w:r>
          </w:p>
        </w:tc>
        <w:tc>
          <w:tcPr>
            <w:tcW w:type="dxa" w:w="2880"/>
          </w:tcPr>
          <w:p>
            <w:r>
              <w:t>Уточнение оснований отказа</w:t>
            </w:r>
          </w:p>
        </w:tc>
        <w:tc>
          <w:tcPr>
            <w:tcW w:type="dxa" w:w="2880"/>
          </w:tcPr>
          <w:p>
            <w:r>
              <w:t>до 01.10.2026</w:t>
            </w:r>
          </w:p>
        </w:tc>
      </w:tr>
      <w:tr>
        <w:tc>
          <w:tcPr>
            <w:tcW w:type="dxa" w:w="2880"/>
          </w:tcPr>
          <w:p>
            <w:r>
              <w:t>Хранилище документов</w:t>
            </w:r>
          </w:p>
        </w:tc>
        <w:tc>
          <w:tcPr>
            <w:tcW w:type="dxa" w:w="2880"/>
          </w:tcPr>
          <w:p>
            <w:r>
              <w:t>Новые сроки хранения</w:t>
            </w:r>
          </w:p>
        </w:tc>
        <w:tc>
          <w:tcPr>
            <w:tcW w:type="dxa" w:w="2880"/>
          </w:tcPr>
          <w:p>
            <w:r>
              <w:t>до 01.01.2027</w:t>
            </w:r>
          </w:p>
        </w:tc>
      </w:tr>
    </w:tbl>
    <w:p>
      <w:pPr>
        <w:pStyle w:val="Heading2"/>
        <w:jc w:val="left"/>
      </w:pPr>
      <w:r>
        <w:t>4. Рекомендации подразделениям</w:t>
      </w:r>
    </w:p>
    <w:p>
      <w:pPr>
        <w:pStyle w:val="ListNumber"/>
      </w:pPr>
      <w:r>
        <w:t>актуализировать регламенты с учётом новых сроков;</w:t>
      </w:r>
    </w:p>
    <w:p>
      <w:pPr>
        <w:pStyle w:val="ListNumber"/>
      </w:pPr>
      <w:r>
        <w:t>проверить шаблоны документов на соответствие требованиям приказов;</w:t>
      </w:r>
    </w:p>
    <w:p>
      <w:pPr>
        <w:pStyle w:val="ListNumber"/>
      </w:pPr>
      <w:r>
        <w:t>направить заявки на доработку информационных систем в срок не позднее 30 дней до вступления изменений в силу;</w:t>
      </w:r>
    </w:p>
    <w:p>
      <w:pPr>
        <w:pStyle w:val="ListNumber"/>
      </w:pPr>
      <w:r>
        <w:t>довести обзор до сотрудников под подпись.</w:t>
      </w:r>
    </w:p>
    <w:p>
      <w:r>
        <w:rPr>
          <w:i/>
        </w:rPr>
        <w:t>Примечание. Документ подготовлен для демонстрационного корпуса; номера приказов и формулировки вымышлены.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