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Программная система «Тарифы».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документа</w:t>
            </w:r>
          </w:p>
        </w:tc>
        <w:tc>
          <w:tcPr>
            <w:tcW w:type="dxa" w:w="4320"/>
          </w:tcPr>
          <w:p>
            <w:r>
              <w:t>ПС-ТАРИФЫ-ТТ-2.4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Дата утверждения</w:t>
            </w:r>
          </w:p>
        </w:tc>
        <w:tc>
          <w:tcPr>
            <w:tcW w:type="dxa" w:w="4320"/>
          </w:tcPr>
          <w:p>
            <w:r>
              <w:t>12.08.2026</w:t>
            </w:r>
          </w:p>
        </w:tc>
      </w:tr>
      <w:tr>
        <w:tc>
          <w:tcPr>
            <w:tcW w:type="dxa" w:w="4320"/>
          </w:tcPr>
          <w:p>
            <w:r>
              <w:t>Основание</w:t>
            </w:r>
          </w:p>
        </w:tc>
        <w:tc>
          <w:tcPr>
            <w:tcW w:type="dxa" w:w="4320"/>
          </w:tcPr>
          <w:p>
            <w:r>
              <w:t>Приказ Департамента цифровых сервисов № 214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Департамент цифровых сервисов (ДЦС)</w:t>
            </w:r>
          </w:p>
        </w:tc>
      </w:tr>
      <w:tr>
        <w:tc>
          <w:tcPr>
            <w:tcW w:type="dxa" w:w="4320"/>
          </w:tcPr>
          <w:p>
            <w:r>
              <w:t>Разработчик</w:t>
            </w:r>
          </w:p>
        </w:tc>
        <w:tc>
          <w:tcPr>
            <w:tcW w:type="dxa" w:w="4320"/>
          </w:tcPr>
          <w:p>
            <w:r>
              <w:t>ООО «ИнфоТех-Сервис»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Утверждён, действует</w:t>
            </w:r>
          </w:p>
        </w:tc>
      </w:tr>
    </w:tbl>
    <w:p>
      <w:pPr>
        <w:pStyle w:val="Heading2"/>
        <w:jc w:val="left"/>
      </w:pPr>
      <w:r>
        <w:t>1. Общие сведения</w:t>
      </w:r>
    </w:p>
    <w:p>
      <w:r>
        <w:t>Настоящий документ определяет технические требования к программной системе «Тарифы» (далее — ПС), предназначенной для приёма, обработки и экспертизы заявок на установление и изменение тарифов, а также для ведения единого реестра тарифных решений.</w:t>
      </w:r>
    </w:p>
    <w:p>
      <w:r>
        <w:t>ПС эксплуатируется в контуре Департамента цифровых сервисов и интегрирована с информационными системами заявителей и смежных подразделений по протоколу REST/JSON.</w:t>
      </w:r>
    </w:p>
    <w:p>
      <w:pPr>
        <w:pStyle w:val="Heading2"/>
        <w:jc w:val="left"/>
      </w:pPr>
      <w:r>
        <w:t>2. Цели и задачи</w:t>
      </w:r>
    </w:p>
    <w:p>
      <w:pPr>
        <w:pStyle w:val="ListBullet"/>
      </w:pPr>
      <w:r>
        <w:t>сокращение срока рассмотрения заявок за счёт автоматической проверки комплектности и предварительной валидации расчётов;</w:t>
      </w:r>
    </w:p>
    <w:p>
      <w:pPr>
        <w:pStyle w:val="ListBullet"/>
      </w:pPr>
      <w:r>
        <w:t>исключение ручного дублирования данных при переносе заявок из внешних систем;</w:t>
      </w:r>
    </w:p>
    <w:p>
      <w:pPr>
        <w:pStyle w:val="ListBullet"/>
      </w:pPr>
      <w:r>
        <w:t>формирование единого реестра тарифных решений с историей изменений;</w:t>
      </w:r>
    </w:p>
    <w:p>
      <w:pPr>
        <w:pStyle w:val="ListBullet"/>
      </w:pPr>
      <w:r>
        <w:t>обеспечение прослеживаемости каждого решения до исходной заявки и приложений.</w:t>
      </w:r>
    </w:p>
    <w:p>
      <w:pPr>
        <w:pStyle w:val="Heading2"/>
        <w:jc w:val="left"/>
      </w:pPr>
      <w:r>
        <w:t>3. Состав подсистем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Подсистема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Модуль приёма заявок</w:t>
            </w:r>
          </w:p>
        </w:tc>
        <w:tc>
          <w:tcPr>
            <w:tcW w:type="dxa" w:w="4320"/>
          </w:tcPr>
          <w:p>
            <w:r>
              <w:t>Приём заявок и приложений, регистрация, проверка комплектности</w:t>
            </w:r>
          </w:p>
        </w:tc>
      </w:tr>
      <w:tr>
        <w:tc>
          <w:tcPr>
            <w:tcW w:type="dxa" w:w="4320"/>
          </w:tcPr>
          <w:p>
            <w:r>
              <w:t>Модуль экспертизы</w:t>
            </w:r>
          </w:p>
        </w:tc>
        <w:tc>
          <w:tcPr>
            <w:tcW w:type="dxa" w:w="4320"/>
          </w:tcPr>
          <w:p>
            <w:r>
              <w:t>Маршрутизация заявок экспертам, ведение заключений</w:t>
            </w:r>
          </w:p>
        </w:tc>
      </w:tr>
      <w:tr>
        <w:tc>
          <w:tcPr>
            <w:tcW w:type="dxa" w:w="4320"/>
          </w:tcPr>
          <w:p>
            <w:r>
              <w:t>Ядро расчёта тарифов</w:t>
            </w:r>
          </w:p>
        </w:tc>
        <w:tc>
          <w:tcPr>
            <w:tcW w:type="dxa" w:w="4320"/>
          </w:tcPr>
          <w:p>
            <w:r>
              <w:t>Расчёт по правилам, проверка обоснований</w:t>
            </w:r>
          </w:p>
        </w:tc>
      </w:tr>
      <w:tr>
        <w:tc>
          <w:tcPr>
            <w:tcW w:type="dxa" w:w="4320"/>
          </w:tcPr>
          <w:p>
            <w:r>
              <w:t>Хранилище решений</w:t>
            </w:r>
          </w:p>
        </w:tc>
        <w:tc>
          <w:tcPr>
            <w:tcW w:type="dxa" w:w="4320"/>
          </w:tcPr>
          <w:p>
            <w:r>
              <w:t>Реестр тарифных решений и версий документов</w:t>
            </w:r>
          </w:p>
        </w:tc>
      </w:tr>
      <w:tr>
        <w:tc>
          <w:tcPr>
            <w:tcW w:type="dxa" w:w="4320"/>
          </w:tcPr>
          <w:p>
            <w:r>
              <w:t>Интеграционная шина</w:t>
            </w:r>
          </w:p>
        </w:tc>
        <w:tc>
          <w:tcPr>
            <w:tcW w:type="dxa" w:w="4320"/>
          </w:tcPr>
          <w:p>
            <w:r>
              <w:t>Обмен с внешними системами, очереди сообщений</w:t>
            </w:r>
          </w:p>
        </w:tc>
      </w:tr>
      <w:tr>
        <w:tc>
          <w:tcPr>
            <w:tcW w:type="dxa" w:w="4320"/>
          </w:tcPr>
          <w:p>
            <w:r>
              <w:t>Портал пользователя</w:t>
            </w:r>
          </w:p>
        </w:tc>
        <w:tc>
          <w:tcPr>
            <w:tcW w:type="dxa" w:w="4320"/>
          </w:tcPr>
          <w:p>
            <w:r>
              <w:t>Веб-интерфейс для участников процесса</w:t>
            </w:r>
          </w:p>
        </w:tc>
      </w:tr>
    </w:tbl>
    <w:p>
      <w:pPr>
        <w:pStyle w:val="Heading2"/>
        <w:jc w:val="left"/>
      </w:pPr>
      <w:r>
        <w:t>4. Требования к функциональности</w:t>
      </w:r>
    </w:p>
    <w:p>
      <w:pPr>
        <w:pStyle w:val="Heading3"/>
        <w:jc w:val="left"/>
      </w:pPr>
      <w:r>
        <w:t>4.1. Приём заявок</w:t>
      </w:r>
    </w:p>
    <w:p>
      <w:r>
        <w:t>ПС должна обеспечивать приём заявок в электронном виде, включая многокомпонентные приложения. Комплектность заявки проверяется автоматически до регистрации. Максимальный размер одного вложения — 20 МБ, общий размер заявки — не более 100 МБ.</w:t>
      </w:r>
    </w:p>
    <w:p>
      <w:pPr>
        <w:pStyle w:val="Heading3"/>
        <w:jc w:val="left"/>
      </w:pPr>
      <w:r>
        <w:t>4.2. Экспертиза и расчёт</w:t>
      </w:r>
    </w:p>
    <w:p>
      <w:pPr>
        <w:pStyle w:val="ListNumber"/>
      </w:pPr>
      <w:r>
        <w:t>автоматическая проверка обязательных полей и форматов;</w:t>
      </w:r>
    </w:p>
    <w:p>
      <w:pPr>
        <w:pStyle w:val="ListNumber"/>
      </w:pPr>
      <w:r>
        <w:t>расчёт по 148 правилам с фиксацией версии правил на дату расчёта;</w:t>
      </w:r>
    </w:p>
    <w:p>
      <w:pPr>
        <w:pStyle w:val="ListNumber"/>
      </w:pPr>
      <w:r>
        <w:t>формирование замечаний с привязкой к пункту заявки;</w:t>
      </w:r>
    </w:p>
    <w:p>
      <w:pPr>
        <w:pStyle w:val="ListNumber"/>
      </w:pPr>
      <w:r>
        <w:t>повторная экспертиза при изменении исходных данных заявки.</w:t>
      </w:r>
    </w:p>
    <w:p>
      <w:pPr>
        <w:pStyle w:val="Heading3"/>
        <w:jc w:val="left"/>
      </w:pPr>
      <w:r>
        <w:t>4.3. Формирование решений</w:t>
      </w:r>
    </w:p>
    <w:p>
      <w:r>
        <w:t>По результатам экспертизы ПС формирует проект тарифного решения, который подписывается усиленной квалифицированной электронной подписью уполномоченного сотрудника. Решение публикуется в реестре и становится доступным заявителю.</w:t>
      </w:r>
    </w:p>
    <w:p>
      <w:pPr>
        <w:pStyle w:val="Heading2"/>
        <w:jc w:val="left"/>
      </w:pPr>
      <w:r>
        <w:t>5. Требования к производительности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Время отклика при подаче заявки</w:t>
            </w:r>
          </w:p>
        </w:tc>
        <w:tc>
          <w:tcPr>
            <w:tcW w:type="dxa" w:w="4320"/>
          </w:tcPr>
          <w:p>
            <w:r>
              <w:t>не более 3 секунд</w:t>
            </w:r>
          </w:p>
        </w:tc>
      </w:tr>
      <w:tr>
        <w:tc>
          <w:tcPr>
            <w:tcW w:type="dxa" w:w="4320"/>
          </w:tcPr>
          <w:p>
            <w:r>
              <w:t>Время отклика при поиске по реестру</w:t>
            </w:r>
          </w:p>
        </w:tc>
        <w:tc>
          <w:tcPr>
            <w:tcW w:type="dxa" w:w="4320"/>
          </w:tcPr>
          <w:p>
            <w:r>
              <w:t>не более 5 секунд</w:t>
            </w:r>
          </w:p>
        </w:tc>
      </w:tr>
      <w:tr>
        <w:tc>
          <w:tcPr>
            <w:tcW w:type="dxa" w:w="4320"/>
          </w:tcPr>
          <w:p>
            <w:r>
              <w:t>Пропускная способность</w:t>
            </w:r>
          </w:p>
        </w:tc>
        <w:tc>
          <w:tcPr>
            <w:tcW w:type="dxa" w:w="4320"/>
          </w:tcPr>
          <w:p>
            <w:r>
              <w:t>до 500 заявок в сутки</w:t>
            </w:r>
          </w:p>
        </w:tc>
      </w:tr>
      <w:tr>
        <w:tc>
          <w:tcPr>
            <w:tcW w:type="dxa" w:w="4320"/>
          </w:tcPr>
          <w:p>
            <w:r>
              <w:t>Одновременных пользователей</w:t>
            </w:r>
          </w:p>
        </w:tc>
        <w:tc>
          <w:tcPr>
            <w:tcW w:type="dxa" w:w="4320"/>
          </w:tcPr>
          <w:p>
            <w:r>
              <w:t>не менее 150</w:t>
            </w:r>
          </w:p>
        </w:tc>
      </w:tr>
      <w:tr>
        <w:tc>
          <w:tcPr>
            <w:tcW w:type="dxa" w:w="4320"/>
          </w:tcPr>
          <w:p>
            <w:r>
              <w:t>Доступность системы</w:t>
            </w:r>
          </w:p>
        </w:tc>
        <w:tc>
          <w:tcPr>
            <w:tcW w:type="dxa" w:w="4320"/>
          </w:tcPr>
          <w:p>
            <w:r>
              <w:t>не ниже 99,5 % в месяц</w:t>
            </w:r>
          </w:p>
        </w:tc>
      </w:tr>
    </w:tbl>
    <w:p>
      <w:pPr>
        <w:pStyle w:val="Heading2"/>
        <w:jc w:val="left"/>
      </w:pPr>
      <w:r>
        <w:t>6. Требования к надёжности</w:t>
      </w:r>
    </w:p>
    <w:p>
      <w:r>
        <w:t>ПС должна сохранять работоспособность при отказе одного сервера приложений. Резервное копирование базы данных выполняется ежедневно, срок хранения резервных копий — 30 дней. Время восстановления после аварии — не более 4 часов.</w:t>
      </w:r>
    </w:p>
    <w:p>
      <w:pPr>
        <w:pStyle w:val="Heading2"/>
        <w:jc w:val="left"/>
      </w:pPr>
      <w:r>
        <w:t>7. Роли пользователей и права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t>Аналитик тарифов</w:t>
            </w:r>
          </w:p>
        </w:tc>
        <w:tc>
          <w:tcPr>
            <w:tcW w:type="dxa" w:w="4320"/>
          </w:tcPr>
          <w:p>
            <w:r>
              <w:t>Подача заявок, просмотр реестра и статусов</w:t>
            </w:r>
          </w:p>
        </w:tc>
      </w:tr>
      <w:tr>
        <w:tc>
          <w:tcPr>
            <w:tcW w:type="dxa" w:w="4320"/>
          </w:tcPr>
          <w:p>
            <w:r>
              <w:t>Эксперт</w:t>
            </w:r>
          </w:p>
        </w:tc>
        <w:tc>
          <w:tcPr>
            <w:tcW w:type="dxa" w:w="4320"/>
          </w:tcPr>
          <w:p>
            <w:r>
              <w:t>Проведение экспертизы, подготовка заключений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Подписание решений, утверждение заключений</w:t>
            </w:r>
          </w:p>
        </w:tc>
      </w:tr>
      <w:tr>
        <w:tc>
          <w:tcPr>
            <w:tcW w:type="dxa" w:w="4320"/>
          </w:tcPr>
          <w:p>
            <w:r>
              <w:t>Администратор ПС</w:t>
            </w:r>
          </w:p>
        </w:tc>
        <w:tc>
          <w:tcPr>
            <w:tcW w:type="dxa" w:w="4320"/>
          </w:tcPr>
          <w:p>
            <w:r>
              <w:t>Управление справочниками, правилами и пользователями</w:t>
            </w:r>
          </w:p>
        </w:tc>
      </w:tr>
    </w:tbl>
    <w:p>
      <w:pPr>
        <w:pStyle w:val="Heading2"/>
        <w:jc w:val="left"/>
      </w:pPr>
      <w:r>
        <w:t>8. Этапы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Разработка</w:t>
            </w:r>
          </w:p>
        </w:tc>
        <w:tc>
          <w:tcPr>
            <w:tcW w:type="dxa" w:w="2880"/>
          </w:tcPr>
          <w:p>
            <w:r>
              <w:t>до 30.06.2026</w:t>
            </w:r>
          </w:p>
        </w:tc>
        <w:tc>
          <w:tcPr>
            <w:tcW w:type="dxa" w:w="2880"/>
          </w:tcPr>
          <w:p>
            <w:r>
              <w:t>Комплект документации, сборка 2.4</w:t>
            </w:r>
          </w:p>
        </w:tc>
      </w:tr>
      <w:tr>
        <w:tc>
          <w:tcPr>
            <w:tcW w:type="dxa" w:w="2880"/>
          </w:tcPr>
          <w:p>
            <w:r>
              <w:t>Опытная эксплуатация</w:t>
            </w:r>
          </w:p>
        </w:tc>
        <w:tc>
          <w:tcPr>
            <w:tcW w:type="dxa" w:w="2880"/>
          </w:tcPr>
          <w:p>
            <w:r>
              <w:t>01.09.2026 — 30.11.2026</w:t>
            </w:r>
          </w:p>
        </w:tc>
        <w:tc>
          <w:tcPr>
            <w:tcW w:type="dxa" w:w="2880"/>
          </w:tcPr>
          <w:p>
            <w:r>
              <w:t>Отчёт об опытной эксплуатации</w:t>
            </w:r>
          </w:p>
        </w:tc>
      </w:tr>
      <w:tr>
        <w:tc>
          <w:tcPr>
            <w:tcW w:type="dxa" w:w="2880"/>
          </w:tcPr>
          <w:p>
            <w:r>
              <w:t>Приёмочные испытания</w:t>
            </w:r>
          </w:p>
        </w:tc>
        <w:tc>
          <w:tcPr>
            <w:tcW w:type="dxa" w:w="2880"/>
          </w:tcPr>
          <w:p>
            <w:r>
              <w:t>март 2027</w:t>
            </w:r>
          </w:p>
        </w:tc>
        <w:tc>
          <w:tcPr>
            <w:tcW w:type="dxa" w:w="2880"/>
          </w:tcPr>
          <w:p>
            <w:r>
              <w:t>Протокол ПСИ</w:t>
            </w:r>
          </w:p>
        </w:tc>
      </w:tr>
      <w:tr>
        <w:tc>
          <w:tcPr>
            <w:tcW w:type="dxa" w:w="2880"/>
          </w:tcPr>
          <w:p>
            <w:r>
              <w:t>Постоянная эксплуатация</w:t>
            </w:r>
          </w:p>
        </w:tc>
        <w:tc>
          <w:tcPr>
            <w:tcW w:type="dxa" w:w="2880"/>
          </w:tcPr>
          <w:p>
            <w:r>
              <w:t>с апреля 2027</w:t>
            </w:r>
          </w:p>
        </w:tc>
        <w:tc>
          <w:tcPr>
            <w:tcW w:type="dxa" w:w="2880"/>
          </w:tcPr>
          <w:p>
            <w:r>
              <w:t>Ввод в эксплуатацию</w:t>
            </w:r>
          </w:p>
        </w:tc>
      </w:tr>
    </w:tbl>
    <w:p>
      <w:pPr>
        <w:pStyle w:val="Heading2"/>
        <w:jc w:val="left"/>
      </w:pPr>
      <w:r>
        <w:t>9. Требования к интеграции</w:t>
      </w:r>
    </w:p>
    <w:p>
      <w:r>
        <w:t>Обмен данными с внешними системами выполняется по протоколу REST/JSON в соответствии со спецификацией информационного взаимодействия ПС-ТАРИФЫ-СИВ-1.6. Авторизация внешних клиентов — по протоколу OAuth 2.0 (client_credentials).</w:t>
      </w:r>
    </w:p>
    <w:p>
      <w:pPr>
        <w:pStyle w:val="Heading2"/>
        <w:jc w:val="left"/>
      </w:pPr>
      <w:r>
        <w:t>10. Ограничения</w:t>
      </w:r>
    </w:p>
    <w:p>
      <w:pPr>
        <w:pStyle w:val="ListBullet"/>
      </w:pPr>
      <w:r>
        <w:t>заявки, поступившие на бумажном носителе, вносятся оператором вручную;</w:t>
      </w:r>
    </w:p>
    <w:p>
      <w:pPr>
        <w:pStyle w:val="ListBullet"/>
      </w:pPr>
      <w:r>
        <w:t>файлы, защищённые паролем, не принимаются;</w:t>
      </w:r>
    </w:p>
    <w:p>
      <w:pPr>
        <w:pStyle w:val="ListBullet"/>
      </w:pPr>
      <w:r>
        <w:t>срок хранения заявок и тарифных решений — 5 лет, после чего передаются в архив.</w:t>
      </w:r>
    </w:p>
    <w:p>
      <w:r>
        <w:rPr>
          <w:i/>
        </w:rPr>
        <w:t>Примечание. Документ подготовлен для демонстрационного корпуса. Организации, номера, даты и показатели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