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Спецификация информационного взаимодействия ИПС «Тарифы»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</w:t>
            </w:r>
          </w:p>
        </w:tc>
        <w:tc>
          <w:tcPr>
            <w:tcW w:type="dxa" w:w="4320"/>
          </w:tcPr>
          <w:p>
            <w:r>
              <w:t>ПС-ТАРИФЫ-СИВ-1.6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25.08.2026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Действует</w:t>
            </w:r>
          </w:p>
        </w:tc>
      </w:tr>
    </w:tbl>
    <w:p>
      <w:pPr>
        <w:pStyle w:val="Heading2"/>
        <w:jc w:val="left"/>
      </w:pPr>
      <w:r>
        <w:t>1. Назначение</w:t>
      </w:r>
    </w:p>
    <w:p>
      <w:r>
        <w:t>Спецификация описывает состав сервисов, форматы данных и ограничения при информационном взаимодействии внешних систем с ИПС «Тарифы».</w:t>
      </w:r>
    </w:p>
    <w:p>
      <w:pPr>
        <w:pStyle w:val="Heading2"/>
        <w:jc w:val="left"/>
      </w:pPr>
      <w:r>
        <w:t>2. Общая схема взаимодействия</w:t>
      </w:r>
    </w:p>
    <w:p>
      <w:r>
        <w:t>Внешняя система выступает в роли клиента и инициирует запросы к сервисам ИПС по защищённому каналу (TLS 1.2 и выше). Асинхронные операции выполняются по схеме «запрос — идентификатор задания — опрос статуса».</w:t>
      </w:r>
    </w:p>
    <w:p>
      <w:pPr>
        <w:pStyle w:val="Heading2"/>
        <w:jc w:val="left"/>
      </w:pPr>
      <w:r>
        <w:t>3. Авторизация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Схема</w:t>
            </w:r>
          </w:p>
        </w:tc>
        <w:tc>
          <w:tcPr>
            <w:tcW w:type="dxa" w:w="4320"/>
          </w:tcPr>
          <w:p>
            <w:r>
              <w:t>OAuth 2.0, grant type client_credentials</w:t>
            </w:r>
          </w:p>
        </w:tc>
      </w:tr>
      <w:tr>
        <w:tc>
          <w:tcPr>
            <w:tcW w:type="dxa" w:w="4320"/>
          </w:tcPr>
          <w:p>
            <w:r>
              <w:t>Срок жизни токена</w:t>
            </w:r>
          </w:p>
        </w:tc>
        <w:tc>
          <w:tcPr>
            <w:tcW w:type="dxa" w:w="4320"/>
          </w:tcPr>
          <w:p>
            <w:r>
              <w:t>3600 секунд</w:t>
            </w:r>
          </w:p>
        </w:tc>
      </w:tr>
      <w:tr>
        <w:tc>
          <w:tcPr>
            <w:tcW w:type="dxa" w:w="4320"/>
          </w:tcPr>
          <w:p>
            <w:r>
              <w:t>Обновление токена</w:t>
            </w:r>
          </w:p>
        </w:tc>
        <w:tc>
          <w:tcPr>
            <w:tcW w:type="dxa" w:w="4320"/>
          </w:tcPr>
          <w:p>
            <w:r>
              <w:t>не позднее чем за 60 секунд до истечения</w:t>
            </w:r>
          </w:p>
        </w:tc>
      </w:tr>
      <w:tr>
        <w:tc>
          <w:tcPr>
            <w:tcW w:type="dxa" w:w="4320"/>
          </w:tcPr>
          <w:p>
            <w:r>
              <w:t>Транспорт</w:t>
            </w:r>
          </w:p>
        </w:tc>
        <w:tc>
          <w:tcPr>
            <w:tcW w:type="dxa" w:w="4320"/>
          </w:tcPr>
          <w:p>
            <w:r>
              <w:t>заголовок Authorization: Bearer &lt;token&gt;</w:t>
            </w:r>
          </w:p>
        </w:tc>
      </w:tr>
    </w:tbl>
    <w:p>
      <w:pPr>
        <w:pStyle w:val="Heading2"/>
        <w:jc w:val="left"/>
      </w:pPr>
      <w:r>
        <w:t>4. Перечень сервисов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POST /api/v1/applications</w:t>
            </w:r>
          </w:p>
        </w:tc>
        <w:tc>
          <w:tcPr>
            <w:tcW w:type="dxa" w:w="2160"/>
          </w:tcPr>
          <w:p>
            <w:r>
              <w:t>Создание заявки</w:t>
            </w:r>
          </w:p>
        </w:tc>
        <w:tc>
          <w:tcPr>
            <w:tcW w:type="dxa" w:w="2160"/>
          </w:tcPr>
          <w:p>
            <w:r>
              <w:t>синхронный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GET /api/v1/applications/{id}</w:t>
            </w:r>
          </w:p>
        </w:tc>
        <w:tc>
          <w:tcPr>
            <w:tcW w:type="dxa" w:w="2160"/>
          </w:tcPr>
          <w:p>
            <w:r>
              <w:t>Получение карточки заявки</w:t>
            </w:r>
          </w:p>
        </w:tc>
        <w:tc>
          <w:tcPr>
            <w:tcW w:type="dxa" w:w="2160"/>
          </w:tcPr>
          <w:p>
            <w:r>
              <w:t>синхронный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POST /api/v1/applications/{id}/attachments</w:t>
            </w:r>
          </w:p>
        </w:tc>
        <w:tc>
          <w:tcPr>
            <w:tcW w:type="dxa" w:w="2160"/>
          </w:tcPr>
          <w:p>
            <w:r>
              <w:t>Загрузка приложения</w:t>
            </w:r>
          </w:p>
        </w:tc>
        <w:tc>
          <w:tcPr>
            <w:tcW w:type="dxa" w:w="2160"/>
          </w:tcPr>
          <w:p>
            <w:r>
              <w:t>синхронный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GET /api/v1/applications/{id}/status</w:t>
            </w:r>
          </w:p>
        </w:tc>
        <w:tc>
          <w:tcPr>
            <w:tcW w:type="dxa" w:w="2160"/>
          </w:tcPr>
          <w:p>
            <w:r>
              <w:t>Статус обработки заявки</w:t>
            </w:r>
          </w:p>
        </w:tc>
        <w:tc>
          <w:tcPr>
            <w:tcW w:type="dxa" w:w="2160"/>
          </w:tcPr>
          <w:p>
            <w:r>
              <w:t>синхронный</w:t>
            </w:r>
          </w:p>
        </w:tc>
      </w:tr>
      <w:tr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>POST /api/v1/expertise/start</w:t>
            </w:r>
          </w:p>
        </w:tc>
        <w:tc>
          <w:tcPr>
            <w:tcW w:type="dxa" w:w="2160"/>
          </w:tcPr>
          <w:p>
            <w:r>
              <w:t>Запуск экспертизы</w:t>
            </w:r>
          </w:p>
        </w:tc>
        <w:tc>
          <w:tcPr>
            <w:tcW w:type="dxa" w:w="2160"/>
          </w:tcPr>
          <w:p>
            <w:r>
              <w:t>асинхронный</w:t>
            </w:r>
          </w:p>
        </w:tc>
      </w:tr>
      <w:tr>
        <w:tc>
          <w:tcPr>
            <w:tcW w:type="dxa" w:w="2160"/>
          </w:tcPr>
          <w:p>
            <w:r>
              <w:t>S6</w:t>
            </w:r>
          </w:p>
        </w:tc>
        <w:tc>
          <w:tcPr>
            <w:tcW w:type="dxa" w:w="2160"/>
          </w:tcPr>
          <w:p>
            <w:r>
              <w:t>GET /api/v1/expertise/{job_id}</w:t>
            </w:r>
          </w:p>
        </w:tc>
        <w:tc>
          <w:tcPr>
            <w:tcW w:type="dxa" w:w="2160"/>
          </w:tcPr>
          <w:p>
            <w:r>
              <w:t>Результат экспертизы</w:t>
            </w:r>
          </w:p>
        </w:tc>
        <w:tc>
          <w:tcPr>
            <w:tcW w:type="dxa" w:w="2160"/>
          </w:tcPr>
          <w:p>
            <w:r>
              <w:t>синхронный</w:t>
            </w:r>
          </w:p>
        </w:tc>
      </w:tr>
      <w:tr>
        <w:tc>
          <w:tcPr>
            <w:tcW w:type="dxa" w:w="2160"/>
          </w:tcPr>
          <w:p>
            <w:r>
              <w:t>S7</w:t>
            </w:r>
          </w:p>
        </w:tc>
        <w:tc>
          <w:tcPr>
            <w:tcW w:type="dxa" w:w="2160"/>
          </w:tcPr>
          <w:p>
            <w:r>
              <w:t>GET /api/v1/decisions</w:t>
            </w:r>
          </w:p>
        </w:tc>
        <w:tc>
          <w:tcPr>
            <w:tcW w:type="dxa" w:w="2160"/>
          </w:tcPr>
          <w:p>
            <w:r>
              <w:t>Поиск тарифных решений</w:t>
            </w:r>
          </w:p>
        </w:tc>
        <w:tc>
          <w:tcPr>
            <w:tcW w:type="dxa" w:w="2160"/>
          </w:tcPr>
          <w:p>
            <w:r>
              <w:t>синхронный</w:t>
            </w:r>
          </w:p>
        </w:tc>
      </w:tr>
      <w:tr>
        <w:tc>
          <w:tcPr>
            <w:tcW w:type="dxa" w:w="2160"/>
          </w:tcPr>
          <w:p>
            <w:r>
              <w:t>S8</w:t>
            </w:r>
          </w:p>
        </w:tc>
        <w:tc>
          <w:tcPr>
            <w:tcW w:type="dxa" w:w="2160"/>
          </w:tcPr>
          <w:p>
            <w:r>
              <w:t>GET /api/v1/dictionaries/{code}</w:t>
            </w:r>
          </w:p>
        </w:tc>
        <w:tc>
          <w:tcPr>
            <w:tcW w:type="dxa" w:w="2160"/>
          </w:tcPr>
          <w:p>
            <w:r>
              <w:t>Справочники</w:t>
            </w:r>
          </w:p>
        </w:tc>
        <w:tc>
          <w:tcPr>
            <w:tcW w:type="dxa" w:w="2160"/>
          </w:tcPr>
          <w:p>
            <w:r>
              <w:t>синхронный</w:t>
            </w:r>
          </w:p>
        </w:tc>
      </w:tr>
    </w:tbl>
    <w:p>
      <w:pPr>
        <w:pStyle w:val="Heading2"/>
        <w:jc w:val="left"/>
      </w:pPr>
      <w:r>
        <w:t>5. Форматы данных</w:t>
      </w:r>
    </w:p>
    <w:p>
      <w:r>
        <w:t>Обмен выполняется в формате JSON в кодировке UTF-8. Обязательные поля запроса S1: номер заявителя, период регулирования, перечень позиций. Ошибка возвращается с кодом HTTP 4xx/5xx и телом, содержащим поля code, message и trace_id.</w:t>
      </w:r>
    </w:p>
    <w:p>
      <w:pPr>
        <w:pStyle w:val="Heading2"/>
        <w:jc w:val="left"/>
      </w:pPr>
      <w:r>
        <w:t>6. Ограничения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Ограничение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Частота запросов</w:t>
            </w:r>
          </w:p>
        </w:tc>
        <w:tc>
          <w:tcPr>
            <w:tcW w:type="dxa" w:w="4320"/>
          </w:tcPr>
          <w:p>
            <w:r>
              <w:t>не более 60 запросов в минуту на клиента</w:t>
            </w:r>
          </w:p>
        </w:tc>
      </w:tr>
      <w:tr>
        <w:tc>
          <w:tcPr>
            <w:tcW w:type="dxa" w:w="4320"/>
          </w:tcPr>
          <w:p>
            <w:r>
              <w:t>Время обработки асинхронной операции</w:t>
            </w:r>
          </w:p>
        </w:tc>
        <w:tc>
          <w:tcPr>
            <w:tcW w:type="dxa" w:w="4320"/>
          </w:tcPr>
          <w:p>
            <w:r>
              <w:t>до 5 минут</w:t>
            </w:r>
          </w:p>
        </w:tc>
      </w:tr>
      <w:tr>
        <w:tc>
          <w:tcPr>
            <w:tcW w:type="dxa" w:w="4320"/>
          </w:tcPr>
          <w:p>
            <w:r>
              <w:t>Период опроса статуса</w:t>
            </w:r>
          </w:p>
        </w:tc>
        <w:tc>
          <w:tcPr>
            <w:tcW w:type="dxa" w:w="4320"/>
          </w:tcPr>
          <w:p>
            <w:r>
              <w:t>не чаще одного раза в 30 секунд</w:t>
            </w:r>
          </w:p>
        </w:tc>
      </w:tr>
      <w:tr>
        <w:tc>
          <w:tcPr>
            <w:tcW w:type="dxa" w:w="4320"/>
          </w:tcPr>
          <w:p>
            <w:r>
              <w:t>Максимальный размер запроса</w:t>
            </w:r>
          </w:p>
        </w:tc>
        <w:tc>
          <w:tcPr>
            <w:tcW w:type="dxa" w:w="4320"/>
          </w:tcPr>
          <w:p>
            <w:r>
              <w:t>20 МБ</w:t>
            </w:r>
          </w:p>
        </w:tc>
      </w:tr>
    </w:tbl>
    <w:p>
      <w:r>
        <w:rPr>
          <w:i/>
        </w:rPr>
        <w:t>Примечание. При превышении частоты запросов сервис возвращает код 429; повторный запрос допускается через 60 секунд.</w:t>
      </w:r>
    </w:p>
    <w:p>
      <w:pPr>
        <w:pStyle w:val="Heading2"/>
        <w:jc w:val="left"/>
      </w:pPr>
      <w:r>
        <w:t>7. Контуры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Контур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Адрес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Продуктивный</w:t>
            </w:r>
          </w:p>
        </w:tc>
        <w:tc>
          <w:tcPr>
            <w:tcW w:type="dxa" w:w="2880"/>
          </w:tcPr>
          <w:p>
            <w:r>
              <w:t>https://tariff-ed.local/api/v1</w:t>
            </w:r>
          </w:p>
        </w:tc>
        <w:tc>
          <w:tcPr>
            <w:tcW w:type="dxa" w:w="2880"/>
          </w:tcPr>
          <w:p>
            <w:r>
              <w:t>Промышленная эксплуатация</w:t>
            </w:r>
          </w:p>
        </w:tc>
      </w:tr>
      <w:tr>
        <w:tc>
          <w:tcPr>
            <w:tcW w:type="dxa" w:w="2880"/>
          </w:tcPr>
          <w:p>
            <w:r>
              <w:t>Тестовый</w:t>
            </w:r>
          </w:p>
        </w:tc>
        <w:tc>
          <w:tcPr>
            <w:tcW w:type="dxa" w:w="2880"/>
          </w:tcPr>
          <w:p>
            <w:r>
              <w:t>https://test.tariff-ed.local/api/v1</w:t>
            </w:r>
          </w:p>
        </w:tc>
        <w:tc>
          <w:tcPr>
            <w:tcW w:type="dxa" w:w="2880"/>
          </w:tcPr>
          <w:p>
            <w:r>
              <w:t>Отладка и приёмка</w:t>
            </w:r>
          </w:p>
        </w:tc>
      </w:tr>
    </w:tbl>
    <w:p>
      <w:r>
        <w:rPr>
          <w:i/>
        </w:rPr>
        <w:t>Примечание. Документ подготовлен для демонстрационного корпуса; адреса и параметры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