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rPr>
          <w:rFonts w:ascii="Arial" w:hAnsi="Arial"/>
          <w:b/>
          <w:color w:val="0F4C5C"/>
          <w:sz w:val="44"/>
        </w:rPr>
        <w:t>RoomAlyzer 2.0: Space Management Module</w:t>
      </w:r>
    </w:p>
    <w:p>
      <w:pPr>
        <w:keepNext/>
        <w:spacing w:before="320" w:after="120"/>
      </w:pPr>
      <w:r>
        <w:rPr>
          <w:rFonts w:ascii="Arial" w:hAnsi="Arial"/>
          <w:b/>
          <w:color w:val="0F4C5C"/>
          <w:sz w:val="28"/>
        </w:rPr>
        <w:t>THE CHALLENGES YOU ACTUALLY FACE</w:t>
      </w:r>
    </w:p>
    <w:p>
      <w:pPr>
        <w:spacing w:after="120" w:line="276" w:lineRule="auto"/>
      </w:pPr>
      <w:r>
        <w:rPr>
          <w:i w:val="0"/>
        </w:rPr>
        <w:t>When you cannot see real-time utilization, every real estate decision is just a guess. Traditional hybrid office policies say one thing, but human behavior says another.</w:t>
      </w:r>
    </w:p>
    <w:p>
      <w:pPr>
        <w:spacing w:after="120" w:line="276" w:lineRule="auto"/>
      </w:pPr>
      <w:r>
        <w:rPr>
          <w:i/>
        </w:rPr>
        <w:t>As organizations navigate the balance between flexibility and physical presence, the role of the office has fundamentally changed. Facility Management is no longer just about providing desks and managing indoor climate; it is about managing a complex human dilemma.</w:t>
      </w:r>
    </w:p>
    <w:p>
      <w:pPr>
        <w:keepNext/>
        <w:spacing w:before="240" w:after="80"/>
      </w:pPr>
      <w:r>
        <w:rPr>
          <w:rFonts w:ascii="Arial" w:hAnsi="Arial"/>
          <w:b/>
          <w:color w:val="E36414"/>
          <w:sz w:val="24"/>
        </w:rPr>
        <w:t>The "Fully Booked" Illusion</w:t>
      </w:r>
    </w:p>
    <w:p>
      <w:pPr>
        <w:pStyle w:val="ListBullet"/>
        <w:spacing w:after="60" w:line="276" w:lineRule="auto"/>
      </w:pPr>
      <w:r>
        <w:rPr>
          <w:b/>
        </w:rPr>
        <w:t xml:space="preserve">The Calendar Gap: </w:t>
      </w:r>
      <w:r>
        <w:t>Meeting rooms look completely blocked out in your calendar system, yet they stand empty or are booked for ten people and used by two.</w:t>
      </w:r>
    </w:p>
    <w:p>
      <w:pPr>
        <w:pStyle w:val="ListBullet"/>
        <w:spacing w:after="60" w:line="276" w:lineRule="auto"/>
      </w:pPr>
      <w:r>
        <w:rPr>
          <w:b/>
        </w:rPr>
        <w:t xml:space="preserve">Hidden Capacity: </w:t>
      </w:r>
      <w:r>
        <w:t>Without real-time data, you miss the fact that rooms looking fully booked actually contain enough occupancy slack to accommodate an entire additional department.</w:t>
      </w:r>
    </w:p>
    <w:p>
      <w:pPr>
        <w:keepNext/>
        <w:spacing w:before="240" w:after="80"/>
      </w:pPr>
      <w:r>
        <w:rPr>
          <w:rFonts w:ascii="Arial" w:hAnsi="Arial"/>
          <w:b/>
          <w:color w:val="E36414"/>
          <w:sz w:val="24"/>
        </w:rPr>
        <w:t>Policy vs. Reality: The Mandate Backlash</w:t>
      </w:r>
    </w:p>
    <w:p>
      <w:pPr>
        <w:pStyle w:val="ListBullet"/>
        <w:spacing w:after="60" w:line="276" w:lineRule="auto"/>
      </w:pPr>
      <w:r>
        <w:rPr>
          <w:b/>
        </w:rPr>
        <w:t xml:space="preserve">The 5-Day Myth: </w:t>
      </w:r>
      <w:r>
        <w:t>Corporate leadership may announce a mandatory 5-day office week to eliminate remote work, but in practice, team leads continue to make individual exceptions. Reality simply does not match policy.</w:t>
      </w:r>
    </w:p>
    <w:p>
      <w:pPr>
        <w:pStyle w:val="ListBullet"/>
        <w:spacing w:after="60" w:line="276" w:lineRule="auto"/>
      </w:pPr>
      <w:r>
        <w:rPr>
          <w:b/>
        </w:rPr>
        <w:t xml:space="preserve">The Mid-Week Peak: </w:t>
      </w:r>
      <w:r>
        <w:t>Offices experience a heavy influx of employees during the middle of the week, while desks sit entirely empty on Mondays and Fridays.</w:t>
      </w:r>
    </w:p>
    <w:p>
      <w:pPr>
        <w:pStyle w:val="ListBullet"/>
        <w:spacing w:after="60" w:line="276" w:lineRule="auto"/>
      </w:pPr>
      <w:r>
        <w:rPr>
          <w:b/>
        </w:rPr>
        <w:t xml:space="preserve">The Operational Headache: </w:t>
      </w:r>
      <w:r>
        <w:t>Facility managers are left with a massive headache—forced to pay for full-scale heating, cooling, and cleaning for a half-empty building week after week.</w:t>
      </w:r>
    </w:p>
    <w:p>
      <w:pPr>
        <w:keepNext/>
        <w:spacing w:before="240" w:after="80"/>
      </w:pPr>
      <w:r>
        <w:rPr>
          <w:rFonts w:ascii="Arial" w:hAnsi="Arial"/>
          <w:b/>
          <w:color w:val="E36414"/>
          <w:sz w:val="24"/>
        </w:rPr>
        <w:t>The Quality vs. Quantity Paradox</w:t>
      </w:r>
    </w:p>
    <w:p>
      <w:pPr>
        <w:pStyle w:val="ListBullet"/>
        <w:spacing w:after="60" w:line="276" w:lineRule="auto"/>
      </w:pPr>
      <w:r>
        <w:rPr>
          <w:b/>
        </w:rPr>
        <w:t xml:space="preserve">Value Over Habit: </w:t>
      </w:r>
      <w:r>
        <w:t>Employees no longer commute out of sheer habit; the workplace must now deliver clear, tangible value and act as an attractive alternative to staying home.</w:t>
      </w:r>
    </w:p>
    <w:p>
      <w:pPr>
        <w:pStyle w:val="ListBullet"/>
        <w:spacing w:after="60" w:line="276" w:lineRule="auto"/>
      </w:pPr>
      <w:r>
        <w:rPr>
          <w:b/>
        </w:rPr>
        <w:t xml:space="preserve">The FM Tug-of-War: </w:t>
      </w:r>
      <w:r>
        <w:t>The fewer days employees spend in the office, the more critical the office becomes to support employee well-being, relationships, and organizational cohesion.</w:t>
      </w:r>
    </w:p>
    <w:p>
      <w:pPr>
        <w:pStyle w:val="ListBullet"/>
        <w:spacing w:after="60" w:line="276" w:lineRule="auto"/>
      </w:pPr>
      <w:r>
        <w:rPr>
          <w:b/>
        </w:rPr>
        <w:t xml:space="preserve">The Core Objective: </w:t>
      </w:r>
      <w:r>
        <w:t>The modern facility manager's ultimate challenge is to elevate the employee experience to an all-time high while driving resource waste down to absolute zero. It requires a shift from counting heads (quantity) to optimizing human experiences (quality).</w:t>
      </w:r>
    </w:p>
    <w:p>
      <w:pPr>
        <w:keepNext/>
        <w:spacing w:before="240" w:after="80"/>
      </w:pPr>
      <w:r>
        <w:rPr>
          <w:rFonts w:ascii="Arial" w:hAnsi="Arial"/>
          <w:b/>
          <w:color w:val="E36414"/>
          <w:sz w:val="24"/>
        </w:rPr>
        <w:t>Green Agendas Without Teeth</w:t>
      </w:r>
    </w:p>
    <w:p>
      <w:pPr>
        <w:pStyle w:val="ListBullet"/>
        <w:spacing w:after="60" w:line="276" w:lineRule="auto"/>
      </w:pPr>
      <w:r>
        <w:rPr>
          <w:b/>
        </w:rPr>
        <w:t xml:space="preserve">Aggressive Targets: </w:t>
      </w:r>
      <w:r>
        <w:t>Municipalities and corporations want to aggressively downsize their physical square footage to hit green agenda and sustainability targets.</w:t>
      </w:r>
    </w:p>
    <w:p>
      <w:pPr>
        <w:pStyle w:val="ListBullet"/>
        <w:spacing w:after="60" w:line="276" w:lineRule="auto"/>
      </w:pPr>
      <w:r>
        <w:rPr>
          <w:b/>
        </w:rPr>
        <w:t xml:space="preserve">The Data Deficit: </w:t>
      </w:r>
      <w:r>
        <w:t>However, facility managers lack the bulletproof, hard occupancy data required to justify these high-stakes downsizing proposals to skeptical leadership.</w:t>
      </w:r>
    </w:p>
    <w:p>
      <w:pPr>
        <w:keepNext/>
        <w:spacing w:before="240" w:after="80"/>
      </w:pPr>
      <w:r>
        <w:rPr>
          <w:rFonts w:ascii="Arial" w:hAnsi="Arial"/>
          <w:b/>
          <w:color w:val="E36414"/>
          <w:sz w:val="24"/>
        </w:rPr>
        <w:t>Earning the Commute: The Specialized Space Trap</w:t>
      </w:r>
    </w:p>
    <w:p>
      <w:pPr>
        <w:pStyle w:val="ListBullet"/>
        <w:spacing w:after="60" w:line="276" w:lineRule="auto"/>
      </w:pPr>
      <w:r>
        <w:rPr>
          <w:b/>
        </w:rPr>
        <w:t xml:space="preserve">The Attendance Incentive: </w:t>
      </w:r>
      <w:r>
        <w:t>To incentivize office attendance, companies are building expensive, specialized layouts like silent zones, standing rooms, and high-collaboration project walls.</w:t>
      </w:r>
    </w:p>
    <w:p>
      <w:pPr>
        <w:pStyle w:val="ListBullet"/>
        <w:spacing w:after="60" w:line="276" w:lineRule="auto"/>
      </w:pPr>
      <w:r>
        <w:rPr>
          <w:b/>
        </w:rPr>
        <w:t xml:space="preserve">Blind Budgeting: </w:t>
      </w:r>
      <w:r>
        <w:t>Without precise space tracking, you have no baseline to know which layouts actually drive attendance and collaboration, and which ones are a waste of budget.</w:t>
      </w:r>
    </w:p>
    <w:p>
      <w:pPr>
        <w:keepNext/>
        <w:spacing w:before="320" w:after="120"/>
      </w:pPr>
      <w:r>
        <w:rPr>
          <w:rFonts w:ascii="Arial" w:hAnsi="Arial"/>
          <w:b/>
          <w:color w:val="0F4C5C"/>
          <w:sz w:val="28"/>
        </w:rPr>
        <w:t>HOW ROOMLYZER 2.0 SOLVES IT</w:t>
      </w:r>
    </w:p>
    <w:p>
      <w:pPr>
        <w:spacing w:after="120" w:line="276" w:lineRule="auto"/>
      </w:pPr>
      <w:r>
        <w:rPr>
          <w:i w:val="0"/>
        </w:rPr>
        <w:t>Occupancy data tailored to how humans work—deployed securely on day one. RoomAlyzer uses plug-and-play Desk and Motion sensors to give you a live, entirely anonymized, and GDPR-compliant overview of workspace dynamics. Built specifically for facility managers, space planners, corporate leadership, and municipalities.</w:t>
      </w:r>
    </w:p>
    <w:p>
      <w:pPr>
        <w:keepNext/>
        <w:spacing w:before="240" w:after="80"/>
      </w:pPr>
      <w:r>
        <w:rPr>
          <w:rFonts w:ascii="Arial" w:hAnsi="Arial"/>
          <w:b/>
          <w:color w:val="E36414"/>
          <w:sz w:val="24"/>
        </w:rPr>
        <w:t>Our Key Differentiators</w:t>
      </w:r>
    </w:p>
    <w:p>
      <w:pPr>
        <w:pStyle w:val="ListBullet"/>
        <w:spacing w:after="60" w:line="276" w:lineRule="auto"/>
      </w:pPr>
      <w:r>
        <w:rPr>
          <w:b/>
        </w:rPr>
        <w:t xml:space="preserve">Advanced Department &amp; Zone Tagging (Our Most Valued Feature): </w:t>
      </w:r>
      <w:r>
        <w:t>Don't just count heads. Tag and compare how different departments use their designated "home zones" versus shared project spaces. Understand exactly how your teams interact with your real estate to make data-driven layout changes.</w:t>
      </w:r>
    </w:p>
    <w:p>
      <w:pPr>
        <w:pStyle w:val="ListBullet"/>
        <w:spacing w:after="60" w:line="276" w:lineRule="auto"/>
      </w:pPr>
      <w:r>
        <w:rPr>
          <w:b/>
        </w:rPr>
        <w:t xml:space="preserve">Intuitive Heat Map Visualizations: </w:t>
      </w:r>
      <w:r>
        <w:t>Move past dense, confusing spreadsheets. Our heat maps translate raw data into instant, scannable visual trends. See a week’s worth of underutilization or peak occupancy across entire floors at a single glance.</w:t>
      </w:r>
    </w:p>
    <w:p>
      <w:pPr>
        <w:pStyle w:val="ListBullet"/>
        <w:spacing w:after="60" w:line="276" w:lineRule="auto"/>
      </w:pPr>
      <w:r>
        <w:rPr>
          <w:b/>
        </w:rPr>
        <w:t xml:space="preserve">100% WiFi-Free, Secured Infrastructure: </w:t>
      </w:r>
      <w:r>
        <w:t>A massive advantage for your IT department. Our infrastructure operates completely independently of your internal corporate network, utilizing a secure, cellular-backed connection that requires zero network configuration or IT touchpoints.</w:t>
      </w:r>
    </w:p>
    <w:p>
      <w:pPr>
        <w:pStyle w:val="ListBullet"/>
        <w:spacing w:after="60" w:line="276" w:lineRule="auto"/>
      </w:pPr>
      <w:r>
        <w:rPr>
          <w:b/>
        </w:rPr>
        <w:t xml:space="preserve">First-Mover Climate Integration: </w:t>
      </w:r>
      <w:r>
        <w:t>RoomAlyzer is the first to seamlessly combine desk occupancy sensors with indoor climate monitoring (CO2, temperature, and humidity) to capture true workspace environmental health.</w:t>
      </w:r>
    </w:p>
    <w:p>
      <w:pPr>
        <w:keepNext/>
        <w:spacing w:before="320" w:after="120"/>
      </w:pPr>
      <w:r>
        <w:rPr>
          <w:rFonts w:ascii="Arial" w:hAnsi="Arial"/>
          <w:b/>
          <w:color w:val="0F4C5C"/>
          <w:sz w:val="28"/>
        </w:rPr>
        <w:t>PROVING THE ROI: ENERGY &amp; CLEANING SAVINGS</w:t>
      </w:r>
    </w:p>
    <w:p>
      <w:pPr>
        <w:spacing w:after="120" w:line="276" w:lineRule="auto"/>
      </w:pPr>
      <w:r>
        <w:rPr>
          <w:i w:val="0"/>
        </w:rPr>
        <w:t>Space optimization is no longer just a soft corporate benefit—it is a direct cost-cutter. By monitoring actual usage patterns, you can actively and dynamically manage your facilities based on reality rather than policy.</w:t>
      </w:r>
    </w:p>
    <w:p>
      <w:pPr>
        <w:pStyle w:val="ListBullet"/>
        <w:spacing w:after="60" w:line="276" w:lineRule="auto"/>
      </w:pPr>
      <w:r>
        <w:rPr>
          <w:b/>
        </w:rPr>
        <w:t xml:space="preserve">Floor Consolidation: </w:t>
      </w:r>
      <w:r>
        <w:t>If data confirms low occupancy on Mondays and Fridays, you can transition to flexible seating, consolidate employees onto lower levels, and completely shut down heating, ventilation, and cleaning services on the upper floors.</w:t>
      </w:r>
    </w:p>
    <w:p>
      <w:pPr>
        <w:pStyle w:val="ListBullet"/>
        <w:spacing w:after="60" w:line="276" w:lineRule="auto"/>
      </w:pPr>
      <w:r>
        <w:rPr>
          <w:b/>
        </w:rPr>
        <w:t xml:space="preserve">The Concrete Business Case: </w:t>
      </w:r>
      <w:r>
        <w:t>A 1M DKK investment in RoomAlyzer infrastructure can yield up to 1.5M DKK in direct energy and operational savings within Year 1. Hard financial metrics make it an easy sell to leadership compared to soft arguments.</w:t>
      </w:r>
    </w:p>
    <w:p>
      <w:pPr>
        <w:keepNext/>
        <w:spacing w:before="320" w:after="120"/>
      </w:pPr>
      <w:r>
        <w:rPr>
          <w:rFonts w:ascii="Arial" w:hAnsi="Arial"/>
          <w:b/>
          <w:color w:val="0F4C5C"/>
          <w:sz w:val="28"/>
        </w:rPr>
        <w:t>WHO IT'S FOR &amp; HOW IT COMPLIES</w:t>
      </w:r>
    </w:p>
    <w:p>
      <w:pPr>
        <w:keepNext/>
        <w:spacing w:before="240" w:after="80"/>
      </w:pPr>
      <w:r>
        <w:rPr>
          <w:rFonts w:ascii="Arial" w:hAnsi="Arial"/>
          <w:b/>
          <w:color w:val="E36414"/>
          <w:sz w:val="24"/>
        </w:rPr>
        <w:t>Targeted Value Roles</w:t>
      </w:r>
    </w:p>
    <w:tbl>
      <w:tblPr>
        <w:tblW w:type="auto" w:w="0"/>
        <w:jc w:val="center"/>
        <w:tblLayout w:type="fixed"/>
        <w:tblLook w:firstColumn="1" w:firstRow="1" w:lastColumn="0" w:lastRow="0" w:noHBand="0" w:noVBand="1" w:val="04A0"/>
      </w:tblPr>
      <w:tblGrid>
        <w:gridCol w:w="4680"/>
        <w:gridCol w:w="4680"/>
      </w:tblGrid>
      <w:tr>
        <w:tc>
          <w:tcPr>
            <w:tcW w:type="dxa" w:w="4608"/>
            <w:shd w:fill="0F4C5C"/>
            <w:tcMar>
              <w:top w:w="140" w:type="dxa"/>
              <w:bottom w:w="140" w:type="dxa"/>
              <w:left w:w="150" w:type="dxa"/>
              <w:right w:w="150" w:type="dxa"/>
            </w:tcMar>
          </w:tcPr>
          <w:p>
            <w:pPr>
              <w:jc w:val="left"/>
            </w:pPr>
            <w:r>
              <w:rPr>
                <w:rFonts w:ascii="Arial" w:hAnsi="Arial"/>
                <w:b/>
                <w:color w:val="FFFFFF"/>
                <w:sz w:val="20"/>
              </w:rPr>
              <w:t>For Facility Management</w:t>
            </w:r>
          </w:p>
        </w:tc>
        <w:tc>
          <w:tcPr>
            <w:tcW w:type="dxa" w:w="4608"/>
            <w:shd w:fill="0F4C5C"/>
            <w:tcMar>
              <w:top w:w="140" w:type="dxa"/>
              <w:bottom w:w="140" w:type="dxa"/>
              <w:left w:w="150" w:type="dxa"/>
              <w:right w:w="150" w:type="dxa"/>
            </w:tcMar>
          </w:tcPr>
          <w:p>
            <w:pPr>
              <w:jc w:val="left"/>
            </w:pPr>
            <w:r>
              <w:rPr>
                <w:rFonts w:ascii="Arial" w:hAnsi="Arial"/>
                <w:b/>
                <w:color w:val="FFFFFF"/>
                <w:sz w:val="20"/>
              </w:rPr>
              <w:t>For Real Estate &amp; Leadership</w:t>
            </w:r>
          </w:p>
        </w:tc>
      </w:tr>
      <w:tr>
        <w:tc>
          <w:tcPr>
            <w:tcW w:type="dxa" w:w="4608"/>
            <w:shd w:fill="FFFFFF"/>
            <w:tcMar>
              <w:top w:w="100" w:type="dxa"/>
              <w:bottom w:w="100" w:type="dxa"/>
              <w:left w:w="150" w:type="dxa"/>
              <w:right w:w="150" w:type="dxa"/>
            </w:tcMar>
          </w:tcPr>
          <w:p>
            <w:pPr>
              <w:spacing w:line="276" w:lineRule="auto" w:after="40"/>
            </w:pPr>
            <w:r>
              <w:rPr>
                <w:rFonts w:ascii="Arial" w:hAnsi="Arial"/>
                <w:sz w:val="19"/>
              </w:rPr>
              <w:t>• Help employees find a free desk or room instantly.</w:t>
            </w:r>
          </w:p>
        </w:tc>
        <w:tc>
          <w:tcPr>
            <w:tcW w:type="dxa" w:w="4608"/>
            <w:shd w:fill="FFFFFF"/>
            <w:tcMar>
              <w:top w:w="100" w:type="dxa"/>
              <w:bottom w:w="100" w:type="dxa"/>
              <w:left w:w="150" w:type="dxa"/>
              <w:right w:w="150" w:type="dxa"/>
            </w:tcMar>
          </w:tcPr>
          <w:p>
            <w:pPr>
              <w:spacing w:line="276" w:lineRule="auto" w:after="40"/>
            </w:pPr>
            <w:r>
              <w:rPr>
                <w:rFonts w:ascii="Arial" w:hAnsi="Arial"/>
                <w:sz w:val="19"/>
              </w:rPr>
              <w:t>• Smart Release: Automatically free up meeting rooms when a calendar booking goes unused.</w:t>
            </w:r>
          </w:p>
        </w:tc>
      </w:tr>
      <w:tr>
        <w:tc>
          <w:tcPr>
            <w:tcW w:type="dxa" w:w="4608"/>
            <w:shd w:fill="F4F7F6"/>
            <w:tcMar>
              <w:top w:w="100" w:type="dxa"/>
              <w:bottom w:w="100" w:type="dxa"/>
              <w:left w:w="150" w:type="dxa"/>
              <w:right w:w="150" w:type="dxa"/>
            </w:tcMar>
          </w:tcPr>
          <w:p>
            <w:pPr>
              <w:spacing w:line="276" w:lineRule="auto" w:after="40"/>
            </w:pPr>
            <w:r>
              <w:rPr>
                <w:rFonts w:ascii="Arial" w:hAnsi="Arial"/>
                <w:sz w:val="19"/>
              </w:rPr>
              <w:t>• Adjust ventilation dynamically based on actual room headcount.</w:t>
            </w:r>
          </w:p>
        </w:tc>
        <w:tc>
          <w:tcPr>
            <w:tcW w:type="dxa" w:w="4608"/>
            <w:shd w:fill="F4F7F6"/>
            <w:tcMar>
              <w:top w:w="100" w:type="dxa"/>
              <w:bottom w:w="100" w:type="dxa"/>
              <w:left w:w="150" w:type="dxa"/>
              <w:right w:w="150" w:type="dxa"/>
            </w:tcMar>
          </w:tcPr>
          <w:p>
            <w:pPr>
              <w:spacing w:line="276" w:lineRule="auto" w:after="40"/>
            </w:pPr>
            <w:r>
              <w:rPr>
                <w:rFonts w:ascii="Arial" w:hAnsi="Arial"/>
                <w:sz w:val="19"/>
              </w:rPr>
              <w:t>• Prove spare capacity before you rent, repurpose, or build new square footage.</w:t>
            </w:r>
          </w:p>
        </w:tc>
      </w:tr>
      <w:tr>
        <w:tc>
          <w:tcPr>
            <w:tcW w:type="dxa" w:w="4608"/>
            <w:shd w:fill="FFFFFF"/>
            <w:tcMar>
              <w:top w:w="100" w:type="dxa"/>
              <w:bottom w:w="100" w:type="dxa"/>
              <w:left w:w="150" w:type="dxa"/>
              <w:right w:w="150" w:type="dxa"/>
            </w:tcMar>
          </w:tcPr>
          <w:p>
            <w:pPr>
              <w:spacing w:line="276" w:lineRule="auto" w:after="40"/>
            </w:pPr>
            <w:r>
              <w:rPr>
                <w:rFonts w:ascii="Arial" w:hAnsi="Arial"/>
                <w:sz w:val="19"/>
              </w:rPr>
              <w:t>• Optimize cleaning schedules based on actual zone usage.</w:t>
            </w:r>
          </w:p>
        </w:tc>
        <w:tc>
          <w:tcPr>
            <w:tcW w:type="dxa" w:w="4608"/>
            <w:shd w:fill="FFFFFF"/>
            <w:tcMar>
              <w:top w:w="100" w:type="dxa"/>
              <w:bottom w:w="100" w:type="dxa"/>
              <w:left w:w="150" w:type="dxa"/>
              <w:right w:w="150" w:type="dxa"/>
            </w:tcMar>
          </w:tcPr>
          <w:p>
            <w:pPr>
              <w:spacing w:line="276" w:lineRule="auto" w:after="40"/>
            </w:pPr>
            <w:r>
              <w:rPr>
                <w:rFonts w:ascii="Arial" w:hAnsi="Arial"/>
                <w:sz w:val="19"/>
              </w:rPr>
              <w:t>• Allocate department real estate using objective, hard usage metrics.</w:t>
            </w:r>
          </w:p>
        </w:tc>
      </w:tr>
      <w:tr>
        <w:tc>
          <w:tcPr>
            <w:tcW w:type="dxa" w:w="4608"/>
            <w:shd w:fill="F4F7F6"/>
            <w:tcMar>
              <w:top w:w="100" w:type="dxa"/>
              <w:bottom w:w="100" w:type="dxa"/>
              <w:left w:w="150" w:type="dxa"/>
              <w:right w:w="150" w:type="dxa"/>
            </w:tcMar>
          </w:tcPr>
          <w:p>
            <w:pPr>
              <w:spacing w:line="276" w:lineRule="auto" w:after="40"/>
            </w:pPr>
            <w:r>
              <w:rPr>
                <w:rFonts w:ascii="Arial" w:hAnsi="Arial"/>
                <w:sz w:val="19"/>
              </w:rPr>
              <w:t>• Bridge the gap for smaller organizations that face large workspace challenges but lack dedicated FM resources.</w:t>
            </w:r>
          </w:p>
        </w:tc>
        <w:tc>
          <w:tcPr>
            <w:tcW w:type="dxa" w:w="4608"/>
            <w:shd w:fill="F4F7F6"/>
            <w:tcMar>
              <w:top w:w="100" w:type="dxa"/>
              <w:bottom w:w="100" w:type="dxa"/>
              <w:left w:w="150" w:type="dxa"/>
              <w:right w:w="150" w:type="dxa"/>
            </w:tcMar>
          </w:tcPr>
          <w:p>
            <w:pPr>
              <w:spacing w:line="276" w:lineRule="auto" w:after="40"/>
            </w:pPr>
            <w:r>
              <w:rPr>
                <w:rFonts w:ascii="Arial" w:hAnsi="Arial"/>
                <w:sz w:val="19"/>
              </w:rPr>
              <w:t>• Turn aggressive corporate climate goals into verifiable energy and rent savings.</w:t>
            </w:r>
          </w:p>
        </w:tc>
      </w:tr>
    </w:tbl>
    <w:p>
      <w:pPr>
        <w:spacing w:after="240"/>
      </w:pPr>
    </w:p>
    <w:p>
      <w:pPr>
        <w:keepNext/>
        <w:spacing w:before="240" w:after="80"/>
      </w:pPr>
      <w:r>
        <w:rPr>
          <w:rFonts w:ascii="Arial" w:hAnsi="Arial"/>
          <w:b/>
          <w:color w:val="E36414"/>
          <w:sz w:val="24"/>
        </w:rPr>
        <w:t>Smarter Together &amp; Legally Compliant</w:t>
      </w:r>
    </w:p>
    <w:p>
      <w:pPr>
        <w:spacing w:after="120" w:line="276" w:lineRule="auto"/>
      </w:pPr>
      <w:r>
        <w:rPr>
          <w:i w:val="0"/>
        </w:rPr>
        <w:t>Our system comes pre-configured with standard environmental scenarios (offices, classrooms, etc.) that ensure sensors are correctly calibrated right out of the box. To protect reporting accuracy, if a user modifies standard settings, the platform requires saving it under a new scenario name.</w:t>
      </w:r>
    </w:p>
    <w:p>
      <w:pPr>
        <w:spacing w:after="120" w:line="276" w:lineRule="auto"/>
      </w:pPr>
      <w:r>
        <w:rPr>
          <w:i w:val="0"/>
        </w:rPr>
        <w:t>Best of all, compliance updates happen automatically as European and German legislation changes, ensuring your buildings remain continuously compliant without the legal headache.</w:t>
      </w:r>
    </w:p>
    <w:p>
      <w:pPr>
        <w:keepNext/>
        <w:spacing w:before="320" w:after="120"/>
      </w:pPr>
      <w:r>
        <w:rPr>
          <w:rFonts w:ascii="Arial" w:hAnsi="Arial"/>
          <w:b/>
          <w:color w:val="0F4C5C"/>
          <w:sz w:val="28"/>
        </w:rPr>
        <w:t>Frequently Asked Questions</w:t>
      </w:r>
    </w:p>
    <w:p>
      <w:pPr>
        <w:pStyle w:val="ListBullet"/>
        <w:spacing w:after="60" w:line="276" w:lineRule="auto"/>
      </w:pPr>
      <w:r>
        <w:rPr>
          <w:b/>
        </w:rPr>
        <w:t xml:space="preserve">How do occupancy sensors work without identifying people? </w:t>
      </w:r>
      <w:r>
        <w:t>Data is 100% anonymous and fully GDPR-compliant. The system tracks movement and occupancy dynamics, never individuals.</w:t>
      </w:r>
    </w:p>
    <w:p>
      <w:pPr>
        <w:pStyle w:val="ListBullet"/>
        <w:spacing w:after="60" w:line="276" w:lineRule="auto"/>
      </w:pPr>
      <w:r>
        <w:rPr>
          <w:b/>
        </w:rPr>
        <w:t xml:space="preserve">Can we automatically release no-show meetings? </w:t>
      </w:r>
      <w:r>
        <w:t>Yes. RoomAlyzer seamlessly integrates with your corporate calendar systems to automatically free up "ghost bookings" when a room remains empty.</w:t>
      </w:r>
    </w:p>
    <w:p>
      <w:pPr>
        <w:pStyle w:val="ListBullet"/>
        <w:spacing w:after="60" w:line="276" w:lineRule="auto"/>
      </w:pPr>
      <w:r>
        <w:rPr>
          <w:b/>
        </w:rPr>
        <w:t xml:space="preserve">How accurate is the occupancy detection? </w:t>
      </w:r>
      <w:r>
        <w:t>Extremely accurate. Detection is powered by fine-tuned environmental scenarios and advanced AI reporting. To maintain this accuracy, sensors are recommended to be pre-configured before shipment.</w:t>
      </w:r>
    </w:p>
    <w:p>
      <w:pPr>
        <w:pStyle w:val="ListBullet"/>
        <w:spacing w:after="60" w:line="276" w:lineRule="auto"/>
      </w:pPr>
      <w:r>
        <w:rPr>
          <w:b/>
        </w:rPr>
        <w:t xml:space="preserve">How does it impact our IT security? </w:t>
      </w:r>
      <w:r>
        <w:t>It has zero impact. The infrastructure is completely isolated, cellular-backed, and operates entirely independent of your corporate network.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