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场景策划文档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场景构成元素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制作规范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场景设定文档</w:t>
      </w: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游戏由各种2D场景构成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场景之间无缝连接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每个场景动态加载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场景基础构成元素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近景：作为最基础的背景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远景：作为背景，比近景层低，根据摄像头相对位移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前景：层级比玩家活动层高，根据摄像头相对位移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  <w:r>
        <w:rPr>
          <w:rFonts w:hint="eastAsia"/>
          <w:sz w:val="40"/>
          <w:szCs w:val="48"/>
          <w:lang w:val="en-US" w:eastAsia="zh-CN"/>
        </w:rPr>
        <w:t>制作规范</w:t>
      </w:r>
    </w:p>
    <w:p>
      <w:pPr>
        <w:numPr>
          <w:numId w:val="0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基础概念: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背景、远景、前景需要分开纹理集或分开画。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每个场景可以有多个远景、前景</w:t>
      </w:r>
    </w:p>
    <w:p>
      <w:pPr>
        <w:numPr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命名规范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命名规范分别以before、nearly、far开头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Before(前景)、nearly(进景)、far(远景)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命名格</w:t>
      </w:r>
      <w:bookmarkStart w:id="0" w:name="_GoBack"/>
      <w:bookmarkEnd w:id="0"/>
      <w:r>
        <w:rPr>
          <w:rFonts w:hint="eastAsia"/>
          <w:sz w:val="40"/>
          <w:szCs w:val="48"/>
          <w:lang w:val="en-US" w:eastAsia="zh-CN"/>
        </w:rPr>
        <w:t>式如：Before_forest_li</w:t>
      </w: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四、场景设定文档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"场景设定文档.xlsx"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36"/>
          <w:lang w:val="en-US" w:eastAsia="zh-CN"/>
        </w:rPr>
        <w:t>文档链接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5CF6"/>
    <w:multiLevelType w:val="singleLevel"/>
    <w:tmpl w:val="0F6D5C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63A3F3D"/>
    <w:multiLevelType w:val="singleLevel"/>
    <w:tmpl w:val="263A3F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8E8B0D2"/>
    <w:multiLevelType w:val="singleLevel"/>
    <w:tmpl w:val="48E8B0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A642113"/>
    <w:multiLevelType w:val="singleLevel"/>
    <w:tmpl w:val="7A6421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61E50"/>
    <w:rsid w:val="214C08A8"/>
    <w:rsid w:val="29BE057F"/>
    <w:rsid w:val="2FD95385"/>
    <w:rsid w:val="34BB453F"/>
    <w:rsid w:val="37AE61DB"/>
    <w:rsid w:val="38C265F3"/>
    <w:rsid w:val="4F9C226C"/>
    <w:rsid w:val="66B3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10507</dc:creator>
  <cp:lastModifiedBy>奋斗的提督</cp:lastModifiedBy>
  <dcterms:modified xsi:type="dcterms:W3CDTF">2018-04-01T06:52:22Z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