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93.png" ContentType="image/png"/>
  <Override PartName="/word/media/rId59.png" ContentType="image/png"/>
  <Override PartName="/word/media/rId51.png" ContentType="image/png"/>
  <Override PartName="/word/media/rId87.png" ContentType="image/png"/>
  <Override PartName="/word/media/rId42.png" ContentType="image/png"/>
  <Override PartName="/word/media/rId69.png" ContentType="image/png"/>
  <Override PartName="/word/media/rId35.png" ContentType="image/png"/>
  <Override PartName="/word/media/rId26.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executive-summary"/>
    <w:p>
      <w:pPr>
        <w:pStyle w:val="Heading1"/>
      </w:pPr>
      <w:r>
        <w:t xml:space="preserve">Executive Summary</w:t>
      </w:r>
    </w:p>
    <w:bookmarkStart w:id="20" w:name="the-core-argument"/>
    <w:p>
      <w:pPr>
        <w:pStyle w:val="Heading2"/>
      </w:pPr>
      <w:r>
        <w:t xml:space="preserve">The Core Argument</w:t>
      </w:r>
    </w:p>
    <w:p>
      <w:pPr>
        <w:pStyle w:val="FirstParagraph"/>
      </w:pPr>
      <w:r>
        <w:t xml:space="preserve">Three distinct artist economies — music, tattoo, and digital creation — have collided with the same structural wall. Platform-dependent revenue has become unsustainable at exactly the moment customer acquisition costs have exploded, leaving a global population of over 10 million artists with shrinking income and no obvious escape route. Merchandise is that escape route. It is the only revenue stream that simultaneously delivers higher per-unit economics than streaming, creates owned audience channels immune to algorithmic suppression, and functions as a self-funding marketing engine — all while becoming</w:t>
      </w:r>
      <w:r>
        <w:t xml:space="preserve"> </w:t>
      </w:r>
      <w:r>
        <w:rPr>
          <w:iCs/>
          <w:i/>
        </w:rPr>
        <w:t xml:space="preserve">more</w:t>
      </w:r>
      <w:r>
        <w:t xml:space="preserve"> </w:t>
      </w:r>
      <w:r>
        <w:t xml:space="preserve">efficient at smaller scale. The global merchandise market, projected to reach $13-16 billion by 2030, represents the largest untapped revenue recovery opportunity in the creative economy. Merch From is positioned to capture it.</w:t>
      </w:r>
    </w:p>
    <w:bookmarkEnd w:id="20"/>
    <w:bookmarkStart w:id="21" w:name="the-crisis-in-three-numbers"/>
    <w:p>
      <w:pPr>
        <w:pStyle w:val="Heading2"/>
      </w:pPr>
      <w:r>
        <w:t xml:space="preserve">The Crisis in Three Numbers</w:t>
      </w:r>
    </w:p>
    <w:p>
      <w:pPr>
        <w:pStyle w:val="FirstParagraph"/>
      </w:pPr>
      <w:r>
        <w:rPr>
          <w:bCs/>
          <w:b/>
        </w:rPr>
        <w:t xml:space="preserve">Streaming has collapsed as a livelihood.</w:t>
      </w:r>
      <w:r>
        <w:t xml:space="preserve"> </w:t>
      </w:r>
      <w:r>
        <w:t xml:space="preserve">Spotify pays $0.003-$0.005 per stream — a rate that has fallen 25% since 2021</w:t>
      </w:r>
      <w:r>
        <w:t xml:space="preserve"> </w:t>
      </w:r>
      <w:r>
        <w:rPr>
          <w:vertAlign w:val="superscript"/>
        </w:rPr>
        <w:footnoteReference w:id="1"/>
      </w:r>
      <w:r>
        <w:t xml:space="preserve">. At that rate, an artist needs roughly 350,000 streams per month just to approach minimum wage</w:t>
      </w:r>
      <w:r>
        <w:t xml:space="preserve"> </w:t>
      </w:r>
      <w:r>
        <w:rPr>
          <w:vertAlign w:val="superscript"/>
        </w:rPr>
        <w:footnoteReference w:id="2"/>
      </w:r>
      <w:r>
        <w:t xml:space="preserve">. The reality is starker: 88% of tracks on Spotify received fewer than 1,000 streams in 2025</w:t>
      </w:r>
      <w:r>
        <w:t xml:space="preserve"> </w:t>
      </w:r>
      <w:r>
        <w:rPr>
          <w:vertAlign w:val="superscript"/>
        </w:rPr>
        <w:footnoteReference w:id="3"/>
      </w:r>
      <w:r>
        <w:t xml:space="preserve">, and 86% of all tracks were demonetized entirely when the platform imposed its 1,000-stream minimum threshold in April 2024</w:t>
      </w:r>
      <w:r>
        <w:t xml:space="preserve"> </w:t>
      </w:r>
      <w:r>
        <w:rPr>
          <w:vertAlign w:val="superscript"/>
        </w:rPr>
        <w:footnoteReference w:id="4"/>
      </w:r>
      <w:r>
        <w:t xml:space="preserve">. Only 0.4% of musicians can potentially earn a living wage from streaming alone</w:t>
      </w:r>
      <w:r>
        <w:t xml:space="preserve"> </w:t>
      </w:r>
      <w:fldSimple w:instr="NOTEREF _Ref_Footnote_2 \h \f">
        <w:r>
          <w:rPr>
            <w:vertAlign w:val="superscript"/>
          </w:rPr>
          <w:t>2</w:t>
        </w:r>
      </w:fldSimple>
      <w:r>
        <w:t xml:space="preserve">. The median independent musician earns less from a full year of streaming royalties than the average artist makes from merchandise at a single show</w:t>
      </w:r>
      <w:r>
        <w:t xml:space="preserve"> </w:t>
      </w:r>
      <w:r>
        <w:rPr>
          <w:vertAlign w:val="superscript"/>
        </w:rPr>
        <w:footnoteReference w:id="5"/>
      </w:r>
      <w:r>
        <w:t xml:space="preserve">.</w:t>
      </w:r>
    </w:p>
    <w:p>
      <w:pPr>
        <w:pStyle w:val="BodyText"/>
      </w:pPr>
      <w:r>
        <w:rPr>
          <w:bCs/>
          <w:b/>
        </w:rPr>
        <w:t xml:space="preserve">The tattoo industry faces a perfect storm.</w:t>
      </w:r>
      <w:r>
        <w:t xml:space="preserve"> </w:t>
      </w:r>
      <w:r>
        <w:t xml:space="preserve">The global tattoo market is valued at $2.2-2.7 billion, with 52,000 artists competing in the United States alone</w:t>
      </w:r>
      <w:r>
        <w:t xml:space="preserve"> </w:t>
      </w:r>
      <w:r>
        <w:rPr>
          <w:vertAlign w:val="superscript"/>
        </w:rPr>
        <w:footnoteReference w:id="6"/>
      </w:r>
      <w:r>
        <w:t xml:space="preserve">. Yet client flow has dropped by over 50% across Europe in the past two years</w:t>
      </w:r>
      <w:r>
        <w:t xml:space="preserve"> </w:t>
      </w:r>
      <w:r>
        <w:rPr>
          <w:vertAlign w:val="superscript"/>
        </w:rPr>
        <w:footnoteReference w:id="7"/>
      </w:r>
      <w:r>
        <w:t xml:space="preserve">. A Montreal artist described it as</w:t>
      </w:r>
      <w:r>
        <w:t xml:space="preserve"> </w:t>
      </w:r>
      <w:r>
        <w:t xml:space="preserve">“</w:t>
      </w:r>
      <w:r>
        <w:t xml:space="preserve">the first time in 12 years I see a slowdown like that</w:t>
      </w:r>
      <w:r>
        <w:t xml:space="preserve">”</w:t>
      </w:r>
      <w:r>
        <w:t xml:space="preserve"> </w:t>
      </w:r>
      <w:r>
        <w:rPr>
          <w:vertAlign w:val="superscript"/>
        </w:rPr>
        <w:footnoteReference w:id="8"/>
      </w:r>
      <w:r>
        <w:t xml:space="preserve">. Rising costs — Meta advertising CPMs surged 20-37% year-over-year in 2025</w:t>
      </w:r>
      <w:r>
        <w:t xml:space="preserve"> </w:t>
      </w:r>
      <w:r>
        <w:rPr>
          <w:vertAlign w:val="superscript"/>
        </w:rPr>
        <w:footnoteReference w:id="9"/>
      </w:r>
      <w:r>
        <w:t xml:space="preserve"> </w:t>
      </w:r>
      <w:r>
        <w:rPr>
          <w:vertAlign w:val="superscript"/>
        </w:rPr>
        <w:footnoteReference w:id="10"/>
      </w:r>
      <w:r>
        <w:t xml:space="preserve">, studio rents range from $2,000 to $10,000 per month, and convention attendance now costs thousands more when factoring travel and lost workdays — have compressed margins at every level. Digital tools like Procreate, which commands 80% market share among iPad artists, have flooded the market with new competitors even as demand softens</w:t>
      </w:r>
      <w:r>
        <w:t xml:space="preserve"> </w:t>
      </w:r>
      <w:r>
        <w:rPr>
          <w:vertAlign w:val="superscript"/>
        </w:rPr>
        <w:footnoteReference w:id="11"/>
      </w:r>
      <w:r>
        <w:t xml:space="preserve">.</w:t>
      </w:r>
    </w:p>
    <w:p>
      <w:pPr>
        <w:pStyle w:val="BodyText"/>
      </w:pPr>
      <w:r>
        <w:rPr>
          <w:bCs/>
          <w:b/>
        </w:rPr>
        <w:t xml:space="preserve">The creator economy is large but brutally unequal.</w:t>
      </w:r>
      <w:r>
        <w:t xml:space="preserve"> </w:t>
      </w:r>
      <w:r>
        <w:t xml:space="preserve">At $252 billion globally, it is one of the fastest-growing sectors in the world economy</w:t>
      </w:r>
      <w:r>
        <w:t xml:space="preserve"> </w:t>
      </w:r>
      <w:r>
        <w:rPr>
          <w:vertAlign w:val="superscript"/>
        </w:rPr>
        <w:footnoteReference w:id="12"/>
      </w:r>
      <w:r>
        <w:t xml:space="preserve">. Yet median annual creator earnings stand at approximately $3,000</w:t>
      </w:r>
      <w:r>
        <w:t xml:space="preserve"> </w:t>
      </w:r>
      <w:r>
        <w:rPr>
          <w:vertAlign w:val="superscript"/>
        </w:rPr>
        <w:footnoteReference w:id="13"/>
      </w:r>
      <w:r>
        <w:t xml:space="preserve">. The top 10% of creators captured 62% of all payments in 2025, up from 53% in 2023</w:t>
      </w:r>
      <w:r>
        <w:t xml:space="preserve"> </w:t>
      </w:r>
      <w:r>
        <w:rPr>
          <w:vertAlign w:val="superscript"/>
        </w:rPr>
        <w:footnoteReference w:id="14"/>
      </w:r>
      <w:r>
        <w:t xml:space="preserve">. Platform payouts dropped 33% year-over-year, brand deals fell 52%, and affiliate marketing revenue declined 36%</w:t>
      </w:r>
      <w:r>
        <w:t xml:space="preserve"> </w:t>
      </w:r>
      <w:r>
        <w:rPr>
          <w:vertAlign w:val="superscript"/>
        </w:rPr>
        <w:footnoteReference w:id="15"/>
      </w:r>
      <w:r>
        <w:t xml:space="preserve">. Meanwhile, Facebook organic reach collapsed from 16% in 2012 to just 1-2% in 2025</w:t>
      </w:r>
      <w:r>
        <w:t xml:space="preserve"> </w:t>
      </w:r>
      <w:r>
        <w:rPr>
          <w:vertAlign w:val="superscript"/>
        </w:rPr>
        <w:footnoteReference w:id="16"/>
      </w:r>
      <w:r>
        <w:t xml:space="preserve">, and 65% of creators now worry that a platform ban could eliminate their income overnight</w:t>
      </w:r>
      <w:r>
        <w:t xml:space="preserve"> </w:t>
      </w:r>
      <w:r>
        <w:rPr>
          <w:vertAlign w:val="superscript"/>
        </w:rPr>
        <w:footnoteReference w:id="17"/>
      </w:r>
      <w:r>
        <w:t xml:space="preserve">. India’s TikTok ban demonstrated the existential risk: top 100 creators lost $14.4 million in annual revenue in a single day</w:t>
      </w:r>
      <w:r>
        <w:t xml:space="preserve"> </w:t>
      </w:r>
      <w:r>
        <w:rPr>
          <w:vertAlign w:val="superscript"/>
        </w:rPr>
        <w:footnoteReference w:id="18"/>
      </w:r>
      <w:r>
        <w:t xml:space="preserve">.</w:t>
      </w:r>
    </w:p>
    <w:bookmarkEnd w:id="21"/>
    <w:bookmarkStart w:id="22" w:name="merchandise-as-the-escape-hatch"/>
    <w:p>
      <w:pPr>
        <w:pStyle w:val="Heading2"/>
      </w:pPr>
      <w:r>
        <w:t xml:space="preserve">Merchandise as the Escape Hatch</w:t>
      </w:r>
    </w:p>
    <w:p>
      <w:pPr>
        <w:pStyle w:val="FirstParagraph"/>
      </w:pPr>
      <w:r>
        <w:t xml:space="preserve">The arithmetic of merchandise is unambiguous. A single $35 t-shirt generates the same revenue as approximately 8,750 Spotify streams</w:t>
      </w:r>
      <w:r>
        <w:t xml:space="preserve"> </w:t>
      </w:r>
      <w:fldSimple w:instr="NOTEREF _Ref_Footnote_5 \h \f">
        <w:r>
          <w:rPr>
            <w:vertAlign w:val="superscript"/>
          </w:rPr>
          <w:t>5</w:t>
        </w:r>
      </w:fldSimple>
      <w:r>
        <w:t xml:space="preserve">. Put differently, an artist needs 250 million streams to earn $1 million from Spotify, but only 28,500 t-shirt sales</w:t>
      </w:r>
      <w:r>
        <w:t xml:space="preserve"> </w:t>
      </w:r>
      <w:fldSimple w:instr="NOTEREF _Ref_Footnote_5 \h \f">
        <w:r>
          <w:rPr>
            <w:vertAlign w:val="superscript"/>
          </w:rPr>
          <w:t>5</w:t>
        </w:r>
      </w:fldSimple>
      <w:r>
        <w:t xml:space="preserve">. The global artist merchandising market reached $6.8 billion in 2025 and is projected to grow to $13.4 billion by 2034</w:t>
      </w:r>
      <w:r>
        <w:t xml:space="preserve"> </w:t>
      </w:r>
      <w:fldSimple w:instr="NOTEREF _Ref_Footnote_9 \h \f">
        <w:r>
          <w:rPr>
            <w:vertAlign w:val="superscript"/>
          </w:rPr>
          <w:t>9</w:t>
        </w:r>
      </w:fldSimple>
      <w:r>
        <w:t xml:space="preserve">. Merchandise and licensing revenue jumped 16.4% year-over-year in 2024, reaching $5.09 billion</w:t>
      </w:r>
      <w:r>
        <w:t xml:space="preserve"> </w:t>
      </w:r>
      <w:r>
        <w:rPr>
          <w:vertAlign w:val="superscript"/>
        </w:rPr>
        <w:footnoteReference w:id="19"/>
      </w:r>
      <w:r>
        <w:t xml:space="preserve">, while the broader category of expanded rights — merchandise, live, and brand partnerships — grew 21.5% in 2025, making it the fastest-growing segment in recorded music</w:t>
      </w:r>
      <w:r>
        <w:t xml:space="preserve"> </w:t>
      </w:r>
      <w:fldSimple w:instr="NOTEREF _Ref_Footnote_17 \h \f">
        <w:r>
          <w:rPr>
            <w:vertAlign w:val="superscript"/>
          </w:rPr>
          <w:t>17</w:t>
        </w:r>
      </w:fldSimple>
      <w:r>
        <w:t xml:space="preserve">.</w:t>
      </w:r>
    </w:p>
    <w:p>
      <w:pPr>
        <w:pStyle w:val="BodyText"/>
      </w:pPr>
      <w:r>
        <w:t xml:space="preserve">The economics tilt even further in favor of direct-to-consumer (D2C) models. Creator-owned storefronts deliver 60-75% gross margins, compared to 15-30% through marketplace or retail channels — a 2-3x profitability advantage</w:t>
      </w:r>
      <w:r>
        <w:t xml:space="preserve"> </w:t>
      </w:r>
      <w:r>
        <w:rPr>
          <w:vertAlign w:val="superscript"/>
        </w:rPr>
        <w:footnoteReference w:id="20"/>
      </w:r>
      <w:r>
        <w:t xml:space="preserve">. Venue</w:t>
      </w:r>
      <w:r>
        <w:t xml:space="preserve"> </w:t>
      </w:r>
      <w:r>
        <w:t xml:space="preserve">“</w:t>
      </w:r>
      <w:r>
        <w:t xml:space="preserve">merch cuts</w:t>
      </w:r>
      <w:r>
        <w:t xml:space="preserve">”</w:t>
      </w:r>
      <w:r>
        <w:t xml:space="preserve"> </w:t>
      </w:r>
      <w:r>
        <w:t xml:space="preserve">strip artists of 10-40% of gross merchandise sales</w:t>
      </w:r>
      <w:r>
        <w:t xml:space="preserve"> </w:t>
      </w:r>
      <w:r>
        <w:rPr>
          <w:vertAlign w:val="superscript"/>
        </w:rPr>
        <w:footnoteReference w:id="21"/>
      </w:r>
      <w:r>
        <w:t xml:space="preserve">. Amazon Merch on Demand pays royalties of just $2.44-$5.27 on a standard $19.99 t-shirt</w:t>
      </w:r>
      <w:r>
        <w:t xml:space="preserve"> </w:t>
      </w:r>
      <w:r>
        <w:rPr>
          <w:vertAlign w:val="superscript"/>
        </w:rPr>
        <w:footnoteReference w:id="22"/>
      </w:r>
      <w:r>
        <w:t xml:space="preserve">. When artists sell direct, they recover that margin. For the $6.8 billion artist merchandising market, shifting even 20% of sales from marketplace to D2C would release $400 million or more in additional artist income annually.</w:t>
      </w:r>
    </w:p>
    <w:p>
      <w:pPr>
        <w:pStyle w:val="BodyText"/>
      </w:pPr>
      <w:r>
        <w:t xml:space="preserve">Print-on-demand (POD) infrastructure has eliminated the traditional barriers. The global POD market was valued at $9.3-13 billion in 2024-2025 and is projected to grow at a 23-26% compound annual growth rate (CAGR) through 2033</w:t>
      </w:r>
      <w:r>
        <w:t xml:space="preserve"> </w:t>
      </w:r>
      <w:r>
        <w:rPr>
          <w:vertAlign w:val="superscript"/>
        </w:rPr>
        <w:footnoteReference w:id="23"/>
      </w:r>
      <w:r>
        <w:t xml:space="preserve"> </w:t>
      </w:r>
      <w:r>
        <w:rPr>
          <w:vertAlign w:val="superscript"/>
        </w:rPr>
        <w:footnoteReference w:id="24"/>
      </w:r>
      <w:r>
        <w:t xml:space="preserve">. The November 2024 merger of Printful and Printify created the largest European POD provider, signaling industry consolidation that will improve fulfillment reliability</w:t>
      </w:r>
      <w:r>
        <w:t xml:space="preserve"> </w:t>
      </w:r>
      <w:r>
        <w:rPr>
          <w:vertAlign w:val="superscript"/>
        </w:rPr>
        <w:footnoteReference w:id="25"/>
      </w:r>
      <w:r>
        <w:t xml:space="preserve">. AI design tools, now used regularly by 65% of organizations, have compressed design timelines by 60%</w:t>
      </w:r>
      <w:r>
        <w:t xml:space="preserve"> </w:t>
      </w:r>
      <w:r>
        <w:rPr>
          <w:vertAlign w:val="superscript"/>
        </w:rPr>
        <w:footnoteReference w:id="26"/>
      </w:r>
      <w:r>
        <w:t xml:space="preserve">. Artists no longer need capital, inventory, or manufacturing expertise to launch a merchandise line. What they lack — and what no existing platform provides — is the integrated infrastructure to design, source, fulfill, and sell premium merchandise across multiple verticals.</w:t>
      </w:r>
    </w:p>
    <w:bookmarkEnd w:id="22"/>
    <w:bookmarkStart w:id="23" w:name="the-competitive-vacuum"/>
    <w:p>
      <w:pPr>
        <w:pStyle w:val="Heading2"/>
      </w:pPr>
      <w:r>
        <w:t xml:space="preserve">The Competitive Vacuum</w:t>
      </w:r>
    </w:p>
    <w:p>
      <w:pPr>
        <w:pStyle w:val="FirstParagraph"/>
      </w:pPr>
      <w:r>
        <w:t xml:space="preserve">The timing is not coincidental. Three major incumbent platforms have simultaneously collapsed or stagnated. Redbubble (now Articore) lost 85-96% of its share value, with EBITDA down 121% and operating cash flow down 95%</w:t>
      </w:r>
      <w:r>
        <w:t xml:space="preserve"> </w:t>
      </w:r>
      <w:r>
        <w:rPr>
          <w:vertAlign w:val="superscript"/>
        </w:rPr>
        <w:footnoteReference w:id="27"/>
      </w:r>
      <w:r>
        <w:t xml:space="preserve">. Spring (formerly Teespring) saw its valuation crater from $650 million to a reported $11 million before its acquisition by Amaze</w:t>
      </w:r>
      <w:r>
        <w:t xml:space="preserve"> </w:t>
      </w:r>
      <w:r>
        <w:rPr>
          <w:vertAlign w:val="superscript"/>
        </w:rPr>
        <w:footnoteReference w:id="28"/>
      </w:r>
      <w:r>
        <w:t xml:space="preserve">. Society6 stagnated on legacy infrastructure until a full Shopify replatforming in late 2024 delivered only a 45% mobile conversion improvement</w:t>
      </w:r>
      <w:r>
        <w:t xml:space="preserve"> </w:t>
      </w:r>
      <w:r>
        <w:rPr>
          <w:vertAlign w:val="superscript"/>
        </w:rPr>
        <w:footnoteReference w:id="29"/>
      </w:r>
      <w:r>
        <w:t xml:space="preserve">. These platforms optimized for scale, not artist success. They extracted value rather than creating it. The vacuum is structural and growing.</w:t>
      </w:r>
    </w:p>
    <w:bookmarkEnd w:id="23"/>
    <w:bookmarkStart w:id="24" w:name="merch-as-community-engine"/>
    <w:p>
      <w:pPr>
        <w:pStyle w:val="Heading2"/>
      </w:pPr>
      <w:r>
        <w:t xml:space="preserve">Merch as Community Engine</w:t>
      </w:r>
    </w:p>
    <w:p>
      <w:pPr>
        <w:pStyle w:val="FirstParagraph"/>
      </w:pPr>
      <w:r>
        <w:t xml:space="preserve">Merchandise is not merely a product business — it is the cheapest marketing channel in existence. A single branded t-shirt generates 5,053 brand impressions over its lifetime at a cost per impression of $0.006, roughly one two-thousandth the cost of a Meta CPM</w:t>
      </w:r>
      <w:r>
        <w:t xml:space="preserve"> </w:t>
      </w:r>
      <w:fldSimple w:instr="NOTEREF _Ref_Footnote_9 \h \f">
        <w:r>
          <w:rPr>
            <w:vertAlign w:val="superscript"/>
          </w:rPr>
          <w:t>9</w:t>
        </w:r>
      </w:fldSimple>
      <w:r>
        <w:t xml:space="preserve"> </w:t>
      </w:r>
      <w:r>
        <w:rPr>
          <w:vertAlign w:val="superscript"/>
        </w:rPr>
        <w:footnoteReference w:id="30"/>
      </w:r>
      <w:r>
        <w:t xml:space="preserve">. Promotional products as a category deliver 3,300 brand views per item</w:t>
      </w:r>
      <w:r>
        <w:t xml:space="preserve"> </w:t>
      </w:r>
      <w:fldSimple w:instr="NOTEREF _Ref_Footnote_9 \h \f">
        <w:r>
          <w:rPr>
            <w:vertAlign w:val="superscript"/>
          </w:rPr>
          <w:t>9</w:t>
        </w:r>
      </w:fldSimple>
      <w:r>
        <w:t xml:space="preserve">. Eighty-five percent of consumers remember the advertiser who gave them a promotional product, compared to 10-20% for digital advertising</w:t>
      </w:r>
      <w:r>
        <w:t xml:space="preserve"> </w:t>
      </w:r>
      <w:fldSimple w:instr="NOTEREF _Ref_Footnote_19 \h \f">
        <w:r>
          <w:rPr>
            <w:vertAlign w:val="superscript"/>
          </w:rPr>
          <w:t>19</w:t>
        </w:r>
      </w:fldSimple>
      <w:r>
        <w:t xml:space="preserve">. This creates a self-reinforcing flywheel: each merch sale generates revenue</w:t>
      </w:r>
      <w:r>
        <w:t xml:space="preserve"> </w:t>
      </w:r>
      <w:r>
        <w:rPr>
          <w:iCs/>
          <w:i/>
        </w:rPr>
        <w:t xml:space="preserve">and</w:t>
      </w:r>
      <w:r>
        <w:t xml:space="preserve"> </w:t>
      </w:r>
      <w:r>
        <w:t xml:space="preserve">thousands of brand impressions, which drives fan discovery, deepens community engagement, and produces more sales.</w:t>
      </w:r>
    </w:p>
    <w:p>
      <w:pPr>
        <w:pStyle w:val="BodyText"/>
      </w:pPr>
      <w:r>
        <w:t xml:space="preserve">The conversion data reinforces the power of owned channels. Discord community members convert merchandise at 5-15% of active members — 3-5x the rate on social media platforms</w:t>
      </w:r>
      <w:r>
        <w:t xml:space="preserve"> </w:t>
      </w:r>
      <w:r>
        <w:rPr>
          <w:vertAlign w:val="superscript"/>
        </w:rPr>
        <w:footnoteReference w:id="31"/>
      </w:r>
      <w:r>
        <w:t xml:space="preserve">. The explanation is straightforward: platform algorithms suppress organic reach to 1-2%, while owned communities bypass the algorithm entirely</w:t>
      </w:r>
      <w:r>
        <w:t xml:space="preserve"> </w:t>
      </w:r>
      <w:fldSimple w:instr="NOTEREF _Ref_Footnote_16 \h \f">
        <w:r>
          <w:rPr>
            <w:vertAlign w:val="superscript"/>
          </w:rPr>
          <w:t>16</w:t>
        </w:r>
      </w:fldSimple>
      <w:r>
        <w:t xml:space="preserve">. Superfans — defined as the 20% of listeners who engage across five or more channels — spend 66% more on live events and 105% more on physical products than average listeners</w:t>
      </w:r>
      <w:r>
        <w:t xml:space="preserve"> </w:t>
      </w:r>
      <w:fldSimple w:instr="NOTEREF _Ref_Footnote_18 \h \f">
        <w:r>
          <w:rPr>
            <w:vertAlign w:val="superscript"/>
          </w:rPr>
          <w:t>18</w:t>
        </w:r>
      </w:fldSimple>
      <w:r>
        <w:t xml:space="preserve">. Goldman Sachs estimates the superfan monetization opportunity at $4.3 billion annually by 2026</w:t>
      </w:r>
      <w:r>
        <w:t xml:space="preserve"> </w:t>
      </w:r>
      <w:fldSimple w:instr="NOTEREF _Ref_Footnote_5 \h \f">
        <w:r>
          <w:rPr>
            <w:vertAlign w:val="superscript"/>
          </w:rPr>
          <w:t>5</w:t>
        </w:r>
      </w:fldSimple>
      <w:r>
        <w:t xml:space="preserve">. Yet most artists lack the tools to identify, reach, and convert these high-value fans into merchandise buyers.</w:t>
      </w:r>
    </w:p>
    <w:bookmarkEnd w:id="24"/>
    <w:bookmarkStart w:id="25" w:name="the-gen-z-convergence"/>
    <w:p>
      <w:pPr>
        <w:pStyle w:val="Heading2"/>
      </w:pPr>
      <w:r>
        <w:t xml:space="preserve">The Gen Z Convergence</w:t>
      </w:r>
    </w:p>
    <w:p>
      <w:pPr>
        <w:pStyle w:val="FirstParagraph"/>
      </w:pPr>
      <w:r>
        <w:t xml:space="preserve">The generation most saturated by digital media is driving the strongest demand for physical artist products. Gen Z averages 7 hours and 22 minutes of daily screen time, with 83% acknowledging unhealthy phone relationships</w:t>
      </w:r>
      <w:r>
        <w:t xml:space="preserve"> </w:t>
      </w:r>
      <w:r>
        <w:rPr>
          <w:vertAlign w:val="superscript"/>
        </w:rPr>
        <w:footnoteReference w:id="32"/>
      </w:r>
      <w:r>
        <w:t xml:space="preserve"> </w:t>
      </w:r>
      <w:r>
        <w:rPr>
          <w:vertAlign w:val="superscript"/>
        </w:rPr>
        <w:footnoteReference w:id="33"/>
      </w:r>
      <w:r>
        <w:t xml:space="preserve">. Yet 59% of 18-24-year-olds listen to physical music at least once a week — more than any other age group</w:t>
      </w:r>
      <w:r>
        <w:t xml:space="preserve"> </w:t>
      </w:r>
      <w:r>
        <w:rPr>
          <w:vertAlign w:val="superscript"/>
        </w:rPr>
        <w:footnoteReference w:id="34"/>
      </w:r>
      <w:r>
        <w:t xml:space="preserve">. Half of US vinyl buyers do not own a record player; they purchase records as tangible tokens of fandom and identity</w:t>
      </w:r>
      <w:r>
        <w:t xml:space="preserve"> </w:t>
      </w:r>
      <w:r>
        <w:rPr>
          <w:vertAlign w:val="superscript"/>
        </w:rPr>
        <w:footnoteReference w:id="35"/>
      </w:r>
      <w:r>
        <w:t xml:space="preserve">. Gen Z topped all other generations in live event spending for the first time in 2024, at $75 per month</w:t>
      </w:r>
      <w:r>
        <w:t xml:space="preserve"> </w:t>
      </w:r>
      <w:r>
        <w:rPr>
          <w:vertAlign w:val="superscript"/>
        </w:rPr>
        <w:footnoteReference w:id="36"/>
      </w:r>
      <w:r>
        <w:t xml:space="preserve">. Seventy-three percent are willing to pay more for sustainable products</w:t>
      </w:r>
      <w:r>
        <w:t xml:space="preserve"> </w:t>
      </w:r>
      <w:r>
        <w:rPr>
          <w:vertAlign w:val="superscript"/>
        </w:rPr>
        <w:footnoteReference w:id="37"/>
      </w:r>
      <w:r>
        <w:t xml:space="preserve">. This paradox — digital fatigue driving analog demand — creates a cross-vertical tailwind for artist merchandise that will persist for decades.</w:t>
      </w:r>
    </w:p>
    <w:bookmarkEnd w:id="25"/>
    <w:bookmarkStart w:id="114" w:name="why-merch-from-why-now"/>
    <w:p>
      <w:pPr>
        <w:pStyle w:val="Heading2"/>
      </w:pPr>
      <w:r>
        <w:t xml:space="preserve">Why Merch From, Why Now</w:t>
      </w:r>
    </w:p>
    <w:p>
      <w:pPr>
        <w:pStyle w:val="FirstParagraph"/>
      </w:pPr>
      <w:r>
        <w:t xml:space="preserve">The convergence is unprecedented. Technology has eliminated design and fulfillment barriers at exactly the moment platform-dependent distribution has collapsed. The incumbent merchandise platforms have failed simultaneously. A generation of consumers is actively seeking physical connections to the artists they follow. And millions of artists — across music, tattoo, and digital creation — share the same tools (Procreate, AI design), the same platforms (Instagram as portfolio), the same crisis (platform dependency), and the same solution (merchandise), yet no existing platform serves all three verticals with premium design, sourcing, and D2C selling infrastructure.</w:t>
      </w:r>
    </w:p>
    <w:p>
      <w:pPr>
        <w:pStyle w:val="BodyText"/>
      </w:pPr>
      <w:r>
        <w:t xml:space="preserve">The diversification imperative is quantifiable. Creators with three or more revenue streams earn $75,000 more annually than those dependent on a single source</w:t>
      </w:r>
      <w:r>
        <w:t xml:space="preserve"> </w:t>
      </w:r>
      <w:fldSimple w:instr="NOTEREF _Ref_Footnote_13 \h \f">
        <w:r>
          <w:rPr>
            <w:vertAlign w:val="superscript"/>
          </w:rPr>
          <w:t>13</w:t>
        </w:r>
      </w:fldSimple>
      <w:r>
        <w:t xml:space="preserve">. Merchandise is the most accessible of these additional streams — it requires no label, no booking agent, and no gatekeeper approval. For the 45.6% of creators already earning $10,000-$100,000 annually, merchandise represents the single most reliable bridge to full-time sustainability</w:t>
      </w:r>
      <w:r>
        <w:t xml:space="preserve"> </w:t>
      </w:r>
      <w:r>
        <w:rPr>
          <w:vertAlign w:val="superscript"/>
        </w:rPr>
        <w:footnoteReference w:id="38"/>
      </w:r>
      <w:r>
        <w:t xml:space="preserve">.</w:t>
      </w:r>
    </w:p>
    <w:p>
      <w:pPr>
        <w:pStyle w:val="BodyText"/>
      </w:pPr>
      <w:r>
        <w:t xml:space="preserve">Merch From addresses a combined addressable market exceeding $9 billion — $6.8 billion in music merchandise</w:t>
      </w:r>
      <w:r>
        <w:t xml:space="preserve"> </w:t>
      </w:r>
      <w:fldSimple w:instr="NOTEREF _Ref_Footnote_9 \h \f">
        <w:r>
          <w:rPr>
            <w:vertAlign w:val="superscript"/>
          </w:rPr>
          <w:t>9</w:t>
        </w:r>
      </w:fldSimple>
      <w:r>
        <w:t xml:space="preserve">, $2.2 billion in tattoo services with a merchandise attach rate that is currently near zero</w:t>
      </w:r>
      <w:r>
        <w:t xml:space="preserve"> </w:t>
      </w:r>
      <w:r>
        <w:rPr>
          <w:vertAlign w:val="superscript"/>
        </w:rPr>
        <w:footnoteReference w:id="39"/>
      </w:r>
      <w:r>
        <w:t xml:space="preserve">, and a creator economy segment where merchandise represents 11.3% of a $252 billion market</w:t>
      </w:r>
      <w:r>
        <w:t xml:space="preserve"> </w:t>
      </w:r>
      <w:r>
        <w:rPr>
          <w:vertAlign w:val="superscript"/>
        </w:rPr>
        <w:footnoteReference w:id="40"/>
      </w:r>
      <w:r>
        <w:t xml:space="preserve">. With an initial capitalization of €300,000 and equity structured at 16-18%, Merch From enters at an inflection point where the barriers to creation are gone, the barriers to fulfillment are gone, and the only remaining gap — the bridge between artist and audience — is exactly what Merch From was built to build.</w:t>
      </w:r>
      <w:r>
        <w:t xml:space="preserve"> </w:t>
      </w:r>
      <w:r>
        <w:t xml:space="preserve">## 1. The Streaming Economics Crisis</w:t>
      </w:r>
    </w:p>
    <w:bookmarkStart w:id="29" w:name="the-per-stream-payout-reality"/>
    <w:p>
      <w:pPr>
        <w:pStyle w:val="Heading3"/>
      </w:pPr>
      <w:r>
        <w:t xml:space="preserve">1.1 The Per-Stream Payout Reality</w:t>
      </w:r>
    </w:p>
    <w:p>
      <w:pPr>
        <w:pStyle w:val="FirstParagraph"/>
      </w:pPr>
      <w:r>
        <w:t xml:space="preserve">The recorded music industry generated $29.6 billion in 2024, its highest annual revenue in history, with streaming contributing $20.4 billion — a record 69% share of all trade revenue</w:t>
      </w:r>
      <w:r>
        <w:t xml:space="preserve"> </w:t>
      </w:r>
      <w:r>
        <w:rPr>
          <w:vertAlign w:val="superscript"/>
        </w:rPr>
        <w:footnoteReference w:id="41"/>
      </w:r>
      <w:r>
        <w:t xml:space="preserve">. Yet for the vast majority of artists, this unprecedented industry prosperity translates into paychecks that would be illegal in any other profession. The arithmetic of streaming payouts is not merely unfavorable to independent musicians; it is structurally hostile. Understanding these numbers is the first step toward understanding why merchandise revenue has shifted from a promotional accessory to an existential necessity.</w:t>
      </w:r>
    </w:p>
    <w:p>
      <w:pPr>
        <w:pStyle w:val="BodyText"/>
      </w:pPr>
      <w:r>
        <w:t xml:space="preserve">Per-stream payout rates vary by a factor of 15 across the major platforms, but even the most generous rates collapse under the weight of what artists actually need to earn. Spotify, the dominant platform with 675 million users and roughly 30% of global subscribers, pays rights holders $0.003–$0.005 per stream on average</w:t>
      </w:r>
      <w:r>
        <w:t xml:space="preserve"> </w:t>
      </w:r>
      <w:r>
        <w:rPr>
          <w:vertAlign w:val="superscript"/>
        </w:rPr>
        <w:footnoteReference w:id="42"/>
      </w:r>
      <w:r>
        <w:t xml:space="preserve"> </w:t>
      </w:r>
      <w:r>
        <w:rPr>
          <w:vertAlign w:val="superscript"/>
        </w:rPr>
        <w:footnoteReference w:id="43"/>
      </w:r>
      <w:r>
        <w:t xml:space="preserve">. Apple Music, which has no free ad-supported tier and therefore a higher revenue-per-user base, pays roughly $0.007–$0.01 per stream, with Apple publicly confirming a penny-per-stream average for US individual subscribers</w:t>
      </w:r>
      <w:r>
        <w:t xml:space="preserve"> </w:t>
      </w:r>
      <w:r>
        <w:rPr>
          <w:vertAlign w:val="superscript"/>
        </w:rPr>
        <w:footnoteReference w:id="44"/>
      </w:r>
      <w:r>
        <w:t xml:space="preserve">. Amazon Music occupies a middle ground at $0.004–$0.0088 per stream, with Duetti’s 2024 Music Economics Report finding it pays the highest rate among major platforms at $8.80 per 1,000 streams</w:t>
      </w:r>
      <w:r>
        <w:t xml:space="preserve"> </w:t>
      </w:r>
      <w:fldSimple w:instr="NOTEREF _Ref_Footnote_1 \h \f">
        <w:r>
          <w:rPr>
            <w:vertAlign w:val="superscript"/>
          </w:rPr>
          <w:t>1</w:t>
        </w:r>
      </w:fldSimple>
      <w:r>
        <w:t xml:space="preserve">. Tidal leads the consumer-focused field at $0.012–$0.015 per stream</w:t>
      </w:r>
      <w:r>
        <w:t xml:space="preserve"> </w:t>
      </w:r>
      <w:fldSimple w:instr="NOTEREF _Ref_Footnote_42 \h \f">
        <w:r>
          <w:rPr>
            <w:vertAlign w:val="superscript"/>
          </w:rPr>
          <w:t>42</w:t>
        </w:r>
      </w:fldSimple>
      <w:r>
        <w:t xml:space="preserve">, while YouTube Music’s ad-supported tier pays as little as $0.001 per stream</w:t>
      </w:r>
      <w:r>
        <w:t xml:space="preserve"> </w:t>
      </w:r>
      <w:fldSimple w:instr="NOTEREF _Ref_Footnote_21 \h \f">
        <w:r>
          <w:rPr>
            <w:vertAlign w:val="superscript"/>
          </w:rPr>
          <w:t>21</w:t>
        </w:r>
      </w:fldSimple>
      <w:r>
        <w:t xml:space="preserve">.</w:t>
      </w:r>
    </w:p>
    <w:p>
      <w:pPr>
        <w:pStyle w:val="BodyText"/>
      </w:pPr>
      <w:r>
        <w:t xml:space="preserve">These rates are not fixed. They fluctuate by territory, subscription tier, and monthly platform volume. A stream from the United States typically generates $0.004–$0.005 on Spotify, while a stream from India or Brazil can drop to $0.001–$0.002</w:t>
      </w:r>
      <w:r>
        <w:t xml:space="preserve"> </w:t>
      </w:r>
      <w:fldSimple w:instr="NOTEREF _Ref_Footnote_43 \h \f">
        <w:r>
          <w:rPr>
            <w:vertAlign w:val="superscript"/>
          </w:rPr>
          <w:t>43</w:t>
        </w:r>
      </w:fldSimple>
      <w:r>
        <w:t xml:space="preserve">. The emergence of Spotify’s Discovery Mode — a program that allows the platform’s algorithm to recommend artists’ music more widely in exchange for a 30% royalty reduction — has further depressed the effective rate. Between 2021 and 2024, the share of Discovery Mode streams rose from 6% to 26%, contributing to a 25% decline in Spotify’s per-1,000-stream payout from slightly above $4.00 to $3.00</w:t>
      </w:r>
      <w:r>
        <w:t xml:space="preserve"> </w:t>
      </w:r>
      <w:r>
        <w:rPr>
          <w:vertAlign w:val="superscript"/>
        </w:rPr>
        <w:footnoteReference w:id="45"/>
      </w:r>
      <w:r>
        <w:t xml:space="preserve">. For independent artists working without label support, the Duetti report found the global weighted average stabilized at just $3.41 per 1,000 streams in 2024</w:t>
      </w:r>
      <w:r>
        <w:t xml:space="preserve"> </w:t>
      </w:r>
      <w:fldSimple w:instr="NOTEREF _Ref_Footnote_1 \h \f">
        <w:r>
          <w:rPr>
            <w:vertAlign w:val="superscript"/>
          </w:rPr>
          <w:t>1</w:t>
        </w:r>
      </w:fldSimple>
      <w:r>
        <w:t xml:space="preserve">.</w:t>
      </w:r>
    </w:p>
    <w:p>
      <w:pPr>
        <w:pStyle w:val="BodyText"/>
      </w:pPr>
      <w:r>
        <w:t xml:space="preserve">The chasm between these fractions-of-a-penny rates and anything resembling a living wage is where the crisis becomes visible. The following table translates per-stream payouts into the concrete metric that matters: how many streams an artist must generate to reach basic income thresholds.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Per-Stream Rate</w:t>
            </w:r>
          </w:p>
        </w:tc>
        <w:tc>
          <w:tcPr/>
          <w:p>
            <w:pPr>
              <w:pStyle w:val="Compact"/>
              <w:jc w:val="left"/>
            </w:pPr>
            <w:r>
              <w:t xml:space="preserve">Streams Needed for $1,000/yr</w:t>
            </w:r>
          </w:p>
        </w:tc>
        <w:tc>
          <w:tcPr/>
          <w:p>
            <w:pPr>
              <w:pStyle w:val="Compact"/>
              <w:jc w:val="left"/>
            </w:pPr>
            <w:r>
              <w:t xml:space="preserve">Streams Needed for $5,000/yr</w:t>
            </w:r>
          </w:p>
        </w:tc>
        <w:tc>
          <w:tcPr/>
          <w:p>
            <w:pPr>
              <w:pStyle w:val="Compact"/>
              <w:jc w:val="left"/>
            </w:pPr>
            <w:r>
              <w:t xml:space="preserve">Streams Needed for $50,000/yr</w:t>
            </w:r>
          </w:p>
        </w:tc>
      </w:tr>
      <w:tr>
        <w:tc>
          <w:tcPr/>
          <w:p>
            <w:pPr>
              <w:pStyle w:val="Compact"/>
              <w:jc w:val="left"/>
            </w:pPr>
            <w:r>
              <w:t xml:space="preserve">Tidal</w:t>
            </w:r>
          </w:p>
        </w:tc>
        <w:tc>
          <w:tcPr/>
          <w:p>
            <w:pPr>
              <w:pStyle w:val="Compact"/>
              <w:jc w:val="left"/>
            </w:pPr>
            <w:r>
              <w:t xml:space="preserve">$0.012–$0.015</w:t>
            </w:r>
            <w:r>
              <w:t xml:space="preserve"> </w:t>
            </w:r>
            <w:fldSimple w:instr="NOTEREF _Ref_Footnote_42 \h \f">
              <w:r>
                <w:rPr>
                  <w:vertAlign w:val="superscript"/>
                </w:rPr>
                <w:t>42</w:t>
              </w:r>
            </w:fldSimple>
          </w:p>
        </w:tc>
        <w:tc>
          <w:tcPr/>
          <w:p>
            <w:pPr>
              <w:pStyle w:val="Compact"/>
              <w:jc w:val="left"/>
            </w:pPr>
            <w:r>
              <w:t xml:space="preserve">67,000–83,000</w:t>
            </w:r>
          </w:p>
        </w:tc>
        <w:tc>
          <w:tcPr/>
          <w:p>
            <w:pPr>
              <w:pStyle w:val="Compact"/>
              <w:jc w:val="left"/>
            </w:pPr>
            <w:r>
              <w:t xml:space="preserve">333,000–417,000</w:t>
            </w:r>
          </w:p>
        </w:tc>
        <w:tc>
          <w:tcPr/>
          <w:p>
            <w:pPr>
              <w:pStyle w:val="Compact"/>
              <w:jc w:val="left"/>
            </w:pPr>
            <w:r>
              <w:t xml:space="preserve">3,330,000–4,170,000</w:t>
            </w:r>
          </w:p>
        </w:tc>
      </w:tr>
      <w:tr>
        <w:tc>
          <w:tcPr/>
          <w:p>
            <w:pPr>
              <w:pStyle w:val="Compact"/>
              <w:jc w:val="left"/>
            </w:pPr>
            <w:r>
              <w:t xml:space="preserve">Apple Music</w:t>
            </w:r>
          </w:p>
        </w:tc>
        <w:tc>
          <w:tcPr/>
          <w:p>
            <w:pPr>
              <w:pStyle w:val="Compact"/>
              <w:jc w:val="left"/>
            </w:pPr>
            <w:r>
              <w:t xml:space="preserve">$0.007–$0.01</w:t>
            </w:r>
            <w:r>
              <w:t xml:space="preserve"> </w:t>
            </w:r>
            <w:fldSimple w:instr="NOTEREF _Ref_Footnote_44 \h \f">
              <w:r>
                <w:rPr>
                  <w:vertAlign w:val="superscript"/>
                </w:rPr>
                <w:t>44</w:t>
              </w:r>
            </w:fldSimple>
          </w:p>
        </w:tc>
        <w:tc>
          <w:tcPr/>
          <w:p>
            <w:pPr>
              <w:pStyle w:val="Compact"/>
              <w:jc w:val="left"/>
            </w:pPr>
            <w:r>
              <w:t xml:space="preserve">100,000–143,000</w:t>
            </w:r>
          </w:p>
        </w:tc>
        <w:tc>
          <w:tcPr/>
          <w:p>
            <w:pPr>
              <w:pStyle w:val="Compact"/>
              <w:jc w:val="left"/>
            </w:pPr>
            <w:r>
              <w:t xml:space="preserve">500,000–715,000</w:t>
            </w:r>
          </w:p>
        </w:tc>
        <w:tc>
          <w:tcPr/>
          <w:p>
            <w:pPr>
              <w:pStyle w:val="Compact"/>
              <w:jc w:val="left"/>
            </w:pPr>
            <w:r>
              <w:t xml:space="preserve">5,000,000–7,150,000</w:t>
            </w:r>
          </w:p>
        </w:tc>
      </w:tr>
      <w:tr>
        <w:tc>
          <w:tcPr/>
          <w:p>
            <w:pPr>
              <w:pStyle w:val="Compact"/>
              <w:jc w:val="left"/>
            </w:pPr>
            <w:r>
              <w:t xml:space="preserve">Amazon Music</w:t>
            </w:r>
          </w:p>
        </w:tc>
        <w:tc>
          <w:tcPr/>
          <w:p>
            <w:pPr>
              <w:pStyle w:val="Compact"/>
              <w:jc w:val="left"/>
            </w:pPr>
            <w:r>
              <w:t xml:space="preserve">$0.004–$0.0088</w:t>
            </w:r>
            <w:r>
              <w:t xml:space="preserve"> </w:t>
            </w:r>
            <w:fldSimple w:instr="NOTEREF _Ref_Footnote_1 \h \f">
              <w:r>
                <w:rPr>
                  <w:vertAlign w:val="superscript"/>
                </w:rPr>
                <w:t>1</w:t>
              </w:r>
            </w:fldSimple>
          </w:p>
        </w:tc>
        <w:tc>
          <w:tcPr/>
          <w:p>
            <w:pPr>
              <w:pStyle w:val="Compact"/>
              <w:jc w:val="left"/>
            </w:pPr>
            <w:r>
              <w:t xml:space="preserve">114,000–250,000</w:t>
            </w:r>
          </w:p>
        </w:tc>
        <w:tc>
          <w:tcPr/>
          <w:p>
            <w:pPr>
              <w:pStyle w:val="Compact"/>
              <w:jc w:val="left"/>
            </w:pPr>
            <w:r>
              <w:t xml:space="preserve">568,000–1,250,000</w:t>
            </w:r>
          </w:p>
        </w:tc>
        <w:tc>
          <w:tcPr/>
          <w:p>
            <w:pPr>
              <w:pStyle w:val="Compact"/>
              <w:jc w:val="left"/>
            </w:pPr>
            <w:r>
              <w:t xml:space="preserve">5,680,000–12,500,000</w:t>
            </w:r>
          </w:p>
        </w:tc>
      </w:tr>
      <w:tr>
        <w:tc>
          <w:tcPr/>
          <w:p>
            <w:pPr>
              <w:pStyle w:val="Compact"/>
              <w:jc w:val="left"/>
            </w:pPr>
            <w:r>
              <w:t xml:space="preserve">Deezer</w:t>
            </w:r>
          </w:p>
        </w:tc>
        <w:tc>
          <w:tcPr/>
          <w:p>
            <w:pPr>
              <w:pStyle w:val="Compact"/>
              <w:jc w:val="left"/>
            </w:pPr>
            <w:r>
              <w:t xml:space="preserve">$0.0064–$0.0085</w:t>
            </w:r>
            <w:r>
              <w:t xml:space="preserve"> </w:t>
            </w:r>
            <w:fldSimple w:instr="NOTEREF _Ref_Footnote_21 \h \f">
              <w:r>
                <w:rPr>
                  <w:vertAlign w:val="superscript"/>
                </w:rPr>
                <w:t>21</w:t>
              </w:r>
            </w:fldSimple>
          </w:p>
        </w:tc>
        <w:tc>
          <w:tcPr/>
          <w:p>
            <w:pPr>
              <w:pStyle w:val="Compact"/>
              <w:jc w:val="left"/>
            </w:pPr>
            <w:r>
              <w:t xml:space="preserve">118,000–167,000</w:t>
            </w:r>
          </w:p>
        </w:tc>
        <w:tc>
          <w:tcPr/>
          <w:p>
            <w:pPr>
              <w:pStyle w:val="Compact"/>
              <w:jc w:val="left"/>
            </w:pPr>
            <w:r>
              <w:t xml:space="preserve">588,000–781,000</w:t>
            </w:r>
          </w:p>
        </w:tc>
        <w:tc>
          <w:tcPr/>
          <w:p>
            <w:pPr>
              <w:pStyle w:val="Compact"/>
              <w:jc w:val="left"/>
            </w:pPr>
            <w:r>
              <w:t xml:space="preserve">5,880,000–7,810,000</w:t>
            </w:r>
          </w:p>
        </w:tc>
      </w:tr>
      <w:tr>
        <w:tc>
          <w:tcPr/>
          <w:p>
            <w:pPr>
              <w:pStyle w:val="Compact"/>
              <w:jc w:val="left"/>
            </w:pPr>
            <w:r>
              <w:t xml:space="preserve">Spotify</w:t>
            </w:r>
          </w:p>
        </w:tc>
        <w:tc>
          <w:tcPr/>
          <w:p>
            <w:pPr>
              <w:pStyle w:val="Compact"/>
              <w:jc w:val="left"/>
            </w:pPr>
            <w:r>
              <w:t xml:space="preserve">$0.003–$0.005</w:t>
            </w:r>
            <w:r>
              <w:t xml:space="preserve"> </w:t>
            </w:r>
            <w:fldSimple w:instr="NOTEREF _Ref_Footnote_43 \h \f">
              <w:r>
                <w:rPr>
                  <w:vertAlign w:val="superscript"/>
                </w:rPr>
                <w:t>43</w:t>
              </w:r>
            </w:fldSimple>
          </w:p>
        </w:tc>
        <w:tc>
          <w:tcPr/>
          <w:p>
            <w:pPr>
              <w:pStyle w:val="Compact"/>
              <w:jc w:val="left"/>
            </w:pPr>
            <w:r>
              <w:t xml:space="preserve">200,000–333,000</w:t>
            </w:r>
          </w:p>
        </w:tc>
        <w:tc>
          <w:tcPr/>
          <w:p>
            <w:pPr>
              <w:pStyle w:val="Compact"/>
              <w:jc w:val="left"/>
            </w:pPr>
            <w:r>
              <w:t xml:space="preserve">1,000,000–1,670,000</w:t>
            </w:r>
          </w:p>
        </w:tc>
        <w:tc>
          <w:tcPr/>
          <w:p>
            <w:pPr>
              <w:pStyle w:val="Compact"/>
              <w:jc w:val="left"/>
            </w:pPr>
            <w:r>
              <w:t xml:space="preserve">10,000,000–16,700,000</w:t>
            </w:r>
          </w:p>
        </w:tc>
      </w:tr>
      <w:tr>
        <w:tc>
          <w:tcPr/>
          <w:p>
            <w:pPr>
              <w:pStyle w:val="Compact"/>
              <w:jc w:val="left"/>
            </w:pPr>
            <w:r>
              <w:t xml:space="preserve">YouTube Music (ad-supported)</w:t>
            </w:r>
          </w:p>
        </w:tc>
        <w:tc>
          <w:tcPr/>
          <w:p>
            <w:pPr>
              <w:pStyle w:val="Compact"/>
              <w:jc w:val="left"/>
            </w:pPr>
            <w:r>
              <w:t xml:space="preserve">$0.001–$0.002</w:t>
            </w:r>
            <w:r>
              <w:t xml:space="preserve"> </w:t>
            </w:r>
            <w:fldSimple w:instr="NOTEREF _Ref_Footnote_21 \h \f">
              <w:r>
                <w:rPr>
                  <w:vertAlign w:val="superscript"/>
                </w:rPr>
                <w:t>21</w:t>
              </w:r>
            </w:fldSimple>
          </w:p>
        </w:tc>
        <w:tc>
          <w:tcPr/>
          <w:p>
            <w:pPr>
              <w:pStyle w:val="Compact"/>
              <w:jc w:val="left"/>
            </w:pPr>
            <w:r>
              <w:t xml:space="preserve">500,000–1,000,000</w:t>
            </w:r>
          </w:p>
        </w:tc>
        <w:tc>
          <w:tcPr/>
          <w:p>
            <w:pPr>
              <w:pStyle w:val="Compact"/>
              <w:jc w:val="left"/>
            </w:pPr>
            <w:r>
              <w:t xml:space="preserve">2,500,000–5,000,000</w:t>
            </w:r>
          </w:p>
        </w:tc>
        <w:tc>
          <w:tcPr/>
          <w:p>
            <w:pPr>
              <w:pStyle w:val="Compact"/>
              <w:jc w:val="left"/>
            </w:pPr>
            <w:r>
              <w:t xml:space="preserve">25,000,000–50,000,000</w:t>
            </w:r>
          </w:p>
        </w:tc>
      </w:tr>
    </w:tbl>
    <w:p>
      <w:pPr>
        <w:pStyle w:val="BodyText"/>
      </w:pPr>
      <w:r>
        <w:t xml:space="preserve">The table reveals a stark hierarchy. Even on the most favorable platform — Tidal, with fewer than 3 million subscribers — an artist needs over 3.3 million streams annually to reach $50,000, a modest professional income. On Spotify, the platform where the majority of listening occurs, that same $50,000 requires 10–17 million streams per year, or roughly 830,000–1,400,000 streams every month without interruption</w:t>
      </w:r>
      <w:r>
        <w:t xml:space="preserve"> </w:t>
      </w:r>
      <w:fldSimple w:instr="NOTEREF _Ref_Footnote_43 \h \f">
        <w:r>
          <w:rPr>
            <w:vertAlign w:val="superscript"/>
          </w:rPr>
          <w:t>43</w:t>
        </w:r>
      </w:fldSimple>
      <w:r>
        <w:t xml:space="preserve">. At the bottom end, YouTube Music’s ad-supported tier demands up to 50 million annual streams — a figure that only global superstars can realistically achieve.</w:t>
      </w:r>
    </w:p>
    <w:p>
      <w:pPr>
        <w:pStyle w:val="BodyText"/>
      </w:pPr>
      <w:r>
        <w:t xml:space="preserve">These figures assume the artist retains 100% of the per-stream rate, a condition that almost never holds. After distributor cuts, label splits, and management commissions, the actual stream count required can be two to five times higher. On a typical $5,000 payout for 1 million Spotify streams, an artist on a 50/50 label deal with a 15% distributor cut and 15% manager commission takes home only $1,806.25 — about 36% of the gross</w:t>
      </w:r>
      <w:r>
        <w:t xml:space="preserve"> </w:t>
      </w:r>
      <w:r>
        <w:rPr>
          <w:vertAlign w:val="superscript"/>
        </w:rPr>
        <w:footnoteReference w:id="46"/>
      </w:r>
      <w:r>
        <w:t xml:space="preserve">. Major label artists typically receive only 13–20% royalty rates on streaming, meaning the same million streams could yield as little as $500–$800 after recoupment</w:t>
      </w:r>
      <w:r>
        <w:t xml:space="preserve"> </w:t>
      </w:r>
      <w:fldSimple w:instr="NOTEREF _Ref_Footnote_43 \h \f">
        <w:r>
          <w:rPr>
            <w:vertAlign w:val="superscript"/>
          </w:rPr>
          <w:t>43</w:t>
        </w:r>
      </w:fldSimple>
      <w:r>
        <w:t xml:space="preserve">. Independent artists using flat-fee distributors keep 85–100% of the recording royalty, but without label marketing, playlist promotion, and advance funding, their effective discovery advantage is minimal</w:t>
      </w:r>
      <w:r>
        <w:t xml:space="preserve"> </w:t>
      </w:r>
      <w:fldSimple w:instr="NOTEREF _Ref_Footnote_43 \h \f">
        <w:r>
          <w:rPr>
            <w:vertAlign w:val="superscript"/>
          </w:rPr>
          <w:t>43</w:t>
        </w:r>
      </w:fldSimple>
      <w:r>
        <w:t xml:space="preserve">.</w:t>
      </w:r>
    </w:p>
    <w:p>
      <w:pPr>
        <w:pStyle w:val="BodyText"/>
      </w:pPr>
      <w:r>
        <w:t xml:space="preserve">The minimum wage benchmark exposes the absurdity most clearly. At Spotify’s worldwide weighted average of $0.004 per stream, an artist needs 3,770,000 streams per year — 314,000 per month — just to reach the US federal minimum wage of $15,080</w:t>
      </w:r>
      <w:r>
        <w:t xml:space="preserve"> </w:t>
      </w:r>
      <w:r>
        <w:rPr>
          <w:vertAlign w:val="superscript"/>
        </w:rPr>
        <w:footnoteReference w:id="47"/>
      </w:r>
      <w:r>
        <w:t xml:space="preserve">. The Living Wage for Musicians Act analysis puts the figure even higher: more than 800,000 monthly Spotify streams to equal a full-time $15-per-hour job</w:t>
      </w:r>
      <w:r>
        <w:t xml:space="preserve"> </w:t>
      </w:r>
      <w:r>
        <w:rPr>
          <w:vertAlign w:val="superscript"/>
        </w:rPr>
        <w:footnoteReference w:id="48"/>
      </w:r>
      <w:r>
        <w:t xml:space="preserve">. To earn a genuine living wage of approximately $2,380 per month at Spotify’s global average, an artist needs over 1 million streams per month</w:t>
      </w:r>
      <w:r>
        <w:t xml:space="preserve"> </w:t>
      </w:r>
      <w:fldSimple w:instr="NOTEREF _Ref_Footnote_46 \h \f">
        <w:r>
          <w:rPr>
            <w:vertAlign w:val="superscript"/>
          </w:rPr>
          <w:t>46</w:t>
        </w:r>
      </w:fldSimple>
      <w:r>
        <w:t xml:space="preserve">. These thresholds are unreachable for all but a microscopic fraction of working musicians.</w:t>
      </w:r>
    </w:p>
    <w:p>
      <w:pPr>
        <w:pStyle w:val="CaptionedFigure"/>
      </w:pPr>
      <w:r>
        <w:drawing>
          <wp:inline>
            <wp:extent cx="5334000" cy="2651617"/>
            <wp:effectExtent b="0" l="0" r="0" t="0"/>
            <wp:docPr descr="Streams Needed Per Year to Earn US Federal Minimum Wage" title="" id="27" name="Picture"/>
            <a:graphic>
              <a:graphicData uri="http://schemas.openxmlformats.org/drawingml/2006/picture">
                <pic:pic>
                  <pic:nvPicPr>
                    <pic:cNvPr descr="streams_needed_for_wage_chart.png" id="28" name="Picture"/>
                    <pic:cNvPicPr>
                      <a:picLocks noChangeArrowheads="1" noChangeAspect="1"/>
                    </pic:cNvPicPr>
                  </pic:nvPicPr>
                  <pic:blipFill>
                    <a:blip r:embed="rId26"/>
                    <a:stretch>
                      <a:fillRect/>
                    </a:stretch>
                  </pic:blipFill>
                  <pic:spPr bwMode="auto">
                    <a:xfrm>
                      <a:off x="0" y="0"/>
                      <a:ext cx="5334000" cy="2651617"/>
                    </a:xfrm>
                    <a:prstGeom prst="rect">
                      <a:avLst/>
                    </a:prstGeom>
                    <a:noFill/>
                    <a:ln w="9525">
                      <a:noFill/>
                      <a:headEnd/>
                      <a:tailEnd/>
                    </a:ln>
                  </pic:spPr>
                </pic:pic>
              </a:graphicData>
            </a:graphic>
          </wp:inline>
        </w:drawing>
      </w:r>
    </w:p>
    <w:p>
      <w:pPr>
        <w:pStyle w:val="ImageCaption"/>
      </w:pPr>
      <w:r>
        <w:t xml:space="preserve">Streams Needed Per Year to Earn US Federal Minimum Wage</w:t>
      </w:r>
    </w:p>
    <w:p>
      <w:pPr>
        <w:pStyle w:val="BodyText"/>
      </w:pPr>
      <w:r>
        <w:t xml:space="preserve">The horizontal bar chart above visualizes the annual stream requirements across major platforms at their average per-stream rates. The disparity is not marginal — it is existential. An artist on YouTube Music’s ad-supported tier needs more than 10 million streams to match what a Tidal artist achieves in 1.1 million. The Spotify threshold of 3.8 million streams represents more than 10,000 streams every single day of the year. For context, 99% of artists on Spotify earn less than $1,000 per year from streaming royalties</w:t>
      </w:r>
      <w:r>
        <w:t xml:space="preserve"> </w:t>
      </w:r>
      <w:r>
        <w:rPr>
          <w:vertAlign w:val="superscript"/>
        </w:rPr>
        <w:footnoteReference w:id="49"/>
      </w:r>
      <w:r>
        <w:t xml:space="preserve">, meaning the overwhelming majority never come within an order of magnitude of these thresholds.</w:t>
      </w:r>
    </w:p>
    <w:p>
      <w:pPr>
        <w:pStyle w:val="BodyText"/>
      </w:pPr>
      <w:r>
        <w:t xml:space="preserve">Spotify’s April 2024 demonetization policy made the unreachable officially unreachable for millions. Starting that month, the platform required tracks to reach at least 1,000 streams in the previous 12 months to generate recorded royalties at all</w:t>
      </w:r>
      <w:r>
        <w:t xml:space="preserve"> </w:t>
      </w:r>
      <w:fldSimple w:instr="NOTEREF _Ref_Footnote_4 \h \f">
        <w:r>
          <w:rPr>
            <w:vertAlign w:val="superscript"/>
          </w:rPr>
          <w:t>4</w:t>
        </w:r>
      </w:fldSimple>
      <w:r>
        <w:t xml:space="preserve">. This threshold affected an estimated 86% of tracks on the platform</w:t>
      </w:r>
      <w:r>
        <w:t xml:space="preserve"> </w:t>
      </w:r>
      <w:r>
        <w:rPr>
          <w:vertAlign w:val="superscript"/>
        </w:rPr>
        <w:footnoteReference w:id="50"/>
      </w:r>
      <w:r>
        <w:t xml:space="preserve">— 218 million out of 253 million tracks hosted on audio streaming services at the close of 2025</w:t>
      </w:r>
      <w:r>
        <w:t xml:space="preserve"> </w:t>
      </w:r>
      <w:fldSimple w:instr="NOTEREF _Ref_Footnote_3 \h \f">
        <w:r>
          <w:rPr>
            <w:vertAlign w:val="superscript"/>
          </w:rPr>
          <w:t>3</w:t>
        </w:r>
      </w:fldSimple>
      <w:r>
        <w:t xml:space="preserve">. Spotify defended the policy by noting that 99.5% of all streams go to tracks above the threshold, and the affected tracks previously generated only about $0.02–$0.03 per month, with payments rarely reaching artists due to distributor minimum payout thresholds</w:t>
      </w:r>
      <w:r>
        <w:t xml:space="preserve"> </w:t>
      </w:r>
      <w:fldSimple w:instr="NOTEREF _Ref_Footnote_34 \h \f">
        <w:r>
          <w:rPr>
            <w:vertAlign w:val="superscript"/>
          </w:rPr>
          <w:t>34</w:t>
        </w:r>
      </w:fldSimple>
      <w:r>
        <w:t xml:space="preserve">. Critics, including the United Musicians and Allied Workers (UMAW), argued that the policy codifies a system where only the most popular content gets paid, redirecting approximately $40 million annually from the long tail to higher-streamed tracks and disproportionately hurting emerging artists in niche genres, classical music, jazz, and non-English repertoire</w:t>
      </w:r>
      <w:r>
        <w:t xml:space="preserve"> </w:t>
      </w:r>
      <w:fldSimple w:instr="NOTEREF _Ref_Footnote_4 \h \f">
        <w:r>
          <w:rPr>
            <w:vertAlign w:val="superscript"/>
          </w:rPr>
          <w:t>4</w:t>
        </w:r>
      </w:fldSimple>
      <w:r>
        <w:t xml:space="preserve"> </w:t>
      </w:r>
      <w:fldSimple w:instr="NOTEREF _Ref_Footnote_50 \h \f">
        <w:r>
          <w:rPr>
            <w:vertAlign w:val="superscript"/>
          </w:rPr>
          <w:t>50</w:t>
        </w:r>
      </w:fldSimple>
      <w:r>
        <w:t xml:space="preserve">.</w:t>
      </w:r>
    </w:p>
    <w:bookmarkEnd w:id="29"/>
    <w:bookmarkStart w:id="30" w:name="the-revenue-distribution-problem"/>
    <w:p>
      <w:pPr>
        <w:pStyle w:val="Heading3"/>
      </w:pPr>
      <w:r>
        <w:t xml:space="preserve">1.2 The Revenue Distribution Problem</w:t>
      </w:r>
    </w:p>
    <w:p>
      <w:pPr>
        <w:pStyle w:val="FirstParagraph"/>
      </w:pPr>
      <w:r>
        <w:t xml:space="preserve">Streaming does not merely pay poorly on a per-unit basis. Its most destructive feature is how it concentrates what little money exists at the very top of the distribution, leaving the bottom half of all artists with crumbs. The industry as a whole is thriving — global recorded music revenue grew 4.8% in 2024 to reach $29.6 billion, with streaming exceeding $20 billion for the first time</w:t>
      </w:r>
      <w:r>
        <w:t xml:space="preserve"> </w:t>
      </w:r>
      <w:fldSimple w:instr="NOTEREF _Ref_Footnote_41 \h \f">
        <w:r>
          <w:rPr>
            <w:vertAlign w:val="superscript"/>
          </w:rPr>
          <w:t>41</w:t>
        </w:r>
      </w:fldSimple>
      <w:r>
        <w:t xml:space="preserve">— but that growth is captured by a shrinking share of artists and rights holders. The result is a prosperity that artists can see but not touch.</w:t>
      </w:r>
    </w:p>
    <w:p>
      <w:pPr>
        <w:pStyle w:val="BodyText"/>
      </w:pPr>
      <w:r>
        <w:t xml:space="preserve">The concentration begins with tracks. At the close of 2025, 253 million music tracks sat on audio streaming services worldwide, with 106,000 new tracks uploaded daily</w:t>
      </w:r>
      <w:r>
        <w:t xml:space="preserve"> </w:t>
      </w:r>
      <w:r>
        <w:rPr>
          <w:vertAlign w:val="superscript"/>
        </w:rPr>
        <w:footnoteReference w:id="51"/>
      </w:r>
      <w:r>
        <w:t xml:space="preserve">. Of that catalog, 120.5 million tracks — 47.6% of the total — received fewer than 10 streams all year</w:t>
      </w:r>
      <w:r>
        <w:t xml:space="preserve"> </w:t>
      </w:r>
      <w:fldSimple w:instr="NOTEREF _Ref_Footnote_3 \h \f">
        <w:r>
          <w:rPr>
            <w:vertAlign w:val="superscript"/>
          </w:rPr>
          <w:t>3</w:t>
        </w:r>
      </w:fldSimple>
      <w:r>
        <w:t xml:space="preserve">. Nearly three-quarters (73%) received fewer than 100 streams, and 88% received fewer than 1,000 streams</w:t>
      </w:r>
      <w:r>
        <w:t xml:space="preserve"> </w:t>
      </w:r>
      <w:r>
        <w:rPr>
          <w:vertAlign w:val="superscript"/>
        </w:rPr>
        <w:footnoteReference w:id="52"/>
      </w:r>
      <w:r>
        <w:t xml:space="preserve">. This means that only 12% of all music on streaming platforms generated enough plays to even register as measurable. Just 541,000 tracks — 0.2% of the catalog — generated 49.4% of all global audio streams</w:t>
      </w:r>
      <w:r>
        <w:t xml:space="preserve"> </w:t>
      </w:r>
      <w:r>
        <w:rPr>
          <w:vertAlign w:val="superscript"/>
        </w:rPr>
        <w:footnoteReference w:id="53"/>
      </w:r>
      <w:r>
        <w:t xml:space="preserve">.</w:t>
      </w:r>
    </w:p>
    <w:p>
      <w:pPr>
        <w:pStyle w:val="BodyText"/>
      </w:pPr>
      <w:r>
        <w:t xml:space="preserve">This extreme long-tail distribution means that for the vast majority of artists, streaming catalogs function not as revenue assets but as portfolio placeholders — digital business cards that cost money to maintain and return almost nothing. The academic consensus is unambiguous: streaming income is meager and volatile, functioning more as a promotional tool than a substantial revenue source</w:t>
      </w:r>
      <w:r>
        <w:t xml:space="preserve"> </w:t>
      </w:r>
      <w:r>
        <w:rPr>
          <w:vertAlign w:val="superscript"/>
        </w:rPr>
        <w:footnoteReference w:id="54"/>
      </w:r>
      <w:r>
        <w:t xml:space="preserve">. Artists with moderate streaming numbers in the tens or hundreds of thousands of streams report that the resulting income is</w:t>
      </w:r>
      <w:r>
        <w:t xml:space="preserve"> </w:t>
      </w:r>
      <w:r>
        <w:t xml:space="preserve">“</w:t>
      </w:r>
      <w:r>
        <w:t xml:space="preserve">nowhere near enough</w:t>
      </w:r>
      <w:r>
        <w:t xml:space="preserve">”</w:t>
      </w:r>
      <w:r>
        <w:t xml:space="preserve"> </w:t>
      </w:r>
      <w:r>
        <w:t xml:space="preserve">to cover basic living expenses</w:t>
      </w:r>
      <w:r>
        <w:t xml:space="preserve"> </w:t>
      </w:r>
      <w:fldSimple w:instr="NOTEREF _Ref_Footnote_54 \h \f">
        <w:r>
          <w:rPr>
            <w:vertAlign w:val="superscript"/>
          </w:rPr>
          <w:t>54</w:t>
        </w:r>
      </w:fldSimple>
      <w:r>
        <w:t xml:space="preserve">. One independent musician quoted in a 2025 academic study captured the sentiment precisely:</w:t>
      </w:r>
      <w:r>
        <w:t xml:space="preserve"> </w:t>
      </w:r>
      <w:r>
        <w:t xml:space="preserve">“</w:t>
      </w:r>
      <w:r>
        <w:t xml:space="preserve">It’s so random and unpredictable that I treat whatever comes from streaming as a bonus — I can’t even budget with it</w:t>
      </w:r>
      <w:r>
        <w:t xml:space="preserve">”</w:t>
      </w:r>
      <w:r>
        <w:t xml:space="preserve"> </w:t>
      </w:r>
      <w:fldSimple w:instr="NOTEREF _Ref_Footnote_54 \h \f">
        <w:r>
          <w:rPr>
            <w:vertAlign w:val="superscript"/>
          </w:rPr>
          <w:t>54</w:t>
        </w:r>
      </w:fldSimple>
      <w:r>
        <w:t xml:space="preserve">.</w:t>
      </w:r>
    </w:p>
    <w:p>
      <w:pPr>
        <w:pStyle w:val="BodyText"/>
      </w:pPr>
      <w:r>
        <w:t xml:space="preserve">The concentration intensifies when examining who captures the revenue that does flow. Academic research published in the</w:t>
      </w:r>
      <w:r>
        <w:t xml:space="preserve"> </w:t>
      </w:r>
      <w:r>
        <w:rPr>
          <w:iCs/>
          <w:i/>
        </w:rPr>
        <w:t xml:space="preserve">Journal of Humanities, Music and Dance</w:t>
      </w:r>
      <w:r>
        <w:t xml:space="preserve"> </w:t>
      </w:r>
      <w:r>
        <w:t xml:space="preserve">found that the top 1% of artists accounted for 78% of all streams and 83% of streaming revenue in 2023</w:t>
      </w:r>
      <w:r>
        <w:t xml:space="preserve"> </w:t>
      </w:r>
      <w:fldSimple w:instr="NOTEREF _Ref_Footnote_16 \h \f">
        <w:r>
          <w:rPr>
            <w:vertAlign w:val="superscript"/>
          </w:rPr>
          <w:t>16</w:t>
        </w:r>
      </w:fldSimple>
      <w:r>
        <w:t xml:space="preserve">. This is a</w:t>
      </w:r>
      <w:r>
        <w:t xml:space="preserve"> </w:t>
      </w:r>
      <w:r>
        <w:t xml:space="preserve">“</w:t>
      </w:r>
      <w:r>
        <w:t xml:space="preserve">superstar economy</w:t>
      </w:r>
      <w:r>
        <w:t xml:space="preserve">”</w:t>
      </w:r>
      <w:r>
        <w:t xml:space="preserve"> </w:t>
      </w:r>
      <w:r>
        <w:t xml:space="preserve">effect more pronounced than in the pre-streaming era, driven by the role of playlists and algorithms in directing listener attention. The same study found that 72% of streams came from platform-generated recommendations, meaning algorithmic curation — not artist marketing or fan loyalty — controls music discovery for the vast majority of listening</w:t>
      </w:r>
      <w:r>
        <w:t xml:space="preserve"> </w:t>
      </w:r>
      <w:fldSimple w:instr="NOTEREF _Ref_Footnote_16 \h \f">
        <w:r>
          <w:rPr>
            <w:vertAlign w:val="superscript"/>
          </w:rPr>
          <w:t>16</w:t>
        </w:r>
      </w:fldSimple>
      <w:r>
        <w:t xml:space="preserve">. Artists featured on popular playlists saw a 347% increase in streams, further concentrating exposure and revenue at the top</w:t>
      </w:r>
      <w:r>
        <w:t xml:space="preserve"> </w:t>
      </w:r>
      <w:fldSimple w:instr="NOTEREF _Ref_Footnote_16 \h \f">
        <w:r>
          <w:rPr>
            <w:vertAlign w:val="superscript"/>
          </w:rPr>
          <w:t>16</w:t>
        </w:r>
      </w:fldSimple>
      <w:r>
        <w:t xml:space="preserve">.</w:t>
      </w:r>
    </w:p>
    <w:p>
      <w:pPr>
        <w:pStyle w:val="BodyText"/>
      </w:pPr>
      <w:r>
        <w:t xml:space="preserve">The following table synthesizes the available data on revenue concentration across the streaming ecosystem, drawing from multiple independent analyses.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 of Artists</w:t>
            </w:r>
          </w:p>
        </w:tc>
        <w:tc>
          <w:tcPr/>
          <w:p>
            <w:pPr>
              <w:pStyle w:val="Compact"/>
              <w:jc w:val="left"/>
            </w:pPr>
            <w:r>
              <w:t xml:space="preserve">Share of Streaming Revenue</w:t>
            </w:r>
          </w:p>
        </w:tc>
        <w:tc>
          <w:tcPr/>
          <w:p>
            <w:pPr>
              <w:pStyle w:val="Compact"/>
              <w:jc w:val="left"/>
            </w:pPr>
            <w:r>
              <w:t xml:space="preserve">Share of All Streams</w:t>
            </w:r>
          </w:p>
        </w:tc>
        <w:tc>
          <w:tcPr/>
          <w:p>
            <w:pPr>
              <w:pStyle w:val="Compact"/>
              <w:jc w:val="left"/>
            </w:pPr>
            <w:r>
              <w:t xml:space="preserve">Estimated Annual Streaming Income</w:t>
            </w:r>
          </w:p>
        </w:tc>
      </w:tr>
      <w:tr>
        <w:tc>
          <w:tcPr/>
          <w:p>
            <w:pPr>
              <w:pStyle w:val="Compact"/>
              <w:jc w:val="left"/>
            </w:pPr>
            <w:r>
              <w:t xml:space="preserve">Top 0.1% (~11,000 artists)</w:t>
            </w:r>
          </w:p>
        </w:tc>
        <w:tc>
          <w:tcPr/>
          <w:p>
            <w:pPr>
              <w:pStyle w:val="Compact"/>
              <w:jc w:val="left"/>
            </w:pPr>
            <w:r>
              <w:t xml:space="preserve">~40%</w:t>
            </w:r>
            <w:r>
              <w:t xml:space="preserve"> </w:t>
            </w:r>
            <w:fldSimple w:instr="NOTEREF _Ref_Footnote_16 \h \f">
              <w:r>
                <w:rPr>
                  <w:vertAlign w:val="superscript"/>
                </w:rPr>
                <w:t>16</w:t>
              </w:r>
            </w:fldSimple>
            <w:r>
              <w:t xml:space="preserve"> </w:t>
            </w:r>
            <w:fldSimple w:instr="NOTEREF _Ref_Footnote_49 \h \f">
              <w:r>
                <w:rPr>
                  <w:vertAlign w:val="superscript"/>
                </w:rPr>
                <w:t>49</w:t>
              </w:r>
            </w:fldSimple>
          </w:p>
        </w:tc>
        <w:tc>
          <w:tcPr/>
          <w:p>
            <w:pPr>
              <w:pStyle w:val="Compact"/>
              <w:jc w:val="left"/>
            </w:pPr>
            <w:r>
              <w:t xml:space="preserve">~35%</w:t>
            </w:r>
            <w:r>
              <w:t xml:space="preserve"> </w:t>
            </w:r>
            <w:fldSimple w:instr="NOTEREF _Ref_Footnote_16 \h \f">
              <w:r>
                <w:rPr>
                  <w:vertAlign w:val="superscript"/>
                </w:rPr>
                <w:t>16</w:t>
              </w:r>
            </w:fldSimple>
          </w:p>
        </w:tc>
        <w:tc>
          <w:tcPr/>
          <w:p>
            <w:pPr>
              <w:pStyle w:val="Compact"/>
              <w:jc w:val="left"/>
            </w:pPr>
            <w:r>
              <w:t xml:space="preserve">$50,000+ (0.2% earn &gt;$50K)</w:t>
            </w:r>
            <w:r>
              <w:t xml:space="preserve"> </w:t>
            </w:r>
            <w:fldSimple w:instr="NOTEREF _Ref_Footnote_49 \h \f">
              <w:r>
                <w:rPr>
                  <w:vertAlign w:val="superscript"/>
                </w:rPr>
                <w:t>49</w:t>
              </w:r>
            </w:fldSimple>
          </w:p>
        </w:tc>
      </w:tr>
      <w:tr>
        <w:tc>
          <w:tcPr/>
          <w:p>
            <w:pPr>
              <w:pStyle w:val="Compact"/>
              <w:jc w:val="left"/>
            </w:pPr>
            <w:r>
              <w:t xml:space="preserve">Top 1% (~110,000 artists)</w:t>
            </w:r>
          </w:p>
        </w:tc>
        <w:tc>
          <w:tcPr/>
          <w:p>
            <w:pPr>
              <w:pStyle w:val="Compact"/>
              <w:jc w:val="left"/>
            </w:pPr>
            <w:r>
              <w:t xml:space="preserve">78–83%</w:t>
            </w:r>
            <w:r>
              <w:t xml:space="preserve"> </w:t>
            </w:r>
            <w:fldSimple w:instr="NOTEREF _Ref_Footnote_16 \h \f">
              <w:r>
                <w:rPr>
                  <w:vertAlign w:val="superscript"/>
                </w:rPr>
                <w:t>16</w:t>
              </w:r>
            </w:fldSimple>
          </w:p>
        </w:tc>
        <w:tc>
          <w:tcPr/>
          <w:p>
            <w:pPr>
              <w:pStyle w:val="Compact"/>
              <w:jc w:val="left"/>
            </w:pPr>
            <w:r>
              <w:t xml:space="preserve">~78%</w:t>
            </w:r>
            <w:r>
              <w:t xml:space="preserve"> </w:t>
            </w:r>
            <w:fldSimple w:instr="NOTEREF _Ref_Footnote_16 \h \f">
              <w:r>
                <w:rPr>
                  <w:vertAlign w:val="superscript"/>
                </w:rPr>
                <w:t>16</w:t>
              </w:r>
            </w:fldSimple>
          </w:p>
        </w:tc>
        <w:tc>
          <w:tcPr/>
          <w:p>
            <w:pPr>
              <w:pStyle w:val="Compact"/>
              <w:jc w:val="left"/>
            </w:pPr>
            <w:r>
              <w:t xml:space="preserve">$7,300–$100,000+</w:t>
            </w:r>
            <w:r>
              <w:t xml:space="preserve"> </w:t>
            </w:r>
            <w:r>
              <w:rPr>
                <w:vertAlign w:val="superscript"/>
              </w:rPr>
              <w:footnoteReference w:id="55"/>
            </w:r>
          </w:p>
        </w:tc>
      </w:tr>
      <w:tr>
        <w:tc>
          <w:tcPr/>
          <w:p>
            <w:pPr>
              <w:pStyle w:val="Compact"/>
              <w:jc w:val="left"/>
            </w:pPr>
            <w:r>
              <w:t xml:space="preserve">Top 10% (~1.1M artists)</w:t>
            </w:r>
          </w:p>
        </w:tc>
        <w:tc>
          <w:tcPr/>
          <w:p>
            <w:pPr>
              <w:pStyle w:val="Compact"/>
              <w:jc w:val="left"/>
            </w:pPr>
            <w:r>
              <w:t xml:space="preserve">95%+</w:t>
            </w:r>
            <w:r>
              <w:t xml:space="preserve"> </w:t>
            </w:r>
            <w:fldSimple w:instr="NOTEREF _Ref_Footnote_10 \h \f">
              <w:r>
                <w:rPr>
                  <w:vertAlign w:val="superscript"/>
                </w:rPr>
                <w:t>10</w:t>
              </w:r>
            </w:fldSimple>
          </w:p>
        </w:tc>
        <w:tc>
          <w:tcPr/>
          <w:p>
            <w:pPr>
              <w:pStyle w:val="Compact"/>
              <w:jc w:val="left"/>
            </w:pPr>
            <w:r>
              <w:t xml:space="preserve">95%+</w:t>
            </w:r>
            <w:r>
              <w:t xml:space="preserve"> </w:t>
            </w:r>
            <w:fldSimple w:instr="NOTEREF _Ref_Footnote_10 \h \f">
              <w:r>
                <w:rPr>
                  <w:vertAlign w:val="superscript"/>
                </w:rPr>
                <w:t>10</w:t>
              </w:r>
            </w:fldSimple>
          </w:p>
        </w:tc>
        <w:tc>
          <w:tcPr/>
          <w:p>
            <w:pPr>
              <w:pStyle w:val="Compact"/>
              <w:jc w:val="left"/>
            </w:pPr>
            <w:r>
              <w:t xml:space="preserve">$1,000–$7,300</w:t>
            </w:r>
            <w:r>
              <w:t xml:space="preserve"> </w:t>
            </w:r>
            <w:fldSimple w:instr="NOTEREF _Ref_Footnote_55 \h \f">
              <w:r>
                <w:rPr>
                  <w:vertAlign w:val="superscript"/>
                </w:rPr>
                <w:t>55</w:t>
              </w:r>
            </w:fldSimple>
          </w:p>
        </w:tc>
      </w:tr>
      <w:tr>
        <w:tc>
          <w:tcPr/>
          <w:p>
            <w:pPr>
              <w:pStyle w:val="Compact"/>
              <w:jc w:val="left"/>
            </w:pPr>
            <w:r>
              <w:t xml:space="preserve">Bottom 50% (~5.5M+ artists)</w:t>
            </w:r>
          </w:p>
        </w:tc>
        <w:tc>
          <w:tcPr/>
          <w:p>
            <w:pPr>
              <w:pStyle w:val="Compact"/>
              <w:jc w:val="left"/>
            </w:pPr>
            <w:r>
              <w:t xml:space="preserve">&lt;1%</w:t>
            </w:r>
            <w:r>
              <w:t xml:space="preserve"> </w:t>
            </w:r>
            <w:fldSimple w:instr="NOTEREF _Ref_Footnote_10 \h \f">
              <w:r>
                <w:rPr>
                  <w:vertAlign w:val="superscript"/>
                </w:rPr>
                <w:t>10</w:t>
              </w:r>
            </w:fldSimple>
          </w:p>
        </w:tc>
        <w:tc>
          <w:tcPr/>
          <w:p>
            <w:pPr>
              <w:pStyle w:val="Compact"/>
              <w:jc w:val="left"/>
            </w:pPr>
            <w:r>
              <w:t xml:space="preserve">&lt;1%</w:t>
            </w:r>
            <w:r>
              <w:t xml:space="preserve"> </w:t>
            </w:r>
            <w:fldSimple w:instr="NOTEREF _Ref_Footnote_10 \h \f">
              <w:r>
                <w:rPr>
                  <w:vertAlign w:val="superscript"/>
                </w:rPr>
                <w:t>10</w:t>
              </w:r>
            </w:fldSimple>
          </w:p>
        </w:tc>
        <w:tc>
          <w:tcPr/>
          <w:p>
            <w:pPr>
              <w:pStyle w:val="Compact"/>
              <w:jc w:val="left"/>
            </w:pPr>
            <w:r>
              <w:t xml:space="preserve">&lt;$200</w:t>
            </w:r>
            <w:r>
              <w:t xml:space="preserve"> </w:t>
            </w:r>
            <w:fldSimple w:instr="NOTEREF _Ref_Footnote_10 \h \f">
              <w:r>
                <w:rPr>
                  <w:vertAlign w:val="superscript"/>
                </w:rPr>
                <w:t>10</w:t>
              </w:r>
            </w:fldSimple>
          </w:p>
        </w:tc>
      </w:tr>
      <w:tr>
        <w:tc>
          <w:tcPr/>
          <w:p>
            <w:pPr>
              <w:pStyle w:val="Compact"/>
              <w:jc w:val="left"/>
            </w:pPr>
            <w:r>
              <w:t xml:space="preserve">All others (~5M+ artists)</w:t>
            </w:r>
          </w:p>
        </w:tc>
        <w:tc>
          <w:tcPr/>
          <w:p>
            <w:pPr>
              <w:pStyle w:val="Compact"/>
              <w:jc w:val="left"/>
            </w:pPr>
            <w:r>
              <w:t xml:space="preserve">0% (demonetized)</w:t>
            </w:r>
          </w:p>
        </w:tc>
        <w:tc>
          <w:tcPr/>
          <w:p>
            <w:pPr>
              <w:pStyle w:val="Compact"/>
              <w:jc w:val="left"/>
            </w:pPr>
            <w:r>
              <w:t xml:space="preserve">~0.5%</w:t>
            </w:r>
            <w:r>
              <w:t xml:space="preserve"> </w:t>
            </w:r>
            <w:fldSimple w:instr="NOTEREF _Ref_Footnote_34 \h \f">
              <w:r>
                <w:rPr>
                  <w:vertAlign w:val="superscript"/>
                </w:rPr>
                <w:t>34</w:t>
              </w:r>
            </w:fldSimple>
          </w:p>
        </w:tc>
        <w:tc>
          <w:tcPr/>
          <w:p>
            <w:pPr>
              <w:pStyle w:val="Compact"/>
              <w:jc w:val="left"/>
            </w:pPr>
            <w:r>
              <w:t xml:space="preserve">$0</w:t>
            </w:r>
            <w:r>
              <w:t xml:space="preserve"> </w:t>
            </w:r>
            <w:fldSimple w:instr="NOTEREF _Ref_Footnote_3 \h \f">
              <w:r>
                <w:rPr>
                  <w:vertAlign w:val="superscript"/>
                </w:rPr>
                <w:t>3</w:t>
              </w:r>
            </w:fldSimple>
          </w:p>
        </w:tc>
      </w:tr>
    </w:tbl>
    <w:p>
      <w:pPr>
        <w:pStyle w:val="BodyText"/>
      </w:pPr>
      <w:r>
        <w:t xml:space="preserve">The table compiles data from academic studies, Citigroup analysis, Luminate’s industry-standard streaming metrics, and Spotify’s own Loud &amp; Clear disclosures. The convergence is damning. The bottom 50% of artists earn less than 1% of all streaming revenue</w:t>
      </w:r>
      <w:r>
        <w:t xml:space="preserve"> </w:t>
      </w:r>
      <w:fldSimple w:instr="NOTEREF _Ref_Footnote_10 \h \f">
        <w:r>
          <w:rPr>
            <w:vertAlign w:val="superscript"/>
          </w:rPr>
          <w:t>10</w:t>
        </w:r>
      </w:fldSimple>
      <w:r>
        <w:t xml:space="preserve">, with the majority making under $200 annually</w:t>
      </w:r>
      <w:r>
        <w:t xml:space="preserve"> </w:t>
      </w:r>
      <w:fldSimple w:instr="NOTEREF _Ref_Footnote_10 \h \f">
        <w:r>
          <w:rPr>
            <w:vertAlign w:val="superscript"/>
          </w:rPr>
          <w:t>10</w:t>
        </w:r>
      </w:fldSimple>
      <w:r>
        <w:t xml:space="preserve">. On Spotify specifically, 98% of artists earn less than $1,000 per year</w:t>
      </w:r>
      <w:r>
        <w:t xml:space="preserve"> </w:t>
      </w:r>
      <w:fldSimple w:instr="NOTEREF _Ref_Footnote_49 \h \f">
        <w:r>
          <w:rPr>
            <w:vertAlign w:val="superscript"/>
          </w:rPr>
          <w:t>49</w:t>
        </w:r>
      </w:fldSimple>
      <w:r>
        <w:t xml:space="preserve">. Even Spotify’s own data, presented in its most favorable light, confirms the pattern: in 2025, the 100,000th-highest-earning artist on the platform generated approximately $7,300 in royalties</w:t>
      </w:r>
      <w:r>
        <w:t xml:space="preserve"> </w:t>
      </w:r>
      <w:fldSimple w:instr="NOTEREF _Ref_Footnote_55 \h \f">
        <w:r>
          <w:rPr>
            <w:vertAlign w:val="superscript"/>
          </w:rPr>
          <w:t>55</w:t>
        </w:r>
      </w:fldSimple>
      <w:r>
        <w:t xml:space="preserve">. While Spotify frames this as a twentyfold increase from the $350 earned by the artist in that same rank in 2015, the absolute figure remains below the US poverty line. And 100,000th place represents the top 0.9% of the estimated 11 million artists who have uploaded at least one track to the platform.</w:t>
      </w:r>
    </w:p>
    <w:p>
      <w:pPr>
        <w:pStyle w:val="BodyText"/>
      </w:pPr>
      <w:r>
        <w:t xml:space="preserve">The industry’s aggregate figures obscure this concentration. Spotify paid out $11 billion to the music industry in 2025, a record high</w:t>
      </w:r>
      <w:r>
        <w:t xml:space="preserve"> </w:t>
      </w:r>
      <w:r>
        <w:rPr>
          <w:vertAlign w:val="superscript"/>
        </w:rPr>
        <w:footnoteReference w:id="56"/>
      </w:r>
      <w:r>
        <w:t xml:space="preserve">, and reported that independent artists and labels accounted for roughly half of those royalties by dollar value</w:t>
      </w:r>
      <w:r>
        <w:t xml:space="preserve"> </w:t>
      </w:r>
      <w:r>
        <w:rPr>
          <w:vertAlign w:val="superscript"/>
        </w:rPr>
        <w:footnoteReference w:id="57"/>
      </w:r>
      <w:r>
        <w:t xml:space="preserve">. CEO Daniel Ek has repeatedly emphasized this 50% indie share as evidence of democratization, arguing that</w:t>
      </w:r>
      <w:r>
        <w:t xml:space="preserve"> </w:t>
      </w:r>
      <w:r>
        <w:t xml:space="preserve">“</w:t>
      </w:r>
      <w:r>
        <w:t xml:space="preserve">especially from a historic standpoint, that is insane and was NOT happening in the pre-streaming era</w:t>
      </w:r>
      <w:r>
        <w:t xml:space="preserve">”</w:t>
      </w:r>
      <w:r>
        <w:t xml:space="preserve"> </w:t>
      </w:r>
      <w:r>
        <w:rPr>
          <w:vertAlign w:val="superscript"/>
        </w:rPr>
        <w:footnoteReference w:id="58"/>
      </w:r>
      <w:r>
        <w:t xml:space="preserve">. But aggregate dollar flows are meaningless to individual artists. The median independent musician in the UK earns approximately £2,500 per year from all music sources — not just streaming — with a mean of £5,750, indicating extreme concentration where a small number of high earners pull the average well above what most artists actually experience</w:t>
      </w:r>
      <w:r>
        <w:t xml:space="preserve"> </w:t>
      </w:r>
      <w:r>
        <w:rPr>
          <w:vertAlign w:val="superscript"/>
        </w:rPr>
        <w:footnoteReference w:id="59"/>
      </w:r>
      <w:r>
        <w:t xml:space="preserve">.</w:t>
      </w:r>
    </w:p>
    <w:p>
      <w:pPr>
        <w:pStyle w:val="BodyText"/>
      </w:pPr>
      <w:r>
        <w:t xml:space="preserve">The next table breaks down how a typical streaming payout is distributed through the royalty chain, illustrating why the headline $11 billion industry payout translates into so little at the artist level.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Typical Cut</w:t>
            </w:r>
          </w:p>
        </w:tc>
        <w:tc>
          <w:tcPr/>
          <w:p>
            <w:pPr>
              <w:pStyle w:val="Compact"/>
              <w:jc w:val="left"/>
            </w:pPr>
            <w:r>
              <w:t xml:space="preserve">Artist Take-Home</w:t>
            </w:r>
          </w:p>
        </w:tc>
        <w:tc>
          <w:tcPr/>
          <w:p>
            <w:pPr>
              <w:pStyle w:val="Compact"/>
              <w:jc w:val="left"/>
            </w:pPr>
            <w:r>
              <w:t xml:space="preserve">Cumulative Artist Share</w:t>
            </w:r>
          </w:p>
        </w:tc>
      </w:tr>
      <w:tr>
        <w:tc>
          <w:tcPr/>
          <w:p>
            <w:pPr>
              <w:pStyle w:val="Compact"/>
              <w:jc w:val="left"/>
            </w:pPr>
            <w:r>
              <w:t xml:space="preserve">Gross streaming revenue (1M Spotify streams)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Spotify platform share (~30%)</w:t>
            </w:r>
          </w:p>
        </w:tc>
        <w:tc>
          <w:tcPr/>
          <w:p>
            <w:pPr>
              <w:pStyle w:val="Compact"/>
              <w:jc w:val="left"/>
            </w:pPr>
            <w:r>
              <w:t xml:space="preserve">30%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Royalty pool distributed to rights holders</w:t>
            </w:r>
          </w:p>
        </w:tc>
        <w:tc>
          <w:tcPr/>
          <w:p>
            <w:pPr>
              <w:pStyle w:val="Compact"/>
              <w:jc w:val="left"/>
            </w:pPr>
            <w:r>
              <w:t xml:space="preserve">70% ($3,500–$5,000)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Distributor cut (e.g., DistroKid, TuneCore)</w:t>
            </w:r>
          </w:p>
        </w:tc>
        <w:tc>
          <w:tcPr/>
          <w:p>
            <w:pPr>
              <w:pStyle w:val="Compact"/>
              <w:jc w:val="left"/>
            </w:pPr>
            <w:r>
              <w:t xml:space="preserve">15% of royalty pool</w:t>
            </w:r>
          </w:p>
        </w:tc>
        <w:tc>
          <w:tcPr/>
          <w:p>
            <w:pPr>
              <w:pStyle w:val="Compact"/>
              <w:jc w:val="left"/>
            </w:pPr>
            <w:r>
              <w:t xml:space="preserve">$2,975–$4,250 after distributor</w:t>
            </w:r>
          </w:p>
        </w:tc>
        <w:tc>
          <w:tcPr/>
          <w:p>
            <w:pPr>
              <w:pStyle w:val="Compact"/>
              <w:jc w:val="left"/>
            </w:pPr>
            <w:r>
              <w:t xml:space="preserve">59.5–85%</w:t>
            </w:r>
          </w:p>
        </w:tc>
      </w:tr>
      <w:tr>
        <w:tc>
          <w:tcPr/>
          <w:p>
            <w:pPr>
              <w:pStyle w:val="Compact"/>
              <w:jc w:val="left"/>
            </w:pPr>
            <w:r>
              <w:t xml:space="preserve">Label split (50/50 indie deal)</w:t>
            </w:r>
          </w:p>
        </w:tc>
        <w:tc>
          <w:tcPr/>
          <w:p>
            <w:pPr>
              <w:pStyle w:val="Compact"/>
              <w:jc w:val="left"/>
            </w:pPr>
            <w:r>
              <w:t xml:space="preserve">50% of remainder</w:t>
            </w:r>
          </w:p>
        </w:tc>
        <w:tc>
          <w:tcPr/>
          <w:p>
            <w:pPr>
              <w:pStyle w:val="Compact"/>
              <w:jc w:val="left"/>
            </w:pPr>
            <w:r>
              <w:t xml:space="preserve">$1,488–$2,125 after label</w:t>
            </w:r>
          </w:p>
        </w:tc>
        <w:tc>
          <w:tcPr/>
          <w:p>
            <w:pPr>
              <w:pStyle w:val="Compact"/>
              <w:jc w:val="left"/>
            </w:pPr>
            <w:r>
              <w:t xml:space="preserve">29.8–42.5%</w:t>
            </w:r>
          </w:p>
        </w:tc>
      </w:tr>
      <w:tr>
        <w:tc>
          <w:tcPr/>
          <w:p>
            <w:pPr>
              <w:pStyle w:val="Compact"/>
              <w:jc w:val="left"/>
            </w:pPr>
            <w:r>
              <w:t xml:space="preserve">Manager commission (15%)</w:t>
            </w:r>
          </w:p>
        </w:tc>
        <w:tc>
          <w:tcPr/>
          <w:p>
            <w:pPr>
              <w:pStyle w:val="Compact"/>
              <w:jc w:val="left"/>
            </w:pPr>
            <w:r>
              <w:t xml:space="preserve">15% of remainder</w:t>
            </w:r>
          </w:p>
        </w:tc>
        <w:tc>
          <w:tcPr/>
          <w:p>
            <w:pPr>
              <w:pStyle w:val="Compact"/>
              <w:jc w:val="left"/>
            </w:pPr>
            <w:r>
              <w:t xml:space="preserve">$1,265–$1,806 after manager</w:t>
            </w:r>
          </w:p>
        </w:tc>
        <w:tc>
          <w:tcPr/>
          <w:p>
            <w:pPr>
              <w:pStyle w:val="Compact"/>
              <w:jc w:val="left"/>
            </w:pPr>
            <w:r>
              <w:t xml:space="preserve">25.3–36.1%</w:t>
            </w:r>
          </w:p>
        </w:tc>
      </w:tr>
      <w:tr>
        <w:tc>
          <w:tcPr/>
          <w:p>
            <w:pPr>
              <w:pStyle w:val="Compact"/>
              <w:jc w:val="left"/>
            </w:pPr>
            <w:r>
              <w:rPr>
                <w:bCs/>
                <w:b/>
              </w:rPr>
              <w:t xml:space="preserve">Final artist take-home</w:t>
            </w:r>
          </w:p>
        </w:tc>
        <w:tc>
          <w:tcPr/>
          <w:p>
            <w:pPr>
              <w:pStyle w:val="Compact"/>
              <w:jc w:val="left"/>
            </w:pPr>
            <w:r>
              <w:t xml:space="preserve">—</w:t>
            </w:r>
          </w:p>
        </w:tc>
        <w:tc>
          <w:tcPr/>
          <w:p>
            <w:pPr>
              <w:pStyle w:val="Compact"/>
              <w:jc w:val="left"/>
            </w:pPr>
            <w:r>
              <w:rPr>
                <w:bCs/>
                <w:b/>
              </w:rPr>
              <w:t xml:space="preserve">$1,265–$1,806</w:t>
            </w:r>
          </w:p>
        </w:tc>
        <w:tc>
          <w:tcPr/>
          <w:p>
            <w:pPr>
              <w:pStyle w:val="Compact"/>
              <w:jc w:val="left"/>
            </w:pPr>
            <w:r>
              <w:rPr>
                <w:bCs/>
                <w:b/>
              </w:rPr>
              <w:t xml:space="preserve">25–36% of gross</w:t>
            </w:r>
          </w:p>
        </w:tc>
      </w:tr>
    </w:tbl>
    <w:p>
      <w:pPr>
        <w:pStyle w:val="BodyText"/>
      </w:pPr>
      <w:r>
        <w:t xml:space="preserve">Source: compiled from Artist.tools royalty calculator</w:t>
      </w:r>
      <w:r>
        <w:t xml:space="preserve"> </w:t>
      </w:r>
      <w:fldSimple w:instr="NOTEREF _Ref_Footnote_46 \h \f">
        <w:r>
          <w:rPr>
            <w:vertAlign w:val="superscript"/>
          </w:rPr>
          <w:t>46</w:t>
        </w:r>
      </w:fldSimple>
      <w:r>
        <w:t xml:space="preserve">and Indie Music Academy deal structure analysis</w:t>
      </w:r>
      <w:r>
        <w:t xml:space="preserve"> </w:t>
      </w:r>
      <w:fldSimple w:instr="NOTEREF _Ref_Footnote_43 \h \f">
        <w:r>
          <w:rPr>
            <w:vertAlign w:val="superscript"/>
          </w:rPr>
          <w:t>43</w:t>
        </w:r>
      </w:fldSimple>
      <w:r>
        <w:t xml:space="preserve">.</w:t>
      </w:r>
    </w:p>
    <w:p>
      <w:pPr>
        <w:pStyle w:val="BodyText"/>
      </w:pPr>
      <w:r>
        <w:t xml:space="preserve">For major label artists, the picture is substantially worse. New artists typically fall into the 13–16% royalty range on streaming, with superstars commanding 18–20%</w:t>
      </w:r>
      <w:r>
        <w:t xml:space="preserve"> </w:t>
      </w:r>
      <w:fldSimple w:instr="NOTEREF _Ref_Footnote_43 \h \f">
        <w:r>
          <w:rPr>
            <w:vertAlign w:val="superscript"/>
          </w:rPr>
          <w:t>43</w:t>
        </w:r>
      </w:fldSimple>
      <w:r>
        <w:t xml:space="preserve">. After recoupment — the process by which labels deduct recording, marketing, and advance costs from royalties before paying the artist — the effective take-home can be single-digit percentages of the gross. The widely cited Citigroup analysis found that artists receive approximately 12% of total music industry revenue</w:t>
      </w:r>
      <w:r>
        <w:t xml:space="preserve"> </w:t>
      </w:r>
      <w:r>
        <w:rPr>
          <w:vertAlign w:val="superscript"/>
        </w:rPr>
        <w:footnoteReference w:id="60"/>
      </w:r>
      <w:r>
        <w:t xml:space="preserve">, though this figure includes AM/FM radio advertising revenue that artists cannot legally capture in the US. Removing that component raises the artist share to approximately 19%, but even that revised figure represents a low return for the primary value creators in the industry</w:t>
      </w:r>
      <w:r>
        <w:t xml:space="preserve"> </w:t>
      </w:r>
      <w:fldSimple w:instr="NOTEREF _Ref_Footnote_60 \h \f">
        <w:r>
          <w:rPr>
            <w:vertAlign w:val="superscript"/>
          </w:rPr>
          <w:t>60</w:t>
        </w:r>
      </w:fldSimple>
      <w:r>
        <w:t xml:space="preserve">.</w:t>
      </w:r>
    </w:p>
    <w:p>
      <w:pPr>
        <w:pStyle w:val="BodyText"/>
      </w:pPr>
      <w:r>
        <w:t xml:space="preserve">The practical reality for working musicians is that streaming is not a primary income source — it is a discoverability channel that happens to generate small payments. A 2024 academic study found that 90% of surveyed artists reported streaming accounted for over 50% of their music-related income, yet 68% stated their overall income from music had decreased since the shift to streaming dominance</w:t>
      </w:r>
      <w:r>
        <w:t xml:space="preserve"> </w:t>
      </w:r>
      <w:fldSimple w:instr="NOTEREF _Ref_Footnote_16 \h \f">
        <w:r>
          <w:rPr>
            <w:vertAlign w:val="superscript"/>
          </w:rPr>
          <w:t>16</w:t>
        </w:r>
      </w:fldSimple>
      <w:r>
        <w:t xml:space="preserve">. The paradox is acute: streaming is simultaneously the dominant revenue format for the industry and a poverty-inducing format for the vast majority of its participants.</w:t>
      </w:r>
    </w:p>
    <w:bookmarkEnd w:id="30"/>
    <w:bookmarkStart w:id="31" w:name="legislative-and-industry-responses"/>
    <w:p>
      <w:pPr>
        <w:pStyle w:val="Heading3"/>
      </w:pPr>
      <w:r>
        <w:t xml:space="preserve">1.3 Legislative and Industry Responses</w:t>
      </w:r>
    </w:p>
    <w:p>
      <w:pPr>
        <w:pStyle w:val="FirstParagraph"/>
      </w:pPr>
      <w:r>
        <w:t xml:space="preserve">The streaming economics crisis has not gone unnoticed by policymakers and industry reformers. Over the past five years, legislative proposals, regulatory inquiries, and platform experiments have attempted to address the structural inequities of the pro-rata payment model. None has succeeded in materially altering the fundamental arithmetic. Understanding these failed or partial interventions is essential because it establishes that artists cannot wait for systemic rescue — the solutions are either politically blocked, technically limited, or too slow to matter for working musicians today.</w:t>
      </w:r>
    </w:p>
    <w:p>
      <w:pPr>
        <w:pStyle w:val="BodyText"/>
      </w:pPr>
      <w:r>
        <w:t xml:space="preserve">In the United States, the most ambitious legislative response is the Living Wage for Musicians Act (H.R. 7763), reintroduced on September 29, 2025 by Representative Rashida Tlaib</w:t>
      </w:r>
      <w:r>
        <w:t xml:space="preserve"> </w:t>
      </w:r>
      <w:fldSimple w:instr="NOTEREF _Ref_Footnote_48 \h \f">
        <w:r>
          <w:rPr>
            <w:vertAlign w:val="superscript"/>
          </w:rPr>
          <w:t>48</w:t>
        </w:r>
      </w:fldSimple>
      <w:r>
        <w:t xml:space="preserve">. The bill proposes a penny-per-stream minimum funded through two mechanisms: an additional subscription fee equal to 50% of the current monthly rate, and a 10% levy on non-subscription revenue from advertising and data licensing. These funds would flow into an Artist Compensation Royalty Fund administered by a non-profit, which would distribute payments directly to both featured and non-featured artists</w:t>
      </w:r>
      <w:r>
        <w:t xml:space="preserve"> </w:t>
      </w:r>
      <w:fldSimple w:instr="NOTEREF _Ref_Footnote_48 \h \f">
        <w:r>
          <w:rPr>
            <w:vertAlign w:val="superscript"/>
          </w:rPr>
          <w:t>48</w:t>
        </w:r>
      </w:fldSimple>
      <w:r>
        <w:t xml:space="preserve">. The bill includes a maximum payout cap of 1 million streams per track per month — money exceeding this cap would increase the per-stream rate for all artists, preventing superstar windfalls from diluting the fund. Co-sponsored by Representatives Alexandria Ocasio-Cortez, Ilhan Omar, and others, and backed by a New York City Council resolution passed in May 2025, the legislation represents the most serious attempt to statutory minimum streaming rates in US history</w:t>
      </w:r>
      <w:r>
        <w:t xml:space="preserve"> </w:t>
      </w:r>
      <w:r>
        <w:rPr>
          <w:vertAlign w:val="superscript"/>
        </w:rPr>
        <w:footnoteReference w:id="61"/>
      </w:r>
      <w:r>
        <w:t xml:space="preserve">.</w:t>
      </w:r>
    </w:p>
    <w:p>
      <w:pPr>
        <w:pStyle w:val="BodyText"/>
      </w:pPr>
      <w:r>
        <w:t xml:space="preserve">But the political obstacles are formidable. As of early 2026, the bill had not advanced beyond committee referral, and political analysis suggests the change in presidential administration has further jeopardized its chances of progress</w:t>
      </w:r>
      <w:r>
        <w:t xml:space="preserve"> </w:t>
      </w:r>
      <w:fldSimple w:instr="NOTEREF _Ref_Footnote_61 \h \f">
        <w:r>
          <w:rPr>
            <w:vertAlign w:val="superscript"/>
          </w:rPr>
          <w:t>61</w:t>
        </w:r>
      </w:fldSimple>
      <w:r>
        <w:t xml:space="preserve">. The bill’s funding mechanism — effectively a 50% increase in consumer subscription fees — faces opposition from both the streaming platforms, who argue it would reduce subscriber numbers, and from elements within the music industry concerned about disrupting existing licensing agreements. Even its supporters acknowledge that the penny-per-stream model, while mathematically straightforward, would require approximately $4 billion in annual new funding — a figure that depends on subscriber behavior remaining stable after a significant price increase</w:t>
      </w:r>
      <w:r>
        <w:t xml:space="preserve"> </w:t>
      </w:r>
      <w:fldSimple w:instr="NOTEREF _Ref_Footnote_48 \h \f">
        <w:r>
          <w:rPr>
            <w:vertAlign w:val="superscript"/>
          </w:rPr>
          <w:t>48</w:t>
        </w:r>
      </w:fldSimple>
      <w:r>
        <w:t xml:space="preserve">.</w:t>
      </w:r>
    </w:p>
    <w:p>
      <w:pPr>
        <w:pStyle w:val="BodyText"/>
      </w:pPr>
      <w:r>
        <w:t xml:space="preserve">The United Kingdom’s response illustrates how even sustained political attention can produce minimal structural change. In July 2021, the UK Parliament’s Digital, Culture, Media and Sport (DCMS) Select Committee called for a</w:t>
      </w:r>
      <w:r>
        <w:t xml:space="preserve"> </w:t>
      </w:r>
      <w:r>
        <w:t xml:space="preserve">“</w:t>
      </w:r>
      <w:r>
        <w:t xml:space="preserve">complete reset</w:t>
      </w:r>
      <w:r>
        <w:t xml:space="preserve">”</w:t>
      </w:r>
      <w:r>
        <w:t xml:space="preserve"> </w:t>
      </w:r>
      <w:r>
        <w:t xml:space="preserve">of music streaming, recommending broadcast-style</w:t>
      </w:r>
      <w:r>
        <w:t xml:space="preserve"> </w:t>
      </w:r>
      <w:r>
        <w:t xml:space="preserve">“</w:t>
      </w:r>
      <w:r>
        <w:t xml:space="preserve">equitable remuneration</w:t>
      </w:r>
      <w:r>
        <w:t xml:space="preserve">”</w:t>
      </w:r>
      <w:r>
        <w:t xml:space="preserve"> </w:t>
      </w:r>
      <w:r>
        <w:t xml:space="preserve">that would give artists a direct share of streaming royalties, legislation granting artists a</w:t>
      </w:r>
      <w:r>
        <w:t xml:space="preserve"> </w:t>
      </w:r>
      <w:r>
        <w:t xml:space="preserve">“</w:t>
      </w:r>
      <w:r>
        <w:t xml:space="preserve">right to recapture</w:t>
      </w:r>
      <w:r>
        <w:t xml:space="preserve">”</w:t>
      </w:r>
      <w:r>
        <w:t xml:space="preserve"> </w:t>
      </w:r>
      <w:r>
        <w:t xml:space="preserve">their works after 20 years, and a rebalancing of the streaming pie toward songwriters</w:t>
      </w:r>
      <w:r>
        <w:t xml:space="preserve"> </w:t>
      </w:r>
      <w:r>
        <w:rPr>
          <w:vertAlign w:val="superscript"/>
        </w:rPr>
        <w:footnoteReference w:id="62"/>
      </w:r>
      <w:r>
        <w:t xml:space="preserve">. Four years later, in July 2025, the government’s Creator Remuneration Working Group delivered its outcomes: voluntary label commitments. The measures included labels agreeing to disregard (not wipe) unrecouped balances when considering renegotiations, labels paying per diems to songwriters in studio sessions, and labels committing to respond to renegotiation requests within 60 days</w:t>
      </w:r>
      <w:r>
        <w:t xml:space="preserve"> </w:t>
      </w:r>
      <w:fldSimple w:instr="NOTEREF _Ref_Footnote_62 \h \f">
        <w:r>
          <w:rPr>
            <w:vertAlign w:val="superscript"/>
          </w:rPr>
          <w:t>62</w:t>
        </w:r>
      </w:fldSimple>
      <w:r>
        <w:t xml:space="preserve">. None of the three core DCMS recommendations — equitable remuneration, right to recapture, or songwriter rebalancing — was implemented.</w:t>
      </w:r>
    </w:p>
    <w:p>
      <w:pPr>
        <w:pStyle w:val="BodyText"/>
      </w:pPr>
      <w:r>
        <w:t xml:space="preserve">The Council of Music Makers, representing the Ivors Academy, Featured Artists Coalition, Musicians’ Union, Music Producers Guild, and Music Managers Forum, responded with measured criticism:</w:t>
      </w:r>
      <w:r>
        <w:t xml:space="preserve"> </w:t>
      </w:r>
      <w:r>
        <w:t xml:space="preserve">“</w:t>
      </w:r>
      <w:r>
        <w:t xml:space="preserve">The major labels have made bold estimates about the value and impact of these initiatives — but we are not convinced they can be substantiated</w:t>
      </w:r>
      <w:r>
        <w:t xml:space="preserve">”</w:t>
      </w:r>
      <w:r>
        <w:t xml:space="preserve"> </w:t>
      </w:r>
      <w:r>
        <w:rPr>
          <w:vertAlign w:val="superscript"/>
        </w:rPr>
        <w:footnoteReference w:id="63"/>
      </w:r>
      <w:r>
        <w:t xml:space="preserve">. The CMM committed to supporting music-makers in testing these voluntary initiatives over the following 12 months, but noted that</w:t>
      </w:r>
      <w:r>
        <w:t xml:space="preserve"> </w:t>
      </w:r>
      <w:r>
        <w:t xml:space="preserve">“</w:t>
      </w:r>
      <w:r>
        <w:t xml:space="preserve">major labels say they will not address systemic inequities in the way streaming works voluntarily. This means our copyright law is currently failing to empower and protect the UK’s human creators</w:t>
      </w:r>
      <w:r>
        <w:t xml:space="preserve">”</w:t>
      </w:r>
      <w:r>
        <w:t xml:space="preserve"> </w:t>
      </w:r>
      <w:fldSimple w:instr="NOTEREF _Ref_Footnote_63 \h \f">
        <w:r>
          <w:rPr>
            <w:vertAlign w:val="superscript"/>
          </w:rPr>
          <w:t>63</w:t>
        </w:r>
      </w:fldSimple>
      <w:r>
        <w:t xml:space="preserve">. The UK’s experience demonstrates that even with parliamentary committee backing, cross-party support, and sustained advocacy from creator organizations, the structural power of major labels and streaming platforms to resist binding reform remains intact.</w:t>
      </w:r>
    </w:p>
    <w:p>
      <w:pPr>
        <w:pStyle w:val="BodyText"/>
      </w:pPr>
      <w:r>
        <w:t xml:space="preserve">On the platform side, Deezer’s Artist-Centric Payment System (ACPS) represents the most significant operational alternative to pure pro-rata distribution. Launched in partnership with Universal Music Group, ACPS doubles pay per stream for</w:t>
      </w:r>
      <w:r>
        <w:t xml:space="preserve"> </w:t>
      </w:r>
      <w:r>
        <w:t xml:space="preserve">“</w:t>
      </w:r>
      <w:r>
        <w:t xml:space="preserve">professional artists</w:t>
      </w:r>
      <w:r>
        <w:t xml:space="preserve">”</w:t>
      </w:r>
      <w:r>
        <w:t xml:space="preserve"> </w:t>
      </w:r>
      <w:r>
        <w:t xml:space="preserve">defined as those with 1,000+ streams per month from at least 500 unique listeners</w:t>
      </w:r>
      <w:r>
        <w:t xml:space="preserve"> </w:t>
      </w:r>
      <w:r>
        <w:rPr>
          <w:vertAlign w:val="superscript"/>
        </w:rPr>
        <w:footnoteReference w:id="64"/>
      </w:r>
      <w:r>
        <w:t xml:space="preserve">. The model also gives a bonus to the most commonly searched tracks, putting</w:t>
      </w:r>
      <w:r>
        <w:t xml:space="preserve"> </w:t>
      </w:r>
      <w:r>
        <w:t xml:space="preserve">“</w:t>
      </w:r>
      <w:r>
        <w:t xml:space="preserve">a premium on tracks people actively hunt down</w:t>
      </w:r>
      <w:r>
        <w:t xml:space="preserve">”</w:t>
      </w:r>
      <w:r>
        <w:t xml:space="preserve"> </w:t>
      </w:r>
      <w:fldSimple w:instr="NOTEREF _Ref_Footnote_64 \h \f">
        <w:r>
          <w:rPr>
            <w:vertAlign w:val="superscript"/>
          </w:rPr>
          <w:t>64</w:t>
        </w:r>
      </w:fldSimple>
      <w:r>
        <w:t xml:space="preserve">. By October 2025, 85% of Deezer’s partners were on the ACPS model, and Deezer achieved its first profitable year in 2025 with net income of €8 million</w:t>
      </w:r>
      <w:r>
        <w:t xml:space="preserve"> </w:t>
      </w:r>
      <w:r>
        <w:rPr>
          <w:vertAlign w:val="superscript"/>
        </w:rPr>
        <w:footnoteReference w:id="65"/>
      </w:r>
      <w:r>
        <w:t xml:space="preserve">.</w:t>
      </w:r>
    </w:p>
    <w:p>
      <w:pPr>
        <w:pStyle w:val="BodyText"/>
      </w:pPr>
      <w:r>
        <w:t xml:space="preserve">The significance of ACPS extends beyond Deezer’s relatively small subscriber base (approximately 9.5 million subscribers versus Spotify’s 252 million paying users). It proves that alternative payment models are technically viable and can be commercially sustainable — Deezer’s profitability under ACPS undermines the argument that any departure from pro-rata would destroy platform economics. However, ACPS remains limited to specific territories, and its impact on the broader market is constrained by Deezer’s scale. The first royalty distributions under ACPS occurred only in October 2025, meaning comprehensive outcome data on how much artists actually gain under the model is not yet publicly available</w:t>
      </w:r>
      <w:r>
        <w:t xml:space="preserve"> </w:t>
      </w:r>
      <w:fldSimple w:instr="NOTEREF _Ref_Footnote_64 \h \f">
        <w:r>
          <w:rPr>
            <w:vertAlign w:val="superscript"/>
          </w:rPr>
          <w:t>64</w:t>
        </w:r>
      </w:fldSimple>
      <w:r>
        <w:t xml:space="preserve">.</w:t>
      </w:r>
    </w:p>
    <w:p>
      <w:pPr>
        <w:pStyle w:val="BodyText"/>
      </w:pPr>
      <w:r>
        <w:t xml:space="preserve">Other platform experiments have been similarly limited in scope. SoundCloud’s</w:t>
      </w:r>
      <w:r>
        <w:t xml:space="preserve"> </w:t>
      </w:r>
      <w:r>
        <w:t xml:space="preserve">“</w:t>
      </w:r>
      <w:r>
        <w:t xml:space="preserve">Fan-Powered Royalties</w:t>
      </w:r>
      <w:r>
        <w:t xml:space="preserve">”</w:t>
      </w:r>
      <w:r>
        <w:t xml:space="preserve"> </w:t>
      </w:r>
      <w:r>
        <w:t xml:space="preserve">model, launched in 2021, allocates each listener’s subscription fee directly to the artists they actually stream rather than pooling all revenue — the only major user-centric model in operation</w:t>
      </w:r>
      <w:r>
        <w:t xml:space="preserve"> </w:t>
      </w:r>
      <w:r>
        <w:rPr>
          <w:vertAlign w:val="superscript"/>
        </w:rPr>
        <w:footnoteReference w:id="66"/>
      </w:r>
      <w:r>
        <w:t xml:space="preserve">. Tidal has explored similar approaches for its HiFi subscribers since 2021</w:t>
      </w:r>
      <w:r>
        <w:t xml:space="preserve"> </w:t>
      </w:r>
      <w:fldSimple w:instr="NOTEREF _Ref_Footnote_66 \h \f">
        <w:r>
          <w:rPr>
            <w:vertAlign w:val="superscript"/>
          </w:rPr>
          <w:t>66</w:t>
        </w:r>
      </w:fldSimple>
      <w:r>
        <w:t xml:space="preserve">. France’s Centre National de la Musique conducted a two-year study of user-centric models that found modest but positive impacts for niche genres and local artists, with minimal negative impact on mainstream artists. Yet no major platform has committed to a full user-centric rollout, citing operational complexity and the need for all rights holders to agree on implementation.</w:t>
      </w:r>
    </w:p>
    <w:p>
      <w:pPr>
        <w:pStyle w:val="BodyText"/>
      </w:pPr>
      <w:r>
        <w:t xml:space="preserve">The fundamental problem that all these interventions confront is that streaming is a volume game, and independent artists cannot win volume games. The pro-rata model rewards total share of listening, and total share of listening is determined by algorithmic recommendation systems, playlist placement, marketing budgets, and back-catalog depth — all advantages that accrue to major-label artists with existing fan bases and promotional infrastructure. A UK Intellectual Property Office study found that only 0.4% of musicians — approximately 1,723 artists — could potentially earn a living from streaming alone, requiring roughly 1 million monthly streams sustained over time</w:t>
      </w:r>
      <w:r>
        <w:t xml:space="preserve"> </w:t>
      </w:r>
      <w:fldSimple w:instr="NOTEREF _Ref_Footnote_2 \h \f">
        <w:r>
          <w:rPr>
            <w:vertAlign w:val="superscript"/>
          </w:rPr>
          <w:t>2</w:t>
        </w:r>
      </w:fldSimple>
      <w:r>
        <w:t xml:space="preserve">. Of those elite 0.4%, 65–75% of streams come from back catalogue rather than new releases, and the vast majority are signed to major labels</w:t>
      </w:r>
      <w:r>
        <w:t xml:space="preserve"> </w:t>
      </w:r>
      <w:fldSimple w:instr="NOTEREF _Ref_Footnote_2 \h \f">
        <w:r>
          <w:rPr>
            <w:vertAlign w:val="superscript"/>
          </w:rPr>
          <w:t>2</w:t>
        </w:r>
      </w:fldSimple>
      <w:r>
        <w:t xml:space="preserve">. The number of independent, unsigned artists generating enough streams to sustain a living is</w:t>
      </w:r>
      <w:r>
        <w:t xml:space="preserve"> </w:t>
      </w:r>
      <w:r>
        <w:t xml:space="preserve">“</w:t>
      </w:r>
      <w:r>
        <w:t xml:space="preserve">much, much lower</w:t>
      </w:r>
      <w:r>
        <w:t xml:space="preserve">”</w:t>
      </w:r>
      <w:r>
        <w:t xml:space="preserve"> </w:t>
      </w:r>
      <w:fldSimple w:instr="NOTEREF _Ref_Footnote_2 \h \f">
        <w:r>
          <w:rPr>
            <w:vertAlign w:val="superscript"/>
          </w:rPr>
          <w:t>2</w:t>
        </w:r>
      </w:fldSimple>
      <w:r>
        <w:t xml:space="preserve">.</w:t>
      </w:r>
    </w:p>
    <w:p>
      <w:pPr>
        <w:pStyle w:val="BodyText"/>
      </w:pPr>
      <w:r>
        <w:t xml:space="preserve">Trent Reznor, who was tasked with building Apple Music and speaks with rare insider authority, articulated the structural impasse with characteristic clarity:</w:t>
      </w:r>
      <w:r>
        <w:t xml:space="preserve"> </w:t>
      </w:r>
      <w:r>
        <w:t xml:space="preserve">“</w:t>
      </w:r>
      <w:r>
        <w:t xml:space="preserve">I think the terrible payout of streaming services has mortally wounded a whole tier of artists that make being an artist unsustainable. It’s great if you’re Drake, and it’s not great if you’re Grizzly Bear. We’ve had enough time for the whole</w:t>
      </w:r>
      <w:r>
        <w:t xml:space="preserve"> </w:t>
      </w:r>
      <w:r>
        <w:t xml:space="preserve">‘</w:t>
      </w:r>
      <w:r>
        <w:t xml:space="preserve">All the boats rise</w:t>
      </w:r>
      <w:r>
        <w:t xml:space="preserve">’</w:t>
      </w:r>
      <w:r>
        <w:t xml:space="preserve"> </w:t>
      </w:r>
      <w:r>
        <w:t xml:space="preserve">argument to see they don’t all rise. Those boats rise. These boats don’t</w:t>
      </w:r>
      <w:r>
        <w:t xml:space="preserve">”</w:t>
      </w:r>
      <w:r>
        <w:t xml:space="preserve"> </w:t>
      </w:r>
      <w:fldSimple w:instr="NOTEREF _Ref_Footnote_4 \h \f">
        <w:r>
          <w:rPr>
            <w:vertAlign w:val="superscript"/>
          </w:rPr>
          <w:t>4</w:t>
        </w:r>
      </w:fldSimple>
      <w:r>
        <w:t xml:space="preserve">. The metaphor is precise. Streaming has not destroyed all artist livelihoods; it has destroyed the livelihood of the working-class musician — the artist with a dedicated fan base, critical respect, and a career that would have been viable under physical sales or digital download economics, but that cannot survive on per-unit payments measured in fractions of a penny.</w:t>
      </w:r>
    </w:p>
    <w:p>
      <w:pPr>
        <w:pStyle w:val="BodyText"/>
      </w:pPr>
      <w:r>
        <w:t xml:space="preserve">The implications are stark for artists, investors, and the platforms that serve them. Legislative relief is uncertain and slow. Platform experiments are promising but geographically and demographically limited. The pro-rata model, which concentrates revenue at the top by mathematical design, remains the industry standard. And 253 million tracks compete for attention on platforms where 88% of all content receives fewer than 1,000 streams per year. In this environment, artists who depend on streaming as a primary revenue source are not making a business decision — they are making a bet against the arithmetic. The search for alternative income streams is not optional entrepreneurship. It is survival.</w:t>
      </w:r>
      <w:r>
        <w:t xml:space="preserve"> </w:t>
      </w:r>
      <w:r>
        <w:t xml:space="preserve">## 2. The Tattoo Industry’s Perfect Storm</w:t>
      </w:r>
    </w:p>
    <w:p>
      <w:pPr>
        <w:pStyle w:val="BodyText"/>
      </w:pPr>
      <w:r>
        <w:t xml:space="preserve">The tattoo industry has spent the past decade riding a wave of cultural normalization, social media amplification, and post-pandemic discretionary spending. But beneath the surface of a market projected to double or triple in size by 2034, the average tattoo artist is experiencing a crisis that mirrors the structural collapse documented in music streaming economics. Client queues are shrinking, costs are rising, digital tools are flooding the market with new competitors, and the fundamental constraint remains unchanged — an artist can only tattoo one body at a time. This chapter maps the convergence of market saturation, cost inflation, and technology disruption that has transformed tattooing from a stable craft profession into an increasingly precarious gig economy.</w:t>
      </w:r>
    </w:p>
    <w:bookmarkEnd w:id="31"/>
    <w:bookmarkStart w:id="33" w:name="market-growth-amid-rising-competition"/>
    <w:p>
      <w:pPr>
        <w:pStyle w:val="Heading3"/>
      </w:pPr>
      <w:r>
        <w:t xml:space="preserve">2.1 Market Growth Amid Rising Competition</w:t>
      </w:r>
    </w:p>
    <w:bookmarkStart w:id="32" w:name="X58e12047ea950cc780a128ceca3d182965ed8c6"/>
    <w:p>
      <w:pPr>
        <w:pStyle w:val="Heading4"/>
      </w:pPr>
      <w:r>
        <w:t xml:space="preserve">2.1.1 A $2.2 Billion Market Growing Fast — and Growing Crowded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The global tattoo market was valued at approximately USD 2.20 billion in 2024, with projections placing it between $5.65 billion and</w:t>
            </w:r>
            <w:r>
              <w:t xml:space="preserve"> </w:t>
            </w:r>
            <m:oMath>
              <m:r>
                <m:t>9.25</m:t>
              </m:r>
              <m:r>
                <m:t>b</m:t>
              </m:r>
              <m:r>
                <m:t>i</m:t>
              </m:r>
              <m:r>
                <m:t>l</m:t>
              </m:r>
              <m:r>
                <m:t>l</m:t>
              </m:r>
              <m:r>
                <m:t>i</m:t>
              </m:r>
              <m:r>
                <m:t>o</m:t>
              </m:r>
              <m:r>
                <m:t>n</m:t>
              </m:r>
              <m:r>
                <m:t>b</m:t>
              </m:r>
              <m:r>
                <m:t>y</m:t>
              </m:r>
              <m:r>
                <m:t>2034</m:t>
              </m:r>
              <m:r>
                <m:rPr>
                  <m:sty m:val="p"/>
                </m:rPr>
                <m:t>,</m:t>
              </m:r>
              <m:r>
                <m:t>d</m:t>
              </m:r>
              <m:r>
                <m:t>e</m:t>
              </m:r>
              <m:r>
                <m:t>p</m:t>
              </m:r>
              <m:r>
                <m:t>e</m:t>
              </m:r>
              <m:r>
                <m:t>n</m:t>
              </m:r>
              <m:r>
                <m:t>d</m:t>
              </m:r>
              <m:r>
                <m:t>i</m:t>
              </m:r>
              <m:r>
                <m:t>n</m:t>
              </m:r>
              <m:r>
                <m:t>g</m:t>
              </m:r>
              <m:r>
                <m:t>o</m:t>
              </m:r>
              <m:r>
                <m:t>n</m:t>
              </m:r>
              <m:r>
                <m:t>t</m:t>
              </m:r>
              <m:r>
                <m:t>h</m:t>
              </m:r>
              <m:r>
                <m:t>e</m:t>
              </m:r>
              <m:r>
                <m:t>c</m:t>
              </m:r>
              <m:r>
                <m:t>o</m:t>
              </m:r>
              <m:r>
                <m:t>m</m:t>
              </m:r>
              <m:r>
                <m:t>p</m:t>
              </m:r>
              <m:r>
                <m:t>o</m:t>
              </m:r>
              <m:r>
                <m:t>u</m:t>
              </m:r>
              <m:r>
                <m:t>n</m:t>
              </m:r>
              <m:r>
                <m:t>d</m:t>
              </m:r>
              <m:r>
                <m:t>a</m:t>
              </m:r>
              <m:r>
                <m:t>n</m:t>
              </m:r>
              <m:r>
                <m:t>n</m:t>
              </m:r>
              <m:r>
                <m:t>u</m:t>
              </m:r>
              <m:r>
                <m:t>a</m:t>
              </m:r>
              <m:r>
                <m:t>l</m:t>
              </m:r>
              <m:r>
                <m:t>g</m:t>
              </m:r>
              <m:r>
                <m:t>r</m:t>
              </m:r>
              <m:r>
                <m:t>o</m:t>
              </m:r>
              <m:r>
                <m:t>w</m:t>
              </m:r>
              <m:r>
                <m:t>t</m:t>
              </m:r>
              <m:r>
                <m:t>h</m:t>
              </m:r>
              <m:r>
                <m:t>r</m:t>
              </m:r>
              <m:r>
                <m:t>a</m:t>
              </m:r>
              <m:r>
                <m:t>t</m:t>
              </m:r>
              <m:r>
                <m:t>e</m:t>
              </m:r>
              <m:d>
                <m:dPr>
                  <m:begChr m:val="("/>
                  <m:endChr m:val=")"/>
                  <m:sepChr m:val=""/>
                  <m:grow/>
                </m:dPr>
                <m:e>
                  <m:r>
                    <m:t>C</m:t>
                  </m:r>
                  <m:r>
                    <m:t>A</m:t>
                  </m:r>
                  <m:r>
                    <m:t>G</m:t>
                  </m:r>
                  <m:r>
                    <m:t>R</m:t>
                  </m:r>
                </m:e>
              </m:d>
              <m:r>
                <m:t>a</m:t>
              </m:r>
              <m:r>
                <m:t>s</m:t>
              </m:r>
              <m:r>
                <m:t>s</m:t>
              </m:r>
              <m:r>
                <m:t>u</m:t>
              </m:r>
              <m:r>
                <m:t>m</m:t>
              </m:r>
              <m:r>
                <m:t>p</m:t>
              </m:r>
              <m:r>
                <m:t>t</m:t>
              </m:r>
              <m:r>
                <m:t>i</m:t>
              </m:r>
              <m:r>
                <m:t>o</m:t>
              </m:r>
              <m:r>
                <m:t>n</m:t>
              </m:r>
              <m:sSup>
                <m:e>
                  <m:r>
                    <m:rPr>
                      <m:sty m:val="p"/>
                    </m:rPr>
                    <m:t>.</m:t>
                  </m:r>
                </m:e>
                <m:sup>
                  <m:sSup>
                    <m:e>
                      <m:r>
                        <m:t>39</m:t>
                      </m:r>
                    </m:e>
                    <m:sup>
                      <m:sSup>
                        <m:e>
                          <m:r>
                            <m:t>​</m:t>
                          </m:r>
                        </m:e>
                        <m:sup>
                          <m:sSup>
                            <m:e>
                              <m:r>
                                <m:t>67</m:t>
                              </m:r>
                            </m:e>
                            <m:sup>
                              <m:r>
                                <m:t>T</m:t>
                              </m:r>
                            </m:sup>
                          </m:sSup>
                        </m:sup>
                      </m:sSup>
                    </m:sup>
                  </m:sSup>
                </m:sup>
              </m:sSup>
              <m:r>
                <m:t>h</m:t>
              </m:r>
              <m:r>
                <m:t>e</m:t>
              </m:r>
              <m:r>
                <m:t>v</m:t>
              </m:r>
              <m:r>
                <m:t>a</m:t>
              </m:r>
              <m:r>
                <m:t>r</m:t>
              </m:r>
              <m:r>
                <m:t>i</m:t>
              </m:r>
              <m:r>
                <m:t>a</m:t>
              </m:r>
              <m:r>
                <m:t>n</m:t>
              </m:r>
              <m:r>
                <m:t>c</m:t>
              </m:r>
              <m:r>
                <m:t>e</m:t>
              </m:r>
              <m:r>
                <m:t>i</m:t>
              </m:r>
              <m:r>
                <m:t>n</m:t>
              </m:r>
              <m:r>
                <m:t>t</m:t>
              </m:r>
              <m:r>
                <m:t>h</m:t>
              </m:r>
              <m:r>
                <m:t>e</m:t>
              </m:r>
              <m:r>
                <m:t>s</m:t>
              </m:r>
              <m:r>
                <m:t>e</m:t>
              </m:r>
              <m:r>
                <m:t>e</m:t>
              </m:r>
              <m:r>
                <m:t>s</m:t>
              </m:r>
              <m:r>
                <m:t>t</m:t>
              </m:r>
              <m:r>
                <m:t>i</m:t>
              </m:r>
              <m:r>
                <m:t>m</m:t>
              </m:r>
              <m:r>
                <m:t>a</m:t>
              </m:r>
              <m:r>
                <m:t>t</m:t>
              </m:r>
              <m:r>
                <m:t>e</m:t>
              </m:r>
              <m:r>
                <m:t>s</m:t>
              </m:r>
              <m:r>
                <m:rPr>
                  <m:sty m:val="p"/>
                </m:rPr>
                <m:t>—</m:t>
              </m:r>
              <m:r>
                <m:t>f</m:t>
              </m:r>
              <m:r>
                <m:t>r</m:t>
              </m:r>
              <m:r>
                <m:t>o</m:t>
              </m:r>
              <m:r>
                <m:t>m</m:t>
              </m:r>
              <m:r>
                <m:t>a</m:t>
              </m:r>
              <m:r>
                <m:t>c</m:t>
              </m:r>
              <m:r>
                <m:t>o</m:t>
              </m:r>
              <m:r>
                <m:t>n</m:t>
              </m:r>
              <m:r>
                <m:t>s</m:t>
              </m:r>
              <m:r>
                <m:t>e</m:t>
              </m:r>
              <m:r>
                <m:t>r</m:t>
              </m:r>
              <m:r>
                <m:t>v</m:t>
              </m:r>
              <m:r>
                <m:t>a</m:t>
              </m:r>
              <m:r>
                <m:t>t</m:t>
              </m:r>
              <m:r>
                <m:t>i</m:t>
              </m:r>
              <m:r>
                <m:t>v</m:t>
              </m:r>
              <m:r>
                <m:t>e</m:t>
              </m:r>
              <m:r>
                <m:t>9.90</m:t>
              </m:r>
            </m:oMath>
            <w:r>
              <w:t xml:space="preserve">B)</w:t>
            </w:r>
          </w:p>
        </w:tc>
        <w:tc>
          <w:tcPr/>
          <w:p>
            <w:pPr>
              <w:pStyle w:val="Compact"/>
              <w:jc w:val="left"/>
            </w:pPr>
            <w:r>
              <w:t xml:space="preserve">2034 Projection ($B)</w:t>
            </w:r>
          </w:p>
        </w:tc>
        <w:tc>
          <w:tcPr/>
          <w:p>
            <w:pPr>
              <w:pStyle w:val="Compact"/>
              <w:jc w:val="left"/>
            </w:pPr>
            <w:r>
              <w:t xml:space="preserve">CAGR</w:t>
            </w:r>
          </w:p>
        </w:tc>
        <w:tc>
          <w:tcPr/>
          <w:p>
            <w:pPr>
              <w:pStyle w:val="Compact"/>
              <w:jc w:val="left"/>
            </w:pPr>
            <w:r>
              <w:t xml:space="preserve">Notes</w:t>
            </w:r>
          </w:p>
        </w:tc>
        <w:tc>
          <w:tcPr/>
          <w:p>
            <w:pPr>
              <w:pStyle w:val="Compact"/>
            </w:pPr>
          </w:p>
        </w:tc>
      </w:tr>
      <w:tr>
        <w:tc>
          <w:tcPr/>
          <w:p>
            <w:pPr>
              <w:pStyle w:val="Compact"/>
              <w:jc w:val="left"/>
            </w:pPr>
            <w:r>
              <w:t xml:space="preserve">Research and Markets</w:t>
            </w:r>
          </w:p>
        </w:tc>
        <w:tc>
          <w:tcPr/>
          <w:p>
            <w:pPr>
              <w:pStyle w:val="Compact"/>
              <w:jc w:val="left"/>
            </w:pPr>
            <w:r>
              <w:t xml:space="preserve">2.20 (2024)</w:t>
            </w:r>
          </w:p>
        </w:tc>
        <w:tc>
          <w:tcPr/>
          <w:p>
            <w:pPr>
              <w:pStyle w:val="Compact"/>
              <w:jc w:val="left"/>
            </w:pPr>
            <w:r>
              <w:t xml:space="preserve">5.65</w:t>
            </w:r>
          </w:p>
        </w:tc>
        <w:tc>
          <w:tcPr/>
          <w:p>
            <w:pPr>
              <w:pStyle w:val="Compact"/>
              <w:jc w:val="left"/>
            </w:pPr>
            <w:r>
              <w:t xml:space="preserve">9.90%</w:t>
            </w:r>
          </w:p>
        </w:tc>
        <w:tc>
          <w:tcPr/>
          <w:p>
            <w:pPr>
              <w:pStyle w:val="Compact"/>
              <w:jc w:val="left"/>
            </w:pPr>
            <w:r>
              <w:t xml:space="preserve">Conservative estimate; tattoo services focus</w:t>
            </w:r>
            <w:r>
              <w:t xml:space="preserve"> </w:t>
            </w:r>
            <w:fldSimple w:instr="NOTEREF _Ref_Footnote_39 \h \f">
              <w:r>
                <w:rPr>
                  <w:vertAlign w:val="superscript"/>
                </w:rPr>
                <w:t>39</w:t>
              </w:r>
            </w:fldSimple>
          </w:p>
        </w:tc>
      </w:tr>
      <w:tr>
        <w:tc>
          <w:tcPr/>
          <w:p>
            <w:pPr>
              <w:pStyle w:val="Compact"/>
              <w:jc w:val="left"/>
            </w:pPr>
            <w:r>
              <w:t xml:space="preserve">Fortune Business Insights</w:t>
            </w:r>
          </w:p>
        </w:tc>
        <w:tc>
          <w:tcPr/>
          <w:p>
            <w:pPr>
              <w:pStyle w:val="Compact"/>
              <w:jc w:val="left"/>
            </w:pPr>
            <w:r>
              <w:t xml:space="preserve">2.43 (2025)</w:t>
            </w:r>
          </w:p>
        </w:tc>
        <w:tc>
          <w:tcPr/>
          <w:p>
            <w:pPr>
              <w:pStyle w:val="Compact"/>
              <w:jc w:val="left"/>
            </w:pPr>
            <w:r>
              <w:t xml:space="preserve">5.99</w:t>
            </w:r>
          </w:p>
        </w:tc>
        <w:tc>
          <w:tcPr/>
          <w:p>
            <w:pPr>
              <w:pStyle w:val="Compact"/>
              <w:jc w:val="left"/>
            </w:pPr>
            <w:r>
              <w:t xml:space="preserve">10.67%</w:t>
            </w:r>
          </w:p>
        </w:tc>
        <w:tc>
          <w:tcPr/>
          <w:p>
            <w:pPr>
              <w:pStyle w:val="Compact"/>
              <w:jc w:val="left"/>
            </w:pPr>
            <w:r>
              <w:t xml:space="preserve">Europe 33.14% share; North America 29.58%</w:t>
            </w:r>
            <w:r>
              <w:t xml:space="preserve"> </w:t>
            </w:r>
            <w:r>
              <w:rPr>
                <w:vertAlign w:val="superscript"/>
              </w:rPr>
              <w:footnoteReference w:id="68"/>
            </w:r>
          </w:p>
        </w:tc>
      </w:tr>
      <w:tr>
        <w:tc>
          <w:tcPr/>
          <w:p>
            <w:pPr>
              <w:pStyle w:val="Compact"/>
              <w:jc w:val="left"/>
            </w:pPr>
            <w:r>
              <w:t xml:space="preserve">Custom Market Insights</w:t>
            </w:r>
          </w:p>
        </w:tc>
        <w:tc>
          <w:tcPr/>
          <w:p>
            <w:pPr>
              <w:pStyle w:val="Compact"/>
              <w:jc w:val="left"/>
            </w:pPr>
            <w:r>
              <w:t xml:space="preserve">2.31 (2025)</w:t>
            </w:r>
          </w:p>
        </w:tc>
        <w:tc>
          <w:tcPr/>
          <w:p>
            <w:pPr>
              <w:pStyle w:val="Compact"/>
              <w:jc w:val="left"/>
            </w:pPr>
            <w:r>
              <w:t xml:space="preserve">9.25</w:t>
            </w:r>
          </w:p>
        </w:tc>
        <w:tc>
          <w:tcPr/>
          <w:p>
            <w:pPr>
              <w:pStyle w:val="Compact"/>
              <w:jc w:val="left"/>
            </w:pPr>
            <w:r>
              <w:t xml:space="preserve">15.08%</w:t>
            </w:r>
          </w:p>
        </w:tc>
        <w:tc>
          <w:tcPr/>
          <w:p>
            <w:pPr>
              <w:pStyle w:val="Compact"/>
              <w:jc w:val="left"/>
            </w:pPr>
            <w:r>
              <w:t xml:space="preserve">Most aggressive CAGR; reflects broader product inclusion</w:t>
            </w:r>
            <w:r>
              <w:t xml:space="preserve"> </w:t>
            </w:r>
            <w:r>
              <w:rPr>
                <w:vertAlign w:val="superscript"/>
              </w:rPr>
              <w:footnoteReference w:id="67"/>
            </w:r>
          </w:p>
        </w:tc>
      </w:tr>
      <w:tr>
        <w:tc>
          <w:tcPr/>
          <w:p>
            <w:pPr>
              <w:pStyle w:val="Compact"/>
              <w:jc w:val="left"/>
            </w:pPr>
            <w:r>
              <w:t xml:space="preserve">Cognitive Market Research</w:t>
            </w:r>
          </w:p>
        </w:tc>
        <w:tc>
          <w:tcPr/>
          <w:p>
            <w:pPr>
              <w:pStyle w:val="Compact"/>
              <w:jc w:val="left"/>
            </w:pPr>
            <w:r>
              <w:t xml:space="preserve">2.15 (2024)</w:t>
            </w:r>
          </w:p>
        </w:tc>
        <w:tc>
          <w:tcPr/>
          <w:p>
            <w:pPr>
              <w:pStyle w:val="Compact"/>
              <w:jc w:val="left"/>
            </w:pPr>
            <w:r>
              <w:t xml:space="preserve">—</w:t>
            </w:r>
          </w:p>
        </w:tc>
        <w:tc>
          <w:tcPr/>
          <w:p>
            <w:pPr>
              <w:pStyle w:val="Compact"/>
              <w:jc w:val="left"/>
            </w:pPr>
            <w:r>
              <w:t xml:space="preserve">8.80%</w:t>
            </w:r>
          </w:p>
        </w:tc>
        <w:tc>
          <w:tcPr/>
          <w:p>
            <w:pPr>
              <w:pStyle w:val="Compact"/>
              <w:jc w:val="left"/>
            </w:pPr>
            <w:r>
              <w:t xml:space="preserve">North America alone at $861.68M (40%+ share)</w:t>
            </w:r>
            <w:r>
              <w:t xml:space="preserve"> </w:t>
            </w:r>
            <w:r>
              <w:rPr>
                <w:vertAlign w:val="superscript"/>
              </w:rPr>
              <w:footnoteReference w:id="69"/>
            </w:r>
          </w:p>
        </w:tc>
      </w:tr>
    </w:tbl>
    <w:p>
      <w:pPr>
        <w:pStyle w:val="BodyText"/>
      </w:pPr>
      <w:r>
        <w:t xml:space="preserve">The table above reveals more than methodological divergence — it exposes the opacity of an industry where most transactions are cash-settled, many artists work under the table, and registration requirements vary wildly across jurisdictions. What all three firms agree on, however, is directional: the</w:t>
      </w:r>
      <w:r>
        <w:t xml:space="preserve"> </w:t>
      </w:r>
      <w:r>
        <w:rPr>
          <w:iCs/>
          <w:i/>
        </w:rPr>
        <w:t xml:space="preserve">aggregate</w:t>
      </w:r>
      <w:r>
        <w:t xml:space="preserve"> </w:t>
      </w:r>
      <w:r>
        <w:t xml:space="preserve">tattoo market is expanding. The question is who captures that growth. North America led in 2024 with more than 40% of global revenue, at approximately $861.68 million, while Europe contributed roughly €1.2 billion in 2023.</w:t>
      </w:r>
      <w:r>
        <w:t xml:space="preserve"> </w:t>
      </w:r>
      <w:fldSimple w:instr="NOTEREF _Ref_Footnote_69 \h \f">
        <w:r>
          <w:rPr>
            <w:vertAlign w:val="superscript"/>
          </w:rPr>
          <w:t>69</w:t>
        </w:r>
      </w:fldSimple>
      <w:r>
        <w:t xml:space="preserve"> </w:t>
      </w:r>
      <w:r>
        <w:rPr>
          <w:vertAlign w:val="superscript"/>
        </w:rPr>
        <w:footnoteReference w:id="70"/>
      </w:r>
      <w:r>
        <w:t xml:space="preserve">Germany led the European segment at $185.5 million (2025), followed by the UK at $134.5 million and France at $116.9 million.</w:t>
      </w:r>
      <w:r>
        <w:t xml:space="preserve"> </w:t>
      </w:r>
      <w:r>
        <w:rPr>
          <w:vertAlign w:val="superscript"/>
        </w:rPr>
        <w:footnoteReference w:id="71"/>
      </w:r>
      <w:r>
        <w:t xml:space="preserve">What these headline figures conceal is a market undergoing rapid structural transformation. IBISWorld data shows that while the US tattoo industry grew at a 10.9% CAGR through 2025, the year-over-year change in 2025 alone was effectively zero — growth has stalled.</w:t>
      </w:r>
      <w:r>
        <w:t xml:space="preserve"> </w:t>
      </w:r>
      <w:r>
        <w:rPr>
          <w:vertAlign w:val="superscript"/>
        </w:rPr>
        <w:footnoteReference w:id="72"/>
      </w:r>
      <w:r>
        <w:t xml:space="preserve">The post-COVID stimulus boom that drove impulse tattoo bookings has faded, and reality is setting in. In Massachusetts, wait times dropped from five months to one month between 2023 and 2025.</w:t>
      </w:r>
      <w:r>
        <w:t xml:space="preserve"> </w:t>
      </w:r>
      <w:r>
        <w:rPr>
          <w:vertAlign w:val="superscript"/>
        </w:rPr>
        <w:footnoteReference w:id="73"/>
      </w:r>
      <w:r>
        <w:t xml:space="preserve">As one artist put it,</w:t>
      </w:r>
      <w:r>
        <w:t xml:space="preserve"> </w:t>
      </w:r>
      <w:r>
        <w:t xml:space="preserve">“</w:t>
      </w:r>
      <w:r>
        <w:t xml:space="preserve">Free money right after COVID boosted everybody and now people are realizing they actually have to work for it.</w:t>
      </w:r>
      <w:r>
        <w:t xml:space="preserve">”</w:t>
      </w:r>
      <w:r>
        <w:t xml:space="preserve"> </w:t>
      </w:r>
      <w:fldSimple w:instr="NOTEREF _Ref_Footnote_73 \h \f">
        <w:r>
          <w:rPr>
            <w:vertAlign w:val="superscript"/>
          </w:rPr>
          <w:t>73</w:t>
        </w:r>
      </w:fldSimple>
      <w:r>
        <w:t xml:space="preserve">#### 2.1.2 25,500 Parlors and 52,000 Artists: The Saturation Threshold</w:t>
      </w:r>
    </w:p>
    <w:p>
      <w:pPr>
        <w:pStyle w:val="BodyText"/>
      </w:pPr>
      <w:r>
        <w:t xml:space="preserve">The United States alone houses over 25,500 licensed tattoo parlors and approximately 52,000 tattoo artists who earn an average of $51,867 per year.</w:t>
      </w:r>
      <w:r>
        <w:t xml:space="preserve"> </w:t>
      </w:r>
      <w:r>
        <w:rPr>
          <w:vertAlign w:val="superscript"/>
        </w:rPr>
        <w:footnoteReference w:id="74"/>
      </w:r>
      <w:r>
        <w:t xml:space="preserve"> </w:t>
      </w:r>
      <w:fldSimple w:instr="NOTEREF _Ref_Footnote_6 \h \f">
        <w:r>
          <w:rPr>
            <w:vertAlign w:val="superscript"/>
          </w:rPr>
          <w:t>6</w:t>
        </w:r>
      </w:fldSimple>
      <w:r>
        <w:t xml:space="preserve">IBISWorld counts the number of tattoo businesses at 23,774, a discrepancy that likely reflects different counting methodologies — some businesses operate multiple locations under a single license.</w:t>
      </w:r>
      <w:r>
        <w:t xml:space="preserve"> </w:t>
      </w:r>
      <w:fldSimple w:instr="NOTEREF _Ref_Footnote_72 \h \f">
        <w:r>
          <w:rPr>
            <w:vertAlign w:val="superscript"/>
          </w:rPr>
          <w:t>72</w:t>
        </w:r>
      </w:fldSimple>
      <w:r>
        <w:t xml:space="preserve">Employment data reveals a more concerning picture: 42,445 people were employed in the US tattoo industry as of 2024, but that figure declined to 42,207 in 2025, representing a -0.6% contraction.</w:t>
      </w:r>
      <w:r>
        <w:t xml:space="preserve"> </w:t>
      </w:r>
      <w:r>
        <w:rPr>
          <w:vertAlign w:val="superscript"/>
        </w:rPr>
        <w:footnoteReference w:id="75"/>
      </w:r>
      <w:r>
        <w:t xml:space="preserve">In a growing market, employment should be expanding. It is not.</w:t>
      </w:r>
    </w:p>
    <w:p>
      <w:pPr>
        <w:pStyle w:val="BodyText"/>
      </w:pPr>
      <w:r>
        <w:t xml:space="preserve">The North American industry employs over 250,000 people when including artists, shop owners, and suppliers, but the average tattoo business employs only about 1.8 people — reinforcing that most studios are small, owner-operated enterprises with limited economies of scale.</w:t>
      </w:r>
      <w:r>
        <w:t xml:space="preserve"> </w:t>
      </w:r>
      <w:r>
        <w:rPr>
          <w:vertAlign w:val="superscript"/>
        </w:rPr>
        <w:footnoteReference w:id="76"/>
      </w:r>
      <w:r>
        <w:t xml:space="preserve">Europe shows similar density concentrations: Belgium has 691 registered studios and 1,033 registered artists; Switzerland has 2,103 studios.</w:t>
      </w:r>
      <w:r>
        <w:t xml:space="preserve"> </w:t>
      </w:r>
      <w:fldSimple w:instr="NOTEREF _Ref_Footnote_64 \h \f">
        <w:r>
          <w:rPr>
            <w:vertAlign w:val="superscript"/>
          </w:rPr>
          <w:t>64</w:t>
        </w:r>
      </w:fldSimple>
      <w:r>
        <w:t xml:space="preserve">Germany has no obligation to register tattoo studios, making reliable counts impossible, while the Netherlands has an estimated 650 professional artists.</w:t>
      </w:r>
      <w:r>
        <w:t xml:space="preserve"> </w:t>
      </w:r>
      <w:fldSimple w:instr="NOTEREF _Ref_Footnote_64 \h \f">
        <w:r>
          <w:rPr>
            <w:vertAlign w:val="superscript"/>
          </w:rPr>
          <w:t>64</w:t>
        </w:r>
      </w:fldSimple>
      <w:r>
        <w:t xml:space="preserve">#### 2.1.3 Client Flow Down 50%+: The Post-Pandemic Reckoning</w:t>
      </w:r>
    </w:p>
    <w:p>
      <w:pPr>
        <w:pStyle w:val="BodyText"/>
      </w:pPr>
      <w:r>
        <w:t xml:space="preserve">Across Europe and beyond, client flow has dropped by over 50% in the past two years.</w:t>
      </w:r>
      <w:r>
        <w:t xml:space="preserve"> </w:t>
      </w:r>
      <w:fldSimple w:instr="NOTEREF _Ref_Footnote_7 \h \f">
        <w:r>
          <w:rPr>
            <w:vertAlign w:val="superscript"/>
          </w:rPr>
          <w:t>7</w:t>
        </w:r>
      </w:fldSimple>
      <w:r>
        <w:t xml:space="preserve">The market has shifted from a demand-driven boom to an oversaturated, competitive landscape where</w:t>
      </w:r>
      <w:r>
        <w:t xml:space="preserve"> </w:t>
      </w:r>
      <w:r>
        <w:t xml:space="preserve">“</w:t>
      </w:r>
      <w:r>
        <w:t xml:space="preserve">even the world’s top artists are feeling the pressure: fewer bookings, more effort, deeper stress.</w:t>
      </w:r>
      <w:r>
        <w:t xml:space="preserve">”</w:t>
      </w:r>
      <w:r>
        <w:t xml:space="preserve"> </w:t>
      </w:r>
      <w:fldSimple w:instr="NOTEREF _Ref_Footnote_7 \h \f">
        <w:r>
          <w:rPr>
            <w:vertAlign w:val="superscript"/>
          </w:rPr>
          <w:t>7</w:t>
        </w:r>
      </w:fldSimple>
      <w:r>
        <w:t xml:space="preserve">In Montreal, artist Hans Deslauriers told CBC News,</w:t>
      </w:r>
      <w:r>
        <w:t xml:space="preserve"> </w:t>
      </w:r>
      <w:r>
        <w:t xml:space="preserve">“</w:t>
      </w:r>
      <w:r>
        <w:t xml:space="preserve">It’s the first time in 12 years that I see a slowdown like that in the industry,</w:t>
      </w:r>
      <w:r>
        <w:t xml:space="preserve">”</w:t>
      </w:r>
      <w:r>
        <w:t xml:space="preserve"> </w:t>
      </w:r>
      <w:r>
        <w:t xml:space="preserve">adding,</w:t>
      </w:r>
      <w:r>
        <w:t xml:space="preserve"> </w:t>
      </w:r>
      <w:r>
        <w:t xml:space="preserve">“</w:t>
      </w:r>
      <w:r>
        <w:t xml:space="preserve">I see people leaving the industry, who’ve been tattooing for years and years because it’s no longer viable.</w:t>
      </w:r>
      <w:r>
        <w:t xml:space="preserve">”</w:t>
      </w:r>
      <w:r>
        <w:t xml:space="preserve"> </w:t>
      </w:r>
      <w:fldSimple w:instr="NOTEREF _Ref_Footnote_8 \h \f">
        <w:r>
          <w:rPr>
            <w:vertAlign w:val="superscript"/>
          </w:rPr>
          <w:t>8</w:t>
        </w:r>
      </w:fldSimple>
      <w:r>
        <w:t xml:space="preserve">Many artists reduced their work schedules from six days per week to two, as client demand evaporated.</w:t>
      </w:r>
      <w:r>
        <w:t xml:space="preserve"> </w:t>
      </w:r>
      <w:fldSimple w:instr="NOTEREF _Ref_Footnote_8 \h \f">
        <w:r>
          <w:rPr>
            <w:vertAlign w:val="superscript"/>
          </w:rPr>
          <w:t>8</w:t>
        </w:r>
      </w:fldSimple>
      <w:r>
        <w:t xml:space="preserve">The Black Hat Tattoo, a European industry observer, describes a predictable lifecycle: Underground → Boom → Saturation → Maturity/Decline → Reinvention.</w:t>
      </w:r>
      <w:r>
        <w:t xml:space="preserve"> </w:t>
      </w:r>
      <w:r>
        <w:t xml:space="preserve">“</w:t>
      </w:r>
      <w:r>
        <w:t xml:space="preserve">Everyone wants to be a tattoo artist. Oversupply floods the market.</w:t>
      </w:r>
      <w:r>
        <w:t xml:space="preserve">”</w:t>
      </w:r>
      <w:r>
        <w:t xml:space="preserve"> </w:t>
      </w:r>
      <w:fldSimple w:instr="NOTEREF _Ref_Footnote_7 \h \f">
        <w:r>
          <w:rPr>
            <w:vertAlign w:val="superscript"/>
          </w:rPr>
          <w:t>7</w:t>
        </w:r>
      </w:fldSimple>
      <w:r>
        <w:t xml:space="preserve">The economic indicators are worse than they appear on the surface. Personal consumption expenditures decreased $30.7 billion in January 2025, and 60+ day auto loan delinquency rates reached 1.38% in Q1 2025, exceeding the 1.33% peak seen during the 2009 Great Recession.</w:t>
      </w:r>
      <w:r>
        <w:t xml:space="preserve"> </w:t>
      </w:r>
      <w:r>
        <w:rPr>
          <w:vertAlign w:val="superscript"/>
        </w:rPr>
        <w:footnoteReference w:id="77"/>
      </w:r>
      <w:r>
        <w:t xml:space="preserve">For a discretionary service like tattooing, these macro signals are ominous.</w:t>
      </w:r>
      <w:r>
        <w:t xml:space="preserve"> </w:t>
      </w:r>
      <w:r>
        <w:t xml:space="preserve">“</w:t>
      </w:r>
      <w:r>
        <w:t xml:space="preserve">When people are cutting back on essentials, the slow season at tattoo shops compounds exponentially,</w:t>
      </w:r>
      <w:r>
        <w:t xml:space="preserve">”</w:t>
      </w:r>
      <w:r>
        <w:t xml:space="preserve"> </w:t>
      </w:r>
      <w:r>
        <w:t xml:space="preserve">notes industry analyst Xact Body Art.</w:t>
      </w:r>
      <w:r>
        <w:t xml:space="preserve"> </w:t>
      </w:r>
      <w:fldSimple w:instr="NOTEREF _Ref_Footnote_77 \h \f">
        <w:r>
          <w:rPr>
            <w:vertAlign w:val="superscript"/>
          </w:rPr>
          <w:t>77</w:t>
        </w:r>
      </w:fldSimple>
      <w:r>
        <w:t xml:space="preserve">#### 2.1.4 The</w:t>
      </w:r>
      <w:r>
        <w:t xml:space="preserve"> </w:t>
      </w:r>
      <w:r>
        <w:t xml:space="preserve">“</w:t>
      </w:r>
      <w:r>
        <w:t xml:space="preserve">Tattooer’s Trap</w:t>
      </w:r>
      <w:r>
        <w:t xml:space="preserve">”</w:t>
      </w:r>
      <w:r>
        <w:t xml:space="preserve">: Trading Health for a Paycheck</w:t>
      </w:r>
    </w:p>
    <w:p>
      <w:pPr>
        <w:pStyle w:val="BodyText"/>
      </w:pPr>
      <w:r>
        <w:t xml:space="preserve">The fundamental structural constraint of tattoo economics has a name in industry parlance: the Tattooer’s Trap.</w:t>
      </w:r>
      <w:r>
        <w:t xml:space="preserve"> </w:t>
      </w:r>
      <w:r>
        <w:t xml:space="preserve">“</w:t>
      </w:r>
      <w:r>
        <w:t xml:space="preserve">Your income is capped by the hours your back can withstand,</w:t>
      </w:r>
      <w:r>
        <w:t xml:space="preserve">”</w:t>
      </w:r>
      <w:r>
        <w:t xml:space="preserve"> </w:t>
      </w:r>
      <w:r>
        <w:t xml:space="preserve">explains one industry analysis.</w:t>
      </w:r>
      <w:r>
        <w:t xml:space="preserve"> </w:t>
      </w:r>
      <w:r>
        <w:t xml:space="preserve">“</w:t>
      </w:r>
      <w:r>
        <w:t xml:space="preserve">It’s time to stop trading your health for a paycheck.</w:t>
      </w:r>
      <w:r>
        <w:t xml:space="preserve">”</w:t>
      </w:r>
      <w:r>
        <w:t xml:space="preserve"> </w:t>
      </w:r>
      <w:r>
        <w:rPr>
          <w:vertAlign w:val="superscript"/>
        </w:rPr>
        <w:footnoteReference w:id="78"/>
      </w:r>
      <w:r>
        <w:t xml:space="preserve">Unlike digital creators who can scale through automation, or musicians who can distribute recordings infinitely, a tattoo artist’s revenue is physically bounded by the number of hours they can hold a machine against human skin.</w:t>
      </w:r>
    </w:p>
    <w:p>
      <w:pPr>
        <w:pStyle w:val="BodyText"/>
      </w:pPr>
      <w:r>
        <w:t xml:space="preserve">Hourly rates have risen — from approximately $100 per hour for the past 12 years to $150-$210 in 2024 — but this increase reflects cost-of-living adjustments rather than real income growth.</w:t>
      </w:r>
      <w:r>
        <w:t xml:space="preserve"> </w:t>
      </w:r>
      <w:r>
        <w:rPr>
          <w:vertAlign w:val="superscript"/>
        </w:rPr>
        <w:footnoteReference w:id="79"/>
      </w:r>
      <w:r>
        <w:t xml:space="preserve">Junior artists earn $50-$130 per hour; experienced artists $150-$300; celebrity artists $300-$500 and above.</w:t>
      </w:r>
      <w:r>
        <w:t xml:space="preserve"> </w:t>
      </w:r>
      <w:r>
        <w:rPr>
          <w:vertAlign w:val="superscript"/>
        </w:rPr>
        <w:footnoteReference w:id="80"/>
      </w:r>
      <w:r>
        <w:t xml:space="preserve">Even at the upper end, the math is punishing: an artist working 40 hours per week, 48 weeks per year, at $150 per hour generates $288,000 in gross revenue. But the standard commission split takes 40-50% for the shop, supplies, taxes, and no-shaves erode another 8-20%, and the physical toll limits actual tattooing hours to far fewer than 40 per week.</w:t>
      </w:r>
      <w:r>
        <w:t xml:space="preserve"> </w:t>
      </w:r>
      <w:r>
        <w:rPr>
          <w:vertAlign w:val="superscript"/>
        </w:rPr>
        <w:footnoteReference w:id="81"/>
      </w:r>
      <w:r>
        <w:t xml:space="preserve"> </w:t>
      </w:r>
      <w:fldSimple w:instr="NOTEREF _Ref_Footnote_65 \h \f">
        <w:r>
          <w:rPr>
            <w:vertAlign w:val="superscript"/>
          </w:rPr>
          <w:t>65</w:t>
        </w:r>
      </w:fldSimple>
      <w:r>
        <w:t xml:space="preserve">The result is that even as the aggregate market grows, the median artist’s take-home pay stagnates or declines. The 10.2% CAGR in global market growth means more artists are competing for the same clients, intensifying the need for diversified income.</w:t>
      </w:r>
      <w:r>
        <w:t xml:space="preserve"> </w:t>
      </w:r>
      <w:fldSimple w:instr="NOTEREF _Ref_Footnote_78 \h \f">
        <w:r>
          <w:rPr>
            <w:vertAlign w:val="superscript"/>
          </w:rPr>
          <w:t>78</w:t>
        </w:r>
      </w:fldSimple>
      <w:r>
        <w:t xml:space="preserve">Tattoo artists find themselves in the same structural bind as musicians: the market is growing, but individual practitioners are being squeezed.</w:t>
      </w:r>
    </w:p>
    <w:bookmarkEnd w:id="32"/>
    <w:bookmarkEnd w:id="33"/>
    <w:bookmarkStart w:id="41" w:name="rising-costs-squeezing-margins"/>
    <w:p>
      <w:pPr>
        <w:pStyle w:val="Heading3"/>
      </w:pPr>
      <w:r>
        <w:t xml:space="preserve">2.2 Rising Costs Squeezing Margins</w:t>
      </w:r>
    </w:p>
    <w:bookmarkStart w:id="34" w:name="commercial-studio-rent-the-geography-tax"/>
    <w:p>
      <w:pPr>
        <w:pStyle w:val="Heading4"/>
      </w:pPr>
      <w:r>
        <w:t xml:space="preserve">2.2.1 Commercial Studio Rent: The Geography Tax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For a tattoo artist looking to establish or maintain a studio, real estate is the immovable cost anchor. Monthly rent for a tattoo shop ranges from $2,000 to $5,000 in typical markets, with prime urban locations commanding $3,000 to $7,000 or higher.</w:t>
            </w:r>
            <w:r>
              <w:t xml:space="preserve"> </w:t>
            </w:r>
            <w:r>
              <w:rPr>
                <w:vertAlign w:val="superscript"/>
              </w:rPr>
              <w:footnoteReference w:id="82"/>
            </w:r>
            <w:r>
              <w:t xml:space="preserve">Urban areas generally demand $2,000-$5,000 per month, while rural locations may run $1,000-$2,500.</w:t>
            </w:r>
            <w:r>
              <w:t xml:space="preserve"> </w:t>
            </w:r>
            <w:r>
              <w:rPr>
                <w:vertAlign w:val="superscript"/>
              </w:rPr>
              <w:footnoteReference w:id="83"/>
            </w:r>
            <w:r>
              <w:t xml:space="preserve">Security deposits typically equal one to two months’ rent, meaning a new studio lease in a major city can require $15,000-$21,000 in cash before a single needle touches skin.</w:t>
            </w:r>
            <w:r>
              <w:t xml:space="preserve"> </w:t>
            </w:r>
            <w:fldSimple w:instr="NOTEREF _Ref_Footnote_83 \h \f">
              <w:r>
                <w:rPr>
                  <w:vertAlign w:val="superscript"/>
                </w:rPr>
                <w:t>83</w:t>
              </w:r>
            </w:fldSimple>
          </w:p>
        </w:tc>
        <w:tc>
          <w:tcPr/>
          <w:p>
            <w:pPr>
              <w:pStyle w:val="Compact"/>
              <w:jc w:val="left"/>
            </w:pPr>
            <w:r>
              <w:t xml:space="preserve">Cost Category</w:t>
            </w:r>
          </w:p>
        </w:tc>
        <w:tc>
          <w:tcPr/>
          <w:p>
            <w:pPr>
              <w:pStyle w:val="Compact"/>
              <w:jc w:val="left"/>
            </w:pPr>
            <w:r>
              <w:t xml:space="preserve">Monthly Range</w:t>
            </w:r>
          </w:p>
        </w:tc>
        <w:tc>
          <w:tcPr/>
          <w:p>
            <w:pPr>
              <w:pStyle w:val="Compact"/>
              <w:jc w:val="left"/>
            </w:pPr>
            <w:r>
              <w:t xml:space="preserve">Annualized</w:t>
            </w:r>
          </w:p>
        </w:tc>
      </w:tr>
      <w:tr>
        <w:tc>
          <w:tcPr/>
          <w:p>
            <w:pPr>
              <w:pStyle w:val="Compact"/>
              <w:jc w:val="left"/>
            </w:pPr>
            <w:r>
              <w:t xml:space="preserve">Payroll (artists + support)</w:t>
            </w:r>
          </w:p>
        </w:tc>
        <w:tc>
          <w:tcPr/>
          <w:p>
            <w:pPr>
              <w:pStyle w:val="Compact"/>
              <w:jc w:val="left"/>
            </w:pPr>
            <w:r>
              <w:t xml:space="preserve">$23,542</w:t>
            </w:r>
          </w:p>
        </w:tc>
        <w:tc>
          <w:tcPr/>
          <w:p>
            <w:pPr>
              <w:pStyle w:val="Compact"/>
              <w:jc w:val="left"/>
            </w:pPr>
            <w:r>
              <w:t xml:space="preserve">$282,504</w:t>
            </w:r>
          </w:p>
        </w:tc>
        <w:tc>
          <w:tcPr/>
          <w:p>
            <w:pPr>
              <w:pStyle w:val="Compact"/>
              <w:jc w:val="left"/>
            </w:pPr>
            <w:r>
              <w:t xml:space="preserve">68.1%</w:t>
            </w:r>
            <w:r>
              <w:t xml:space="preserve"> </w:t>
            </w:r>
            <w:r>
              <w:rPr>
                <w:vertAlign w:val="superscript"/>
              </w:rPr>
              <w:footnoteReference w:id="84"/>
            </w:r>
          </w:p>
        </w:tc>
      </w:tr>
      <w:tr>
        <w:tc>
          <w:tcPr/>
          <w:p>
            <w:pPr>
              <w:pStyle w:val="Compact"/>
              <w:jc w:val="left"/>
            </w:pPr>
            <w:r>
              <w:t xml:space="preserve">Studio Rent / Lease</w:t>
            </w:r>
          </w:p>
        </w:tc>
        <w:tc>
          <w:tcPr/>
          <w:p>
            <w:pPr>
              <w:pStyle w:val="Compact"/>
              <w:jc w:val="left"/>
            </w:pPr>
            <w:r>
              <w:t xml:space="preserve">$8,000</w:t>
            </w:r>
          </w:p>
        </w:tc>
        <w:tc>
          <w:tcPr/>
          <w:p>
            <w:pPr>
              <w:pStyle w:val="Compact"/>
              <w:jc w:val="left"/>
            </w:pPr>
            <w:r>
              <w:t xml:space="preserve">$96,000</w:t>
            </w:r>
          </w:p>
        </w:tc>
        <w:tc>
          <w:tcPr/>
          <w:p>
            <w:pPr>
              <w:pStyle w:val="Compact"/>
              <w:jc w:val="left"/>
            </w:pPr>
            <w:r>
              <w:t xml:space="preserve">23.1%</w:t>
            </w:r>
            <w:r>
              <w:t xml:space="preserve"> </w:t>
            </w:r>
            <w:fldSimple w:instr="NOTEREF _Ref_Footnote_84 \h \f">
              <w:r>
                <w:rPr>
                  <w:vertAlign w:val="superscript"/>
                </w:rPr>
                <w:t>84</w:t>
              </w:r>
            </w:fldSimple>
          </w:p>
        </w:tc>
      </w:tr>
      <w:tr>
        <w:tc>
          <w:tcPr/>
          <w:p>
            <w:pPr>
              <w:pStyle w:val="Compact"/>
              <w:jc w:val="left"/>
            </w:pPr>
            <w:r>
              <w:t xml:space="preserve">Utilities &amp; Facility</w:t>
            </w:r>
          </w:p>
        </w:tc>
        <w:tc>
          <w:tcPr/>
          <w:p>
            <w:pPr>
              <w:pStyle w:val="Compact"/>
              <w:jc w:val="left"/>
            </w:pPr>
            <w:r>
              <w:t xml:space="preserve">$1,500</w:t>
            </w:r>
          </w:p>
        </w:tc>
        <w:tc>
          <w:tcPr/>
          <w:p>
            <w:pPr>
              <w:pStyle w:val="Compact"/>
              <w:jc w:val="left"/>
            </w:pPr>
            <w:r>
              <w:t xml:space="preserve">$18,000</w:t>
            </w:r>
          </w:p>
        </w:tc>
        <w:tc>
          <w:tcPr/>
          <w:p>
            <w:pPr>
              <w:pStyle w:val="Compact"/>
              <w:jc w:val="left"/>
            </w:pPr>
            <w:r>
              <w:t xml:space="preserve">4.3%</w:t>
            </w:r>
            <w:r>
              <w:t xml:space="preserve"> </w:t>
            </w:r>
            <w:fldSimple w:instr="NOTEREF _Ref_Footnote_84 \h \f">
              <w:r>
                <w:rPr>
                  <w:vertAlign w:val="superscript"/>
                </w:rPr>
                <w:t>84</w:t>
              </w:r>
            </w:fldSimple>
          </w:p>
        </w:tc>
      </w:tr>
      <w:tr>
        <w:tc>
          <w:tcPr/>
          <w:p>
            <w:pPr>
              <w:pStyle w:val="Compact"/>
              <w:jc w:val="left"/>
            </w:pPr>
            <w:r>
              <w:t xml:space="preserve">Insurance &amp; Permits</w:t>
            </w:r>
          </w:p>
        </w:tc>
        <w:tc>
          <w:tcPr/>
          <w:p>
            <w:pPr>
              <w:pStyle w:val="Compact"/>
              <w:jc w:val="left"/>
            </w:pPr>
            <w:r>
              <w:t xml:space="preserve">$850</w:t>
            </w:r>
          </w:p>
        </w:tc>
        <w:tc>
          <w:tcPr/>
          <w:p>
            <w:pPr>
              <w:pStyle w:val="Compact"/>
              <w:jc w:val="left"/>
            </w:pPr>
            <w:r>
              <w:t xml:space="preserve">$10,200</w:t>
            </w:r>
          </w:p>
        </w:tc>
        <w:tc>
          <w:tcPr/>
          <w:p>
            <w:pPr>
              <w:pStyle w:val="Compact"/>
              <w:jc w:val="left"/>
            </w:pPr>
            <w:r>
              <w:t xml:space="preserve">2.0%</w:t>
            </w:r>
            <w:r>
              <w:t xml:space="preserve"> </w:t>
            </w:r>
            <w:fldSimple w:instr="NOTEREF _Ref_Footnote_84 \h \f">
              <w:r>
                <w:rPr>
                  <w:vertAlign w:val="superscript"/>
                </w:rPr>
                <w:t>84</w:t>
              </w:r>
            </w:fldSimple>
          </w:p>
        </w:tc>
      </w:tr>
      <w:tr>
        <w:tc>
          <w:tcPr/>
          <w:p>
            <w:pPr>
              <w:pStyle w:val="Compact"/>
              <w:jc w:val="left"/>
            </w:pPr>
            <w:r>
              <w:t xml:space="preserve">Software &amp; Scheduling Tools</w:t>
            </w:r>
          </w:p>
        </w:tc>
        <w:tc>
          <w:tcPr/>
          <w:p>
            <w:pPr>
              <w:pStyle w:val="Compact"/>
              <w:jc w:val="left"/>
            </w:pPr>
            <w:r>
              <w:t xml:space="preserve">$700</w:t>
            </w:r>
          </w:p>
        </w:tc>
        <w:tc>
          <w:tcPr/>
          <w:p>
            <w:pPr>
              <w:pStyle w:val="Compact"/>
              <w:jc w:val="left"/>
            </w:pPr>
            <w:r>
              <w:t xml:space="preserve">$8,400</w:t>
            </w:r>
          </w:p>
        </w:tc>
        <w:tc>
          <w:tcPr/>
          <w:p>
            <w:pPr>
              <w:pStyle w:val="Compact"/>
              <w:jc w:val="left"/>
            </w:pPr>
            <w:r>
              <w:t xml:space="preserve">2.0%</w:t>
            </w:r>
            <w:r>
              <w:t xml:space="preserve"> </w:t>
            </w:r>
            <w:fldSimple w:instr="NOTEREF _Ref_Footnote_84 \h \f">
              <w:r>
                <w:rPr>
                  <w:vertAlign w:val="superscript"/>
                </w:rPr>
                <w:t>84</w:t>
              </w:r>
            </w:fldSimple>
          </w:p>
        </w:tc>
      </w:tr>
      <w:tr>
        <w:tc>
          <w:tcPr/>
          <w:p>
            <w:pPr>
              <w:pStyle w:val="Compact"/>
              <w:jc w:val="left"/>
            </w:pPr>
            <w:r>
              <w:rPr>
                <w:bCs/>
                <w:b/>
              </w:rPr>
              <w:t xml:space="preserve">Total Fixed Overhead</w:t>
            </w:r>
          </w:p>
        </w:tc>
        <w:tc>
          <w:tcPr/>
          <w:p>
            <w:pPr>
              <w:pStyle w:val="Compact"/>
              <w:jc w:val="left"/>
            </w:pPr>
            <w:r>
              <w:rPr>
                <w:bCs/>
                <w:b/>
              </w:rPr>
              <w:t xml:space="preserve">$34,592</w:t>
            </w:r>
          </w:p>
        </w:tc>
        <w:tc>
          <w:tcPr/>
          <w:p>
            <w:pPr>
              <w:pStyle w:val="Compact"/>
              <w:jc w:val="left"/>
            </w:pPr>
            <w:r>
              <w:rPr>
                <w:bCs/>
                <w:b/>
              </w:rPr>
              <w:t xml:space="preserve">$415,104</w:t>
            </w:r>
          </w:p>
        </w:tc>
        <w:tc>
          <w:tcPr/>
          <w:p>
            <w:pPr>
              <w:pStyle w:val="Compact"/>
              <w:jc w:val="left"/>
            </w:pPr>
            <w:r>
              <w:rPr>
                <w:bCs/>
                <w:b/>
              </w:rPr>
              <w:t xml:space="preserve">100%</w:t>
            </w:r>
            <w:r>
              <w:t xml:space="preserve"> </w:t>
            </w:r>
            <w:fldSimple w:instr="NOTEREF _Ref_Footnote_84 \h \f">
              <w:r>
                <w:rPr>
                  <w:vertAlign w:val="superscript"/>
                </w:rPr>
                <w:t>84</w:t>
              </w:r>
            </w:fldSimple>
          </w:p>
        </w:tc>
      </w:tr>
    </w:tbl>
    <w:p>
      <w:pPr>
        <w:pStyle w:val="BodyText"/>
      </w:pPr>
      <w:r>
        <w:t xml:space="preserve">A tattoo studio’s fixed overhead totals approximately $34,592 per month before variable costs such as supplies, artist bonuses, and marketing are factored in.</w:t>
      </w:r>
      <w:r>
        <w:t xml:space="preserve"> </w:t>
      </w:r>
      <w:fldSimple w:instr="NOTEREF _Ref_Footnote_84 \h \f">
        <w:r>
          <w:rPr>
            <w:vertAlign w:val="superscript"/>
          </w:rPr>
          <w:t>84</w:t>
        </w:r>
      </w:fldSimple>
      <w:r>
        <w:t xml:space="preserve">Payroll dominates at $23,542 per month (68.1%), followed by rent at $8,000 (23.1%).</w:t>
      </w:r>
      <w:r>
        <w:t xml:space="preserve"> </w:t>
      </w:r>
      <w:fldSimple w:instr="NOTEREF _Ref_Footnote_84 \h \f">
        <w:r>
          <w:rPr>
            <w:vertAlign w:val="superscript"/>
          </w:rPr>
          <w:t>84</w:t>
        </w:r>
      </w:fldSimple>
      <w:r>
        <w:t xml:space="preserve">The table makes clear that even a studio generating $69,000 per month in revenue — based on an average revenue per visit of $345 and eight visits per day — needs roughly five months to break even.</w:t>
      </w:r>
      <w:r>
        <w:t xml:space="preserve"> </w:t>
      </w:r>
      <w:fldSimple w:instr="NOTEREF _Ref_Footnote_84 \h \f">
        <w:r>
          <w:rPr>
            <w:vertAlign w:val="superscript"/>
          </w:rPr>
          <w:t>84</w:t>
        </w:r>
      </w:fldSimple>
      <w:r>
        <w:t xml:space="preserve">This is not a business model that tolerates disruption.</w:t>
      </w:r>
    </w:p>
    <w:bookmarkEnd w:id="34"/>
    <w:bookmarkStart w:id="38" w:name="Xb9c2755bbdaffbbf766df13f612562dcad0e506"/>
    <w:p>
      <w:pPr>
        <w:pStyle w:val="Heading4"/>
      </w:pPr>
      <w:r>
        <w:t xml:space="preserve">2.2.2 The Capital Barrier: $370,000-$475,000 to Open a Studio</w:t>
      </w:r>
    </w:p>
    <w:p>
      <w:pPr>
        <w:pStyle w:val="FirstParagraph"/>
      </w:pPr>
      <w:r>
        <w:t xml:space="preserve">Opening a tattoo studio is not a lean startup. Total startup costs range from $370,785 to $474,570, encompassing studio build-out ($150,000), stations and equipment ($55,000), initial inventory ($12,000), technology and website ($18,000), lease deposits ($32,000), and three to six months of operating expenses before revenue stabilizes ($103,785-$207,570).</w:t>
      </w:r>
      <w:r>
        <w:t xml:space="preserve"> </w:t>
      </w:r>
      <w:r>
        <w:rPr>
          <w:vertAlign w:val="superscript"/>
        </w:rPr>
        <w:footnoteReference w:id="85"/>
      </w:r>
      <w:r>
        <w:drawing>
          <wp:inline>
            <wp:extent cx="5334000" cy="3143731"/>
            <wp:effectExtent b="0" l="0" r="0" t="0"/>
            <wp:docPr descr="Figure 2.1: Tattoo Studio Startup Cost Breakdown" title="" id="36" name="Picture"/>
            <a:graphic>
              <a:graphicData uri="http://schemas.openxmlformats.org/drawingml/2006/picture">
                <pic:pic>
                  <pic:nvPicPr>
                    <pic:cNvPr descr="fig_2_1_tattoo_startup_costs.png" id="37" name="Picture"/>
                    <pic:cNvPicPr>
                      <a:picLocks noChangeArrowheads="1" noChangeAspect="1"/>
                    </pic:cNvPicPr>
                  </pic:nvPicPr>
                  <pic:blipFill>
                    <a:blip r:embed="rId35"/>
                    <a:stretch>
                      <a:fillRect/>
                    </a:stretch>
                  </pic:blipFill>
                  <pic:spPr bwMode="auto">
                    <a:xfrm>
                      <a:off x="0" y="0"/>
                      <a:ext cx="5334000" cy="3143731"/>
                    </a:xfrm>
                    <a:prstGeom prst="rect">
                      <a:avLst/>
                    </a:prstGeom>
                    <a:noFill/>
                    <a:ln w="9525">
                      <a:noFill/>
                      <a:headEnd/>
                      <a:tailEnd/>
                    </a:ln>
                  </pic:spPr>
                </pic:pic>
              </a:graphicData>
            </a:graphic>
          </wp:inline>
        </w:drawing>
      </w:r>
    </w:p>
    <w:p>
      <w:pPr>
        <w:pStyle w:val="BodyText"/>
      </w:pPr>
      <w:r>
        <w:rPr>
          <w:iCs/>
          <w:i/>
        </w:rPr>
        <w:t xml:space="preserve">Figure 2.1</w:t>
      </w:r>
      <w:r>
        <w:t xml:space="preserve"> </w:t>
      </w:r>
      <w:r>
        <w:t xml:space="preserve">disaggregates the startup cost burden, revealing that pre-opening operating expenses — the capital required to survive three to six months before steady revenue materializes — represent the largest single line item, ranging from $103,785 to $207,570.</w:t>
      </w:r>
      <w:r>
        <w:t xml:space="preserve"> </w:t>
      </w:r>
      <w:fldSimple w:instr="NOTEREF _Ref_Footnote_85 \h \f">
        <w:r>
          <w:rPr>
            <w:vertAlign w:val="superscript"/>
          </w:rPr>
          <w:t>85</w:t>
        </w:r>
      </w:fldSimple>
      <w:r>
        <w:t xml:space="preserve">Studio build-out at $150,000 is the second-largest category, reflecting the specialized infrastructure required: sterilization rooms, consultation areas, multiple artist stations, and compliance with health department regulations.</w:t>
      </w:r>
      <w:r>
        <w:t xml:space="preserve"> </w:t>
      </w:r>
      <w:fldSimple w:instr="NOTEREF _Ref_Footnote_85 \h \f">
        <w:r>
          <w:rPr>
            <w:vertAlign w:val="superscript"/>
          </w:rPr>
          <w:t>85</w:t>
        </w:r>
      </w:fldSimple>
      <w:r>
        <w:t xml:space="preserve">For an artist earning the industry average of $51,867 per year, these startup costs represent seven to nine years of pre-tax income — an essentially insurmountable barrier without external financing or significant personal savings.</w:t>
      </w:r>
      <w:r>
        <w:t xml:space="preserve"> </w:t>
      </w:r>
      <w:fldSimple w:instr="NOTEREF _Ref_Footnote_6 \h \f">
        <w:r>
          <w:rPr>
            <w:vertAlign w:val="superscript"/>
          </w:rPr>
          <w:t>6</w:t>
        </w:r>
      </w:fldSimple>
      <w:r>
        <w:t xml:space="preserve">#### 2.2.3 Social Media: From Free Portfolio to Pay-to-Play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Instagram has become the primary portfolio platform for tattoo artists —</w:t>
            </w:r>
            <w:r>
              <w:t xml:space="preserve"> </w:t>
            </w:r>
            <w:r>
              <w:t xml:space="preserve">“</w:t>
            </w:r>
            <w:r>
              <w:t xml:space="preserve">showing at a glance the style and colors they work with</w:t>
            </w:r>
            <w:r>
              <w:t xml:space="preserve">”</w:t>
            </w:r>
            <w:r>
              <w:t xml:space="preserve"> </w:t>
            </w:r>
            <w:r>
              <w:t xml:space="preserve">— but the cost of maintaining visibility has risen dramatically.</w:t>
            </w:r>
            <w:r>
              <w:t xml:space="preserve"> </w:t>
            </w:r>
            <w:r>
              <w:rPr>
                <w:vertAlign w:val="superscript"/>
              </w:rPr>
              <w:footnoteReference w:id="86"/>
            </w:r>
            <w:r>
              <w:t xml:space="preserve">Meta’s average CPM (cost per thousand impressions) increased from $6.05 in January 2024 to $8.27 in January 2025, a roughly 37% year-over-year increase.</w:t>
            </w:r>
            <w:r>
              <w:t xml:space="preserve"> </w:t>
            </w:r>
            <w:fldSimple w:instr="NOTEREF _Ref_Footnote_10 \h \f">
              <w:r>
                <w:rPr>
                  <w:vertAlign w:val="superscript"/>
                </w:rPr>
                <w:t>10</w:t>
              </w:r>
            </w:fldSimple>
            <w:r>
              <w:t xml:space="preserve">Full-year 2025 data from Triple Whale, analyzing nearly 35,000 ecommerce brands, confirms a +20.03% year-over-year increase, with every single industry vertical experiencing increases ranging from +8.08% to +38.03%.</w:t>
            </w:r>
            <w:r>
              <w:t xml:space="preserve"> </w:t>
            </w:r>
            <w:fldSimple w:instr="NOTEREF _Ref_Footnote_9 \h \f">
              <w:r>
                <w:rPr>
                  <w:vertAlign w:val="superscript"/>
                </w:rPr>
                <w:t>9</w:t>
              </w:r>
            </w:fldSimple>
          </w:p>
        </w:tc>
        <w:tc>
          <w:tcPr/>
          <w:p>
            <w:pPr>
              <w:pStyle w:val="Compact"/>
              <w:jc w:val="left"/>
            </w:pPr>
            <w:r>
              <w:t xml:space="preserve">Platform</w:t>
            </w:r>
          </w:p>
        </w:tc>
        <w:tc>
          <w:tcPr/>
          <w:p>
            <w:pPr>
              <w:pStyle w:val="Compact"/>
              <w:jc w:val="left"/>
            </w:pPr>
            <w:r>
              <w:t xml:space="preserve">CPM (2024)</w:t>
            </w:r>
          </w:p>
        </w:tc>
        <w:tc>
          <w:tcPr/>
          <w:p>
            <w:pPr>
              <w:pStyle w:val="Compact"/>
              <w:jc w:val="left"/>
            </w:pPr>
            <w:r>
              <w:t xml:space="preserve">CPM (2025)</w:t>
            </w:r>
          </w:p>
        </w:tc>
        <w:tc>
          <w:tcPr/>
          <w:p>
            <w:pPr>
              <w:pStyle w:val="Compact"/>
              <w:jc w:val="left"/>
            </w:pPr>
            <w:r>
              <w:t xml:space="preserve">YoY Change</w:t>
            </w:r>
          </w:p>
        </w:tc>
      </w:tr>
      <w:tr>
        <w:tc>
          <w:tcPr/>
          <w:p>
            <w:pPr>
              <w:pStyle w:val="Compact"/>
              <w:jc w:val="left"/>
            </w:pPr>
            <w:r>
              <w:t xml:space="preserve">Meta (Facebook)</w:t>
            </w:r>
          </w:p>
        </w:tc>
        <w:tc>
          <w:tcPr/>
          <w:p>
            <w:pPr>
              <w:pStyle w:val="Compact"/>
              <w:jc w:val="left"/>
            </w:pPr>
            <w:r>
              <w:t xml:space="preserve">$6.05 (Jan)</w:t>
            </w:r>
          </w:p>
        </w:tc>
        <w:tc>
          <w:tcPr/>
          <w:p>
            <w:pPr>
              <w:pStyle w:val="Compact"/>
              <w:jc w:val="left"/>
            </w:pPr>
            <w:r>
              <w:t xml:space="preserve">$8.27 (Jan)</w:t>
            </w:r>
          </w:p>
        </w:tc>
        <w:tc>
          <w:tcPr/>
          <w:p>
            <w:pPr>
              <w:pStyle w:val="Compact"/>
              <w:jc w:val="left"/>
            </w:pPr>
            <w:r>
              <w:t xml:space="preserve">+37%</w:t>
            </w:r>
            <w:r>
              <w:t xml:space="preserve"> </w:t>
            </w:r>
            <w:fldSimple w:instr="NOTEREF _Ref_Footnote_10 \h \f">
              <w:r>
                <w:rPr>
                  <w:vertAlign w:val="superscript"/>
                </w:rPr>
                <w:t>10</w:t>
              </w:r>
            </w:fldSimple>
          </w:p>
        </w:tc>
        <w:tc>
          <w:tcPr/>
          <w:p>
            <w:pPr>
              <w:pStyle w:val="Compact"/>
              <w:jc w:val="left"/>
            </w:pPr>
            <w:r>
              <w:t xml:space="preserve">Core client acquisition channel; costs rising fastest</w:t>
            </w:r>
          </w:p>
        </w:tc>
      </w:tr>
      <w:tr>
        <w:tc>
          <w:tcPr/>
          <w:p>
            <w:pPr>
              <w:pStyle w:val="Compact"/>
              <w:jc w:val="left"/>
            </w:pPr>
            <w:r>
              <w:t xml:space="preserve">Meta (annual avg)</w:t>
            </w:r>
          </w:p>
        </w:tc>
        <w:tc>
          <w:tcPr/>
          <w:p>
            <w:pPr>
              <w:pStyle w:val="Compact"/>
              <w:jc w:val="left"/>
            </w:pPr>
            <w:r>
              <w:t xml:space="preserve">$11.82</w:t>
            </w:r>
          </w:p>
        </w:tc>
        <w:tc>
          <w:tcPr/>
          <w:p>
            <w:pPr>
              <w:pStyle w:val="Compact"/>
              <w:jc w:val="left"/>
            </w:pPr>
            <w:r>
              <w:t xml:space="preserve">$14.19</w:t>
            </w:r>
          </w:p>
        </w:tc>
        <w:tc>
          <w:tcPr/>
          <w:p>
            <w:pPr>
              <w:pStyle w:val="Compact"/>
              <w:jc w:val="left"/>
            </w:pPr>
            <w:r>
              <w:t xml:space="preserve">+20%</w:t>
            </w:r>
            <w:r>
              <w:t xml:space="preserve"> </w:t>
            </w:r>
            <w:fldSimple w:instr="NOTEREF _Ref_Footnote_9 \h \f">
              <w:r>
                <w:rPr>
                  <w:vertAlign w:val="superscript"/>
                </w:rPr>
                <w:t>9</w:t>
              </w:r>
            </w:fldSimple>
          </w:p>
        </w:tc>
        <w:tc>
          <w:tcPr/>
          <w:p>
            <w:pPr>
              <w:pStyle w:val="Compact"/>
              <w:jc w:val="left"/>
            </w:pPr>
            <w:r>
              <w:t xml:space="preserve">Every vertical affected; no escape</w:t>
            </w:r>
          </w:p>
        </w:tc>
      </w:tr>
      <w:tr>
        <w:tc>
          <w:tcPr/>
          <w:p>
            <w:pPr>
              <w:pStyle w:val="Compact"/>
              <w:jc w:val="left"/>
            </w:pPr>
            <w:r>
              <w:t xml:space="preserve">Instagram</w:t>
            </w:r>
          </w:p>
        </w:tc>
        <w:tc>
          <w:tcPr/>
          <w:p>
            <w:pPr>
              <w:pStyle w:val="Compact"/>
              <w:jc w:val="left"/>
            </w:pPr>
            <w:r>
              <w:t xml:space="preserve">~$8.75</w:t>
            </w:r>
          </w:p>
        </w:tc>
        <w:tc>
          <w:tcPr/>
          <w:p>
            <w:pPr>
              <w:pStyle w:val="Compact"/>
              <w:jc w:val="left"/>
            </w:pPr>
            <w:r>
              <w:t xml:space="preserve">~$9.46</w:t>
            </w:r>
          </w:p>
        </w:tc>
        <w:tc>
          <w:tcPr/>
          <w:p>
            <w:pPr>
              <w:pStyle w:val="Compact"/>
              <w:jc w:val="left"/>
            </w:pPr>
            <w:r>
              <w:t xml:space="preserve">+8%</w:t>
            </w:r>
            <w:r>
              <w:t xml:space="preserve"> </w:t>
            </w:r>
            <w:fldSimple w:instr="NOTEREF _Ref_Footnote_30 \h \f">
              <w:r>
                <w:rPr>
                  <w:vertAlign w:val="superscript"/>
                </w:rPr>
                <w:t>30</w:t>
              </w:r>
            </w:fldSimple>
          </w:p>
        </w:tc>
        <w:tc>
          <w:tcPr/>
          <w:p>
            <w:pPr>
              <w:pStyle w:val="Compact"/>
              <w:jc w:val="left"/>
            </w:pPr>
            <w:r>
              <w:t xml:space="preserve">Premium pricing above Facebook; essential portfolio tool</w:t>
            </w:r>
          </w:p>
        </w:tc>
      </w:tr>
      <w:tr>
        <w:tc>
          <w:tcPr/>
          <w:p>
            <w:pPr>
              <w:pStyle w:val="Compact"/>
              <w:jc w:val="left"/>
            </w:pPr>
            <w:r>
              <w:t xml:space="preserve">TikTok</w:t>
            </w:r>
          </w:p>
        </w:tc>
        <w:tc>
          <w:tcPr/>
          <w:p>
            <w:pPr>
              <w:pStyle w:val="Compact"/>
              <w:jc w:val="left"/>
            </w:pPr>
            <w:r>
              <w:t xml:space="preserve">$11.43</w:t>
            </w:r>
          </w:p>
        </w:tc>
        <w:tc>
          <w:tcPr/>
          <w:p>
            <w:pPr>
              <w:pStyle w:val="Compact"/>
              <w:jc w:val="left"/>
            </w:pPr>
            <w:r>
              <w:t xml:space="preserve">$13.26</w:t>
            </w:r>
          </w:p>
        </w:tc>
        <w:tc>
          <w:tcPr/>
          <w:p>
            <w:pPr>
              <w:pStyle w:val="Compact"/>
              <w:jc w:val="left"/>
            </w:pPr>
            <w:r>
              <w:t xml:space="preserve">+16%</w:t>
            </w:r>
            <w:r>
              <w:t xml:space="preserve"> </w:t>
            </w:r>
            <w:fldSimple w:instr="NOTEREF _Ref_Footnote_5 \h \f">
              <w:r>
                <w:rPr>
                  <w:vertAlign w:val="superscript"/>
                </w:rPr>
                <w:t>5</w:t>
              </w:r>
            </w:fldSimple>
          </w:p>
        </w:tc>
        <w:tc>
          <w:tcPr/>
          <w:p>
            <w:pPr>
              <w:pStyle w:val="Compact"/>
              <w:jc w:val="left"/>
            </w:pPr>
            <w:r>
              <w:t xml:space="preserve">Discovery platform; narrowing cost advantage vs. Meta</w:t>
            </w:r>
          </w:p>
        </w:tc>
      </w:tr>
      <w:tr>
        <w:tc>
          <w:tcPr/>
          <w:p>
            <w:pPr>
              <w:pStyle w:val="Compact"/>
              <w:jc w:val="left"/>
            </w:pPr>
            <w:r>
              <w:t xml:space="preserve">Snapchat</w:t>
            </w:r>
          </w:p>
        </w:tc>
        <w:tc>
          <w:tcPr/>
          <w:p>
            <w:pPr>
              <w:pStyle w:val="Compact"/>
              <w:jc w:val="left"/>
            </w:pPr>
            <w:r>
              <w:t xml:space="preserve">~$8.73</w:t>
            </w:r>
          </w:p>
        </w:tc>
        <w:tc>
          <w:tcPr/>
          <w:p>
            <w:pPr>
              <w:pStyle w:val="Compact"/>
              <w:jc w:val="left"/>
            </w:pPr>
            <w:r>
              <w:t xml:space="preserve">~$12.84</w:t>
            </w:r>
          </w:p>
        </w:tc>
        <w:tc>
          <w:tcPr/>
          <w:p>
            <w:pPr>
              <w:pStyle w:val="Compact"/>
              <w:jc w:val="left"/>
            </w:pPr>
            <w:r>
              <w:t xml:space="preserve">+47%</w:t>
            </w:r>
            <w:r>
              <w:t xml:space="preserve"> </w:t>
            </w:r>
            <w:r>
              <w:rPr>
                <w:vertAlign w:val="superscript"/>
              </w:rPr>
              <w:footnoteReference w:id="87"/>
            </w:r>
          </w:p>
        </w:tc>
        <w:tc>
          <w:tcPr/>
          <w:p>
            <w:pPr>
              <w:pStyle w:val="Compact"/>
              <w:jc w:val="left"/>
            </w:pPr>
            <w:r>
              <w:t xml:space="preserve">Fastest-growing costs; limited tattoo relevance</w:t>
            </w:r>
          </w:p>
        </w:tc>
      </w:tr>
    </w:tbl>
    <w:p>
      <w:pPr>
        <w:pStyle w:val="BodyText"/>
      </w:pPr>
      <w:r>
        <w:t xml:space="preserve">The table above captures the universal cost inflation across social media advertising, but the more damaging trend for tattoo artists is the collapse of organic reach. Facebook’s average organic reach declined from approximately 16% of followers in 2012 to just 1-2% in 2025 — a 90%+ decline.</w:t>
      </w:r>
      <w:r>
        <w:t xml:space="preserve"> </w:t>
      </w:r>
      <w:fldSimple w:instr="NOTEREF _Ref_Footnote_16 \h \f">
        <w:r>
          <w:rPr>
            <w:vertAlign w:val="superscript"/>
          </w:rPr>
          <w:t>16</w:t>
        </w:r>
      </w:fldSimple>
      <w:r>
        <w:t xml:space="preserve">Instagram’s organic reach dropped an additional 12% from 2024 to 2025, with carousel posts reaching only about 5% of followers.</w:t>
      </w:r>
      <w:r>
        <w:t xml:space="preserve"> </w:t>
      </w:r>
      <w:fldSimple w:instr="NOTEREF _Ref_Footnote_16 \h \f">
        <w:r>
          <w:rPr>
            <w:vertAlign w:val="superscript"/>
          </w:rPr>
          <w:t>16</w:t>
        </w:r>
      </w:fldSimple>
      <w:r>
        <w:t xml:space="preserve">For an artist with 10,000 followers, a typical post now reaches only 100-220 people without paid promotion.</w:t>
      </w:r>
    </w:p>
    <w:p>
      <w:pPr>
        <w:pStyle w:val="BodyText"/>
      </w:pPr>
      <w:r>
        <w:t xml:space="preserve">The structural shift is clear: social media has transitioned from a free distribution channel to a paid one.</w:t>
      </w:r>
      <w:r>
        <w:t xml:space="preserve"> </w:t>
      </w:r>
      <w:r>
        <w:t xml:space="preserve">“</w:t>
      </w:r>
      <w:r>
        <w:t xml:space="preserve">In a saturated market, the old model —</w:t>
      </w:r>
      <w:r>
        <w:t xml:space="preserve"> </w:t>
      </w:r>
      <w:r>
        <w:t xml:space="preserve">‘</w:t>
      </w:r>
      <w:r>
        <w:t xml:space="preserve">just post your work</w:t>
      </w:r>
      <w:r>
        <w:t xml:space="preserve">’</w:t>
      </w:r>
      <w:r>
        <w:t xml:space="preserve"> </w:t>
      </w:r>
      <w:r>
        <w:t xml:space="preserve">— stops working,</w:t>
      </w:r>
      <w:r>
        <w:t xml:space="preserve">”</w:t>
      </w:r>
      <w:r>
        <w:t xml:space="preserve"> </w:t>
      </w:r>
      <w:r>
        <w:t xml:space="preserve">notes The Black Hat Tattoo.</w:t>
      </w:r>
      <w:r>
        <w:t xml:space="preserve"> </w:t>
      </w:r>
      <w:r>
        <w:t xml:space="preserve">“</w:t>
      </w:r>
      <w:r>
        <w:t xml:space="preserve">Artists need support, branding, structure.</w:t>
      </w:r>
      <w:r>
        <w:t xml:space="preserve">”</w:t>
      </w:r>
      <w:r>
        <w:t xml:space="preserve"> </w:t>
      </w:r>
      <w:fldSimple w:instr="NOTEREF _Ref_Footnote_7 \h \f">
        <w:r>
          <w:rPr>
            <w:vertAlign w:val="superscript"/>
          </w:rPr>
          <w:t>7</w:t>
        </w:r>
      </w:fldSimple>
      <w:r>
        <w:t xml:space="preserve">The social media marketing cost inflation of 18-25% since 2024 means that a tattoo artist who previously spent $200 per month on Instagram ads now needs $240-$250 for the same reach.</w:t>
      </w:r>
      <w:r>
        <w:t xml:space="preserve"> </w:t>
      </w:r>
      <w:fldSimple w:instr="NOTEREF _Ref_Footnote_19 \h \f">
        <w:r>
          <w:rPr>
            <w:vertAlign w:val="superscript"/>
          </w:rPr>
          <w:t>19</w:t>
        </w:r>
      </w:fldSimple>
      <w:r>
        <w:t xml:space="preserve">For an artist earning $51,867 annually, an additional $600-$1,200 per year in marketing costs — with no guaranteed return on that spend — is a material margin hit.</w:t>
      </w:r>
      <w:r>
        <w:t xml:space="preserve"> </w:t>
      </w:r>
      <w:fldSimple w:instr="NOTEREF _Ref_Footnote_6 \h \f">
        <w:r>
          <w:rPr>
            <w:vertAlign w:val="superscript"/>
          </w:rPr>
          <w:t>6</w:t>
        </w:r>
      </w:fldSimple>
      <w:r>
        <w:t xml:space="preserve">#### 2.2.4 Tattoo Conventions: High Stakes, Uncertain Returns</w:t>
      </w:r>
    </w:p>
    <w:p>
      <w:pPr>
        <w:pStyle w:val="BodyText"/>
      </w:pPr>
      <w:r>
        <w:t xml:space="preserve">Tattoo conventions represent a critical but costly channel for client acquisition and artist networking. Booth fees range from $500 to $1,500 or more, but the fully loaded cost of a convention trip typically reaches $3,000-$5,000 when travel, lodging, supplies, setup, and lost home studio income are included.</w:t>
      </w:r>
      <w:r>
        <w:t xml:space="preserve"> </w:t>
      </w:r>
      <w:r>
        <w:rPr>
          <w:vertAlign w:val="superscript"/>
        </w:rPr>
        <w:footnoteReference w:id="88"/>
      </w:r>
      <w:r>
        <w:t xml:space="preserve">The Portland Tattoo Expo charges by booth size with a 10’×10’ as standard; the China Tattoo Convention charges $700-$950 depending on zone placement.</w:t>
      </w:r>
      <w:r>
        <w:t xml:space="preserve"> </w:t>
      </w:r>
      <w:r>
        <w:rPr>
          <w:vertAlign w:val="superscript"/>
        </w:rPr>
        <w:footnoteReference w:id="89"/>
      </w:r>
      <w:r>
        <w:t xml:space="preserve"> </w:t>
      </w:r>
      <w:fldSimple w:instr="NOTEREF _Ref_Footnote_50 \h \f">
        <w:r>
          <w:rPr>
            <w:vertAlign w:val="superscript"/>
          </w:rPr>
          <w:t>50</w:t>
        </w:r>
      </w:fldSimple>
      <w:r>
        <w:t xml:space="preserve">Out-of-state artists must also apply for temporary licenses ($70 in Oregon).</w:t>
      </w:r>
      <w:r>
        <w:t xml:space="preserve"> </w:t>
      </w:r>
      <w:fldSimple w:instr="NOTEREF _Ref_Footnote_89 \h \f">
        <w:r>
          <w:rPr>
            <w:vertAlign w:val="superscript"/>
          </w:rPr>
          <w:t>89</w:t>
        </w:r>
      </w:fldSimple>
      <w:r>
        <w:t xml:space="preserve">The ROI is uncertain at best. Artists who show up with a plan — pre-booked appointments, ready flash designs, and a clear merchandise strategy — are the ones who leave with profit.</w:t>
      </w:r>
      <w:r>
        <w:t xml:space="preserve"> </w:t>
      </w:r>
      <w:fldSimple w:instr="NOTEREF _Ref_Footnote_88 \h \f">
        <w:r>
          <w:rPr>
            <w:vertAlign w:val="superscript"/>
          </w:rPr>
          <w:t>88</w:t>
        </w:r>
      </w:fldSimple>
      <w:r>
        <w:t xml:space="preserve">But many artists attend conventions hoping for walk-in clients who never materialize, while their regular clients at home book with competitors.</w:t>
      </w:r>
      <w:r>
        <w:t xml:space="preserve"> </w:t>
      </w:r>
      <w:r>
        <w:t xml:space="preserve">“</w:t>
      </w:r>
      <w:r>
        <w:t xml:space="preserve">Time away from regular clients back home</w:t>
      </w:r>
      <w:r>
        <w:t xml:space="preserve">”</w:t>
      </w:r>
      <w:r>
        <w:t xml:space="preserve"> </w:t>
      </w:r>
      <w:r>
        <w:t xml:space="preserve">and</w:t>
      </w:r>
      <w:r>
        <w:t xml:space="preserve"> </w:t>
      </w:r>
      <w:r>
        <w:t xml:space="preserve">“</w:t>
      </w:r>
      <w:r>
        <w:t xml:space="preserve">lost income if you’re not fully booked onsite</w:t>
      </w:r>
      <w:r>
        <w:t xml:space="preserve">”</w:t>
      </w:r>
      <w:r>
        <w:t xml:space="preserve"> </w:t>
      </w:r>
      <w:r>
        <w:t xml:space="preserve">are real costs that do not appear on the convention invoice.</w:t>
      </w:r>
      <w:r>
        <w:t xml:space="preserve"> </w:t>
      </w:r>
      <w:fldSimple w:instr="NOTEREF _Ref_Footnote_88 \h \f">
        <w:r>
          <w:rPr>
            <w:vertAlign w:val="superscript"/>
          </w:rPr>
          <w:t>88</w:t>
        </w:r>
      </w:fldSimple>
      <w:r>
        <w:t xml:space="preserve">For an artist working two fewer days per week due to declining demand, as documented in Montreal, a $5,000 convention trip can represent a catastrophic financial bet.</w:t>
      </w:r>
      <w:r>
        <w:t xml:space="preserve"> </w:t>
      </w:r>
      <w:fldSimple w:instr="NOTEREF _Ref_Footnote_8 \h \f">
        <w:r>
          <w:rPr>
            <w:vertAlign w:val="superscript"/>
          </w:rPr>
          <w:t>8</w:t>
        </w:r>
      </w:fldSimple>
      <w:r>
        <w:t xml:space="preserve">### 2.3 Technology Disruption: The iPad Pro + Procreate Effect</w:t>
      </w:r>
    </w:p>
    <w:bookmarkEnd w:id="38"/>
    <w:bookmarkStart w:id="39" w:name="X7985b5737230c8a7f2d9ff3934c06d1c1e06175"/>
    <w:p>
      <w:pPr>
        <w:pStyle w:val="Heading4"/>
      </w:pPr>
      <w:r>
        <w:t xml:space="preserve">2.3.1 Procreate’s 80% Market Share and Universal Tattoo Adoption</w:t>
      </w:r>
    </w:p>
    <w:p>
      <w:pPr>
        <w:pStyle w:val="FirstParagraph"/>
      </w:pPr>
      <w:r>
        <w:t xml:space="preserve">In 2015, Apple launched the iPad Pro with Apple Pencil. Within two years, it had transformed tattoo design. Fast Company reported as early as 2016 that</w:t>
      </w:r>
      <w:r>
        <w:t xml:space="preserve"> </w:t>
      </w:r>
      <w:r>
        <w:t xml:space="preserve">“</w:t>
      </w:r>
      <w:r>
        <w:t xml:space="preserve">tattoo artists are making a gradual conversion to digital, and the iPad Pro is proving to be a catalyst for an industry that so far has only reluctantly let go of ink pens and sketch paper.</w:t>
      </w:r>
      <w:r>
        <w:t xml:space="preserve">”</w:t>
      </w:r>
      <w:r>
        <w:t xml:space="preserve"> </w:t>
      </w:r>
      <w:r>
        <w:rPr>
          <w:vertAlign w:val="superscript"/>
        </w:rPr>
        <w:footnoteReference w:id="90"/>
      </w:r>
      <w:r>
        <w:t xml:space="preserve">David Robinson, a tattoo artist at San Francisco’s Seventh Son Tattoo, called it a</w:t>
      </w:r>
      <w:r>
        <w:t xml:space="preserve"> </w:t>
      </w:r>
      <w:r>
        <w:t xml:space="preserve">“</w:t>
      </w:r>
      <w:r>
        <w:t xml:space="preserve">game changer</w:t>
      </w:r>
      <w:r>
        <w:t xml:space="preserve">”</w:t>
      </w:r>
      <w:r>
        <w:t xml:space="preserve"> </w:t>
      </w:r>
      <w:r>
        <w:t xml:space="preserve">and</w:t>
      </w:r>
      <w:r>
        <w:t xml:space="preserve"> </w:t>
      </w:r>
      <w:r>
        <w:t xml:space="preserve">“</w:t>
      </w:r>
      <w:r>
        <w:t xml:space="preserve">job changer.</w:t>
      </w:r>
      <w:r>
        <w:t xml:space="preserve">”</w:t>
      </w:r>
      <w:r>
        <w:t xml:space="preserve"> </w:t>
      </w:r>
      <w:fldSimple w:instr="NOTEREF _Ref_Footnote_90 \h \f">
        <w:r>
          <w:rPr>
            <w:vertAlign w:val="superscript"/>
          </w:rPr>
          <w:t>90</w:t>
        </w:r>
      </w:fldSimple>
      <w:r>
        <w:t xml:space="preserve">By 2023, the transformation was complete.</w:t>
      </w:r>
      <w:r>
        <w:t xml:space="preserve"> </w:t>
      </w:r>
      <w:r>
        <w:t xml:space="preserve">“</w:t>
      </w:r>
      <w:r>
        <w:t xml:space="preserve">The vast majority of tattoo artists design their artwork digitally using an iPad with an app called Procreate,</w:t>
      </w:r>
      <w:r>
        <w:t xml:space="preserve">”</w:t>
      </w:r>
      <w:r>
        <w:t xml:space="preserve"> </w:t>
      </w:r>
      <w:r>
        <w:t xml:space="preserve">reported TattooSmart, a platform founded by professional tattoo artist Russ Abbott specifically to serve this growing market.</w:t>
      </w:r>
      <w:r>
        <w:t xml:space="preserve"> </w:t>
      </w:r>
      <w:r>
        <w:rPr>
          <w:vertAlign w:val="superscript"/>
        </w:rPr>
        <w:footnoteReference w:id="91"/>
      </w:r>
      <w:r>
        <w:t xml:space="preserve">Procreate dominates iPad digital art with 80% market share and has been downloaded over 40 million times, making it the #1 paid iPad app.</w:t>
      </w:r>
      <w:r>
        <w:t xml:space="preserve"> </w:t>
      </w:r>
      <w:fldSimple w:instr="NOTEREF _Ref_Footnote_11 \h \f">
        <w:r>
          <w:rPr>
            <w:vertAlign w:val="superscript"/>
          </w:rPr>
          <w:t>11</w:t>
        </w:r>
      </w:fldSimple>
      <w:r>
        <w:t xml:space="preserve"> </w:t>
      </w:r>
      <w:r>
        <w:rPr>
          <w:vertAlign w:val="superscript"/>
        </w:rPr>
        <w:footnoteReference w:id="92"/>
      </w:r>
      <w:r>
        <w:t xml:space="preserve">Among illustrators broadly, 50% now use Procreate as a primary tool.</w:t>
      </w:r>
      <w:r>
        <w:t xml:space="preserve"> </w:t>
      </w:r>
      <w:fldSimple w:instr="NOTEREF _Ref_Footnote_70 \h \f">
        <w:r>
          <w:rPr>
            <w:vertAlign w:val="superscript"/>
          </w:rPr>
          <w:t>70</w:t>
        </w:r>
      </w:fldSimple>
      <w:r>
        <w:t xml:space="preserve">The digital design pipeline is now the industry standard. Procreate reduces stencil creation from hours to minutes, with built-in tools for instant outline generation, photo-to-stencil conversion, and body placement visualization.</w:t>
      </w:r>
      <w:r>
        <w:t xml:space="preserve"> </w:t>
      </w:r>
      <w:r>
        <w:rPr>
          <w:vertAlign w:val="superscript"/>
        </w:rPr>
        <w:footnoteReference w:id="93"/>
      </w:r>
      <w:r>
        <w:t xml:space="preserve"> </w:t>
      </w:r>
      <w:r>
        <w:rPr>
          <w:vertAlign w:val="superscript"/>
        </w:rPr>
        <w:footnoteReference w:id="94"/>
      </w:r>
      <w:r>
        <w:t xml:space="preserve">One artist on Reddit reported spending five to six hours per piece for hand-drawn designs, while digital tools enable intricate stencils to be created</w:t>
      </w:r>
      <w:r>
        <w:t xml:space="preserve"> </w:t>
      </w:r>
      <w:r>
        <w:t xml:space="preserve">“</w:t>
      </w:r>
      <w:r>
        <w:t xml:space="preserve">the day of or the night before.</w:t>
      </w:r>
      <w:r>
        <w:t xml:space="preserve">”</w:t>
      </w:r>
      <w:r>
        <w:t xml:space="preserve"> </w:t>
      </w:r>
      <w:r>
        <w:rPr>
          <w:vertAlign w:val="superscript"/>
        </w:rPr>
        <w:footnoteReference w:id="95"/>
      </w:r>
      <w:r>
        <w:t xml:space="preserve">The iPad’s 12.9-inch display —</w:t>
      </w:r>
      <w:r>
        <w:t xml:space="preserve"> </w:t>
      </w:r>
      <w:r>
        <w:t xml:space="preserve">“</w:t>
      </w:r>
      <w:r>
        <w:t xml:space="preserve">about the size of a magazine</w:t>
      </w:r>
      <w:r>
        <w:t xml:space="preserve">”</w:t>
      </w:r>
      <w:r>
        <w:t xml:space="preserve"> </w:t>
      </w:r>
      <w:r>
        <w:t xml:space="preserve">— provides room for detailed designs visible to both artist and client simultaneously during consultations.</w:t>
      </w:r>
      <w:r>
        <w:t xml:space="preserve"> </w:t>
      </w:r>
      <w:fldSimple w:instr="NOTEREF _Ref_Footnote_90 \h \f">
        <w:r>
          <w:rPr>
            <w:vertAlign w:val="superscript"/>
          </w:rPr>
          <w:t>90</w:t>
        </w:r>
      </w:fldSimple>
      <w:r>
        <w:t xml:space="preserve">#### 2.3.2 Productivity Gains That Cut Both Ways</w:t>
      </w:r>
    </w:p>
    <w:p>
      <w:pPr>
        <w:pStyle w:val="BodyText"/>
      </w:pPr>
      <w:r>
        <w:t xml:space="preserve">Procreate-studio integration packages save tattoo artists 8-12 hours per week on design revisions alone, with features like layer systems, 200+ brushes, and instant stencil creation.</w:t>
      </w:r>
      <w:r>
        <w:t xml:space="preserve"> </w:t>
      </w:r>
      <w:r>
        <w:rPr>
          <w:vertAlign w:val="superscript"/>
        </w:rPr>
        <w:footnoteReference w:id="96"/>
      </w:r>
      <w:r>
        <w:t xml:space="preserve">Digital scheduling tools save an additional 7.5 hours per week; automated consent forms save 3-5 hours.</w:t>
      </w:r>
      <w:r>
        <w:t xml:space="preserve"> </w:t>
      </w:r>
      <w:r>
        <w:rPr>
          <w:vertAlign w:val="superscript"/>
        </w:rPr>
        <w:footnoteReference w:id="97"/>
      </w:r>
      <w:r>
        <w:t xml:space="preserve"> </w:t>
      </w:r>
      <w:fldSimple w:instr="NOTEREF _Ref_Footnote_96 \h \f">
        <w:r>
          <w:rPr>
            <w:vertAlign w:val="superscript"/>
          </w:rPr>
          <w:t>96</w:t>
        </w:r>
      </w:fldSimple>
      <w:r>
        <w:t xml:space="preserve">Combined, a digitally equipped tattoo artist can reclaim 12-20 hours per week — the equivalent of adding a half-time employee to a one-person operation.</w:t>
      </w:r>
    </w:p>
    <w:p>
      <w:pPr>
        <w:pStyle w:val="BodyText"/>
      </w:pPr>
      <w:r>
        <w:t xml:space="preserve">But here is the critical tension: these productivity gains do not exclusively benefit established artists. They benefit</w:t>
      </w:r>
      <w:r>
        <w:t xml:space="preserve"> </w:t>
      </w:r>
      <w:r>
        <w:rPr>
          <w:iCs/>
          <w:i/>
        </w:rPr>
        <w:t xml:space="preserve">everyone</w:t>
      </w:r>
      <w:r>
        <w:t xml:space="preserve"> </w:t>
      </w:r>
      <w:r>
        <w:t xml:space="preserve">who can afford a $799 iPad Pro and a $12.99 Procreate license. The same tools that let a master artist work faster also let a beginner produce designs that would have been impossible a decade ago. The</w:t>
      </w:r>
      <w:r>
        <w:t xml:space="preserve"> </w:t>
      </w:r>
      <w:r>
        <w:t xml:space="preserve">“</w:t>
      </w:r>
      <w:r>
        <w:t xml:space="preserve">vast majority</w:t>
      </w:r>
      <w:r>
        <w:t xml:space="preserve">”</w:t>
      </w:r>
      <w:r>
        <w:t xml:space="preserve"> </w:t>
      </w:r>
      <w:r>
        <w:t xml:space="preserve">of artists now design digitally, and that majority includes a wave of newcomers who entered the market precisely because digital tools removed the hand-drawing barrier.</w:t>
      </w:r>
      <w:r>
        <w:t xml:space="preserve"> </w:t>
      </w:r>
      <w:fldSimple w:instr="NOTEREF _Ref_Footnote_91 \h \f">
        <w:r>
          <w:rPr>
            <w:vertAlign w:val="superscript"/>
          </w:rPr>
          <w:t>91</w:t>
        </w:r>
      </w:fldSimple>
      <w:r>
        <w:t xml:space="preserve">The photography industry provides a stark parallel. Worldwide camera shipments dropped by 84% between 2010 and 2018 as smartphones put professional-grade cameras in every pocket.</w:t>
      </w:r>
      <w:r>
        <w:t xml:space="preserve"> </w:t>
      </w:r>
      <w:fldSimple w:instr="NOTEREF _Ref_Footnote_71 \h \f">
        <w:r>
          <w:rPr>
            <w:vertAlign w:val="superscript"/>
          </w:rPr>
          <w:t>71</w:t>
        </w:r>
      </w:fldSimple>
      <w:r>
        <w:t xml:space="preserve">Professional photographers now compete with</w:t>
      </w:r>
      <w:r>
        <w:t xml:space="preserve"> </w:t>
      </w:r>
      <w:r>
        <w:t xml:space="preserve">“</w:t>
      </w:r>
      <w:r>
        <w:t xml:space="preserve">good enough</w:t>
      </w:r>
      <w:r>
        <w:t xml:space="preserve">”</w:t>
      </w:r>
      <w:r>
        <w:t xml:space="preserve"> </w:t>
      </w:r>
      <w:r>
        <w:t xml:space="preserve">amateur smartphone photographers for the same events, weddings, and portrait clients. Tattoo artists face an analogous disruption: digitally enabled newcomers compete with established masters for the same skin.</w:t>
      </w:r>
    </w:p>
    <w:bookmarkEnd w:id="39"/>
    <w:bookmarkStart w:id="40" w:name="X5e83cf56627fbf94173d390596ac7164d7f20f2"/>
    <w:p>
      <w:pPr>
        <w:pStyle w:val="Heading4"/>
      </w:pPr>
      <w:r>
        <w:t xml:space="preserve">2.3.3 The Apprenticeship Collapse: From Three Years to Six Months</w:t>
      </w:r>
    </w:p>
    <w:p>
      <w:pPr>
        <w:pStyle w:val="FirstParagraph"/>
      </w:pPr>
      <w:r>
        <w:t xml:space="preserve">Traditional tattoo apprenticeships required 2-3 years of unpaid or low-paid labor, during which an aspiring artist earned little to nothing while learning sterilization protocols, skin anatomy, machine maintenance, and the craft of line work. The opportunity cost was staggering: $50,000-$100,000 in lost earnings over three years, not including equipment and material investments.</w:t>
      </w:r>
      <w:r>
        <w:t xml:space="preserve"> </w:t>
      </w:r>
      <w:fldSimple w:instr="NOTEREF _Ref_Footnote_82 \h \f">
        <w:r>
          <w:rPr>
            <w:vertAlign w:val="superscript"/>
          </w:rPr>
          <w:t>82</w:t>
        </w:r>
      </w:fldSimple>
      <w:r>
        <w:t xml:space="preserve">That model is being replaced. Online tattoo courses now deliver</w:t>
      </w:r>
      <w:r>
        <w:t xml:space="preserve"> </w:t>
      </w:r>
      <w:r>
        <w:t xml:space="preserve">“</w:t>
      </w:r>
      <w:r>
        <w:t xml:space="preserve">the same technical knowledge and practical skills in 6 months that apprenticeships stretch across years,</w:t>
      </w:r>
      <w:r>
        <w:t xml:space="preserve">”</w:t>
      </w:r>
      <w:r>
        <w:t xml:space="preserve"> </w:t>
      </w:r>
      <w:r>
        <w:t xml:space="preserve">with online students</w:t>
      </w:r>
      <w:r>
        <w:t xml:space="preserve"> </w:t>
      </w:r>
      <w:r>
        <w:t xml:space="preserve">“</w:t>
      </w:r>
      <w:r>
        <w:t xml:space="preserve">$100,000+ ahead before traditional apprentices complete training.</w:t>
      </w:r>
      <w:r>
        <w:t xml:space="preserve">”</w:t>
      </w:r>
      <w:r>
        <w:t xml:space="preserve"> </w:t>
      </w:r>
      <w:fldSimple w:instr="NOTEREF _Ref_Footnote_82 \h \f">
        <w:r>
          <w:rPr>
            <w:vertAlign w:val="superscript"/>
          </w:rPr>
          <w:t>82</w:t>
        </w:r>
      </w:fldSimple>
      <w:r>
        <w:t xml:space="preserve">Blackout Tattoo Academy in the UK offers an intensive 6-week program compared to 3-year traditional apprenticeships.</w:t>
      </w:r>
      <w:r>
        <w:t xml:space="preserve"> </w:t>
      </w:r>
      <w:r>
        <w:rPr>
          <w:vertAlign w:val="superscript"/>
        </w:rPr>
        <w:footnoteReference w:id="98"/>
      </w:r>
      <w:r>
        <w:t xml:space="preserve">The economic logic is brutal but simple. A traditional apprenticeship filters for commitment, patience, and the ability to survive years of poverty. An online course filters for purchasing power — anyone with $2,000-$20,000 can enroll.</w:t>
      </w:r>
      <w:r>
        <w:t xml:space="preserve"> </w:t>
      </w:r>
      <w:fldSimple w:instr="NOTEREF _Ref_Footnote_53 \h \f">
        <w:r>
          <w:rPr>
            <w:vertAlign w:val="superscript"/>
          </w:rPr>
          <w:t>53</w:t>
        </w:r>
      </w:fldSimple>
      <w:r>
        <w:t xml:space="preserve"> </w:t>
      </w:r>
      <w:fldSimple w:instr="NOTEREF _Ref_Footnote_4 \h \f">
        <w:r>
          <w:rPr>
            <w:vertAlign w:val="superscript"/>
          </w:rPr>
          <w:t>4</w:t>
        </w:r>
      </w:fldSimple>
      <w:r>
        <w:t xml:space="preserve">The result is a flood of newly certified artists entering a market that was already oversaturated. As The Black Hat Tattoo observed,</w:t>
      </w:r>
      <w:r>
        <w:t xml:space="preserve"> </w:t>
      </w:r>
      <w:r>
        <w:t xml:space="preserve">“</w:t>
      </w:r>
      <w:r>
        <w:t xml:space="preserve">Everyone wants to be a tattoo artist. Oversupply floods the market.</w:t>
      </w:r>
      <w:r>
        <w:t xml:space="preserve">”</w:t>
      </w:r>
      <w:r>
        <w:t xml:space="preserve"> </w:t>
      </w:r>
      <w:fldSimple w:instr="NOTEREF _Ref_Footnote_7 \h \f">
        <w:r>
          <w:rPr>
            <w:vertAlign w:val="superscript"/>
          </w:rPr>
          <w:t>7</w:t>
        </w:r>
      </w:fldSimple>
      <w:r>
        <w:t xml:space="preserve">CBC News confirmed the pattern in Montreal, where</w:t>
      </w:r>
      <w:r>
        <w:t xml:space="preserve"> </w:t>
      </w:r>
      <w:r>
        <w:t xml:space="preserve">“</w:t>
      </w:r>
      <w:r>
        <w:t xml:space="preserve">many took on the craft during the pandemic, often with little training.</w:t>
      </w:r>
      <w:r>
        <w:t xml:space="preserve">”</w:t>
      </w:r>
      <w:r>
        <w:t xml:space="preserve"> </w:t>
      </w:r>
      <w:fldSimple w:instr="NOTEREF _Ref_Footnote_8 \h \f">
        <w:r>
          <w:rPr>
            <w:vertAlign w:val="superscript"/>
          </w:rPr>
          <w:t>8</w:t>
        </w:r>
      </w:fldSimple>
      <w:r>
        <w:t xml:space="preserve">#### 2.3.4 More Artists, Not Necessarily Better Artists</w:t>
      </w:r>
    </w:p>
    <w:p>
      <w:pPr>
        <w:pStyle w:val="BodyText"/>
      </w:pPr>
      <w:r>
        <w:t xml:space="preserve">The pandemic catalyzed independent studio formation. NPR reported that</w:t>
      </w:r>
      <w:r>
        <w:t xml:space="preserve"> </w:t>
      </w:r>
      <w:r>
        <w:t xml:space="preserve">“</w:t>
      </w:r>
      <w:r>
        <w:t xml:space="preserve">for an array of reasons, the pandemic contributed to the rise of independent studios — some artists took up the skill during lockdown, while some clients found extra money or the confidence to get inked.</w:t>
      </w:r>
      <w:r>
        <w:t xml:space="preserve">”</w:t>
      </w:r>
      <w:r>
        <w:t xml:space="preserve"> </w:t>
      </w:r>
      <w:r>
        <w:rPr>
          <w:vertAlign w:val="superscript"/>
        </w:rPr>
        <w:footnoteReference w:id="99"/>
      </w:r>
      <w:r>
        <w:t xml:space="preserve">The industry grew at a steady 2.5% per year from 2018-2023, according to IBISWorld research.</w:t>
      </w:r>
      <w:r>
        <w:t xml:space="preserve"> </w:t>
      </w:r>
      <w:fldSimple w:instr="NOTEREF _Ref_Footnote_99 \h \f">
        <w:r>
          <w:rPr>
            <w:vertAlign w:val="superscript"/>
          </w:rPr>
          <w:t>99</w:t>
        </w:r>
      </w:fldSimple>
      <w:r>
        <w:t xml:space="preserve">But when lockdowns ended, the demand briefly matched supply — and then reality set in.</w:t>
      </w:r>
      <w:r>
        <w:t xml:space="preserve"> </w:t>
      </w:r>
      <w:r>
        <w:t xml:space="preserve">“</w:t>
      </w:r>
      <w:r>
        <w:t xml:space="preserve">After a couple of years, demand started to slow,</w:t>
      </w:r>
      <w:r>
        <w:t xml:space="preserve">”</w:t>
      </w:r>
      <w:r>
        <w:t xml:space="preserve"> </w:t>
      </w:r>
      <w:r>
        <w:t xml:space="preserve">and established artists began feeling the squeeze.</w:t>
      </w:r>
      <w:r>
        <w:t xml:space="preserve"> </w:t>
      </w:r>
      <w:r>
        <w:rPr>
          <w:vertAlign w:val="superscript"/>
        </w:rPr>
        <w:footnoteReference w:id="100"/>
      </w:r>
      <w:r>
        <w:t xml:space="preserve">AI tattoo design tools are accelerating the entry of underqualified practitioners. The AI tattoo generator market was valued at $150-250 million in 2024-2025, growing at 20-45% CAGR, with BlackInk AI alone reaching 1.4 million users.</w:t>
      </w:r>
      <w:r>
        <w:t xml:space="preserve"> </w:t>
      </w:r>
      <w:fldSimple w:instr="NOTEREF _Ref_Footnote_3 \h \f">
        <w:r>
          <w:rPr>
            <w:vertAlign w:val="superscript"/>
          </w:rPr>
          <w:t>3</w:t>
        </w:r>
      </w:fldSimple>
      <w:r>
        <w:t xml:space="preserve"> </w:t>
      </w:r>
      <w:fldSimple w:instr="NOTEREF _Ref_Footnote_88 \h \f">
        <w:r>
          <w:rPr>
            <w:vertAlign w:val="superscript"/>
          </w:rPr>
          <w:t>88</w:t>
        </w:r>
      </w:fldSimple>
      <w:r>
        <w:t xml:space="preserve">AI adoption in tattoo studios surged from 12% in 2022 to 68% in 2024, according to a Tattoo Business Magazine survey.</w:t>
      </w:r>
      <w:r>
        <w:t xml:space="preserve"> </w:t>
      </w:r>
      <w:r>
        <w:rPr>
          <w:vertAlign w:val="superscript"/>
        </w:rPr>
        <w:footnoteReference w:id="101"/>
      </w:r>
      <w:r>
        <w:t xml:space="preserve">Among US creative professionals broadly, 87% now use AI tools in their work.</w:t>
      </w:r>
      <w:r>
        <w:t xml:space="preserve"> </w:t>
      </w:r>
      <w:r>
        <w:rPr>
          <w:vertAlign w:val="superscript"/>
        </w:rPr>
        <w:footnoteReference w:id="102"/>
      </w:r>
      <w:r>
        <w:t xml:space="preserve">The quality implications are contested but real. Self-taught artists who rely on digital tools</w:t>
      </w:r>
      <w:r>
        <w:t xml:space="preserve"> </w:t>
      </w:r>
      <w:r>
        <w:t xml:space="preserve">“</w:t>
      </w:r>
      <w:r>
        <w:t xml:space="preserve">often miss some critical areas, especially when it comes to sanitation and understanding skin behavior,</w:t>
      </w:r>
      <w:r>
        <w:t xml:space="preserve">”</w:t>
      </w:r>
      <w:r>
        <w:t xml:space="preserve"> </w:t>
      </w:r>
      <w:r>
        <w:t xml:space="preserve">which</w:t>
      </w:r>
      <w:r>
        <w:t xml:space="preserve"> </w:t>
      </w:r>
      <w:r>
        <w:t xml:space="preserve">“</w:t>
      </w:r>
      <w:r>
        <w:t xml:space="preserve">can lead to serious problems like infections or poor-looking tattoos that don’t heal well.</w:t>
      </w:r>
      <w:r>
        <w:t xml:space="preserve">”</w:t>
      </w:r>
      <w:r>
        <w:t xml:space="preserve"> </w:t>
      </w:r>
      <w:r>
        <w:rPr>
          <w:vertAlign w:val="superscript"/>
        </w:rPr>
        <w:footnoteReference w:id="103"/>
      </w:r>
      <w:r>
        <w:t xml:space="preserve">Digital tools</w:t>
      </w:r>
      <w:r>
        <w:t xml:space="preserve"> </w:t>
      </w:r>
      <w:r>
        <w:t xml:space="preserve">“</w:t>
      </w:r>
      <w:r>
        <w:t xml:space="preserve">don’t replace the core of tattooing,</w:t>
      </w:r>
      <w:r>
        <w:t xml:space="preserve">”</w:t>
      </w:r>
      <w:r>
        <w:t xml:space="preserve"> </w:t>
      </w:r>
      <w:r>
        <w:t xml:space="preserve">as one industry educator puts it.</w:t>
      </w:r>
      <w:r>
        <w:t xml:space="preserve"> </w:t>
      </w:r>
      <w:r>
        <w:t xml:space="preserve">“</w:t>
      </w:r>
      <w:r>
        <w:t xml:space="preserve">It’s not something you can learn by watching a video or scrolling through Instagram alone. The craft demands intensive, hands-on training and consistent practice.</w:t>
      </w:r>
      <w:r>
        <w:t xml:space="preserve">”</w:t>
      </w:r>
      <w:r>
        <w:t xml:space="preserve"> </w:t>
      </w:r>
      <w:r>
        <w:rPr>
          <w:vertAlign w:val="superscript"/>
        </w:rPr>
        <w:footnoteReference w:id="104"/>
      </w:r>
      <w:r>
        <w:t xml:space="preserve">Yet the market does not efficiently filter for quality. On Instagram, a polished digital mock-up and a large follower count generate bookings regardless of the artist’s actual tattooing skill. The gatekeepers of the traditional apprenticeship system — studio owners who controlled access to the craft — have been partially circumvented by artists building independent client bases through social media.</w:t>
      </w:r>
      <w:r>
        <w:t xml:space="preserve"> </w:t>
      </w:r>
      <w:r>
        <w:rPr>
          <w:vertAlign w:val="superscript"/>
        </w:rPr>
        <w:footnoteReference w:id="105"/>
      </w:r>
      <w:r>
        <w:t xml:space="preserve">Social media</w:t>
      </w:r>
      <w:r>
        <w:t xml:space="preserve"> </w:t>
      </w:r>
      <w:r>
        <w:t xml:space="preserve">“</w:t>
      </w:r>
      <w:r>
        <w:t xml:space="preserve">has undoubtedly contributed to more people wanting to become tattoo artists — this means greater competition than before,</w:t>
      </w:r>
      <w:r>
        <w:t xml:space="preserve">”</w:t>
      </w:r>
      <w:r>
        <w:t xml:space="preserve"> </w:t>
      </w:r>
      <w:r>
        <w:t xml:space="preserve">notes Th-Ink Magazine, but adds a crucial caveat:</w:t>
      </w:r>
      <w:r>
        <w:t xml:space="preserve"> </w:t>
      </w:r>
      <w:r>
        <w:t xml:space="preserve">“</w:t>
      </w:r>
      <w:r>
        <w:t xml:space="preserve">There are clients for everyone — different styles, different budgets, different experiences are now catered for.</w:t>
      </w:r>
      <w:r>
        <w:t xml:space="preserve">”</w:t>
      </w:r>
      <w:r>
        <w:t xml:space="preserve"> </w:t>
      </w:r>
      <w:r>
        <w:rPr>
          <w:vertAlign w:val="superscript"/>
        </w:rPr>
        <w:footnoteReference w:id="106"/>
      </w:r>
      <w:r>
        <w:t xml:space="preserve">That optimistic framing assumes demand keeps pace with supply. It is not. Client flow down 50% across Europe, wait times collapsing from five months to one month, and auto loan delinquencies exceeding 2009 peaks all point in the same direction: the tattoo industry has more artists than it has paying clients.</w:t>
      </w:r>
      <w:r>
        <w:t xml:space="preserve"> </w:t>
      </w:r>
      <w:fldSimple w:instr="NOTEREF _Ref_Footnote_7 \h \f">
        <w:r>
          <w:rPr>
            <w:vertAlign w:val="superscript"/>
          </w:rPr>
          <w:t>7</w:t>
        </w:r>
      </w:fldSimple>
      <w:r>
        <w:t xml:space="preserve"> </w:t>
      </w:r>
      <w:fldSimple w:instr="NOTEREF _Ref_Footnote_73 \h \f">
        <w:r>
          <w:rPr>
            <w:vertAlign w:val="superscript"/>
          </w:rPr>
          <w:t>73</w:t>
        </w:r>
      </w:fldSimple>
      <w:r>
        <w:t xml:space="preserve"> </w:t>
      </w:r>
      <w:fldSimple w:instr="NOTEREF _Ref_Footnote_77 \h \f">
        <w:r>
          <w:rPr>
            <w:vertAlign w:val="superscript"/>
          </w:rPr>
          <w:t>77</w:t>
        </w:r>
      </w:fldSimple>
      <w:r>
        <w:t xml:space="preserve">Technology did not cause this crisis, but it accelerated it — compressing a decade of market entry into three years, and leaving artists who invested their lives in the craft scrambling for alternatives.</w:t>
      </w:r>
    </w:p>
    <w:p>
      <w:pPr>
        <w:pStyle w:val="BodyText"/>
      </w:pPr>
      <w:r>
        <w:t xml:space="preserve">The structural parallel to music is exact. Just as streaming platforms flooded the market with 120 million tracks and collapsed per-stream payouts to a fraction of a cent, digital design tools flooded tattooing with new practitioners and collapsed the price that any individual artist can command. In both industries, the platform — whether Spotify or Instagram — captures the value while the creator absorbs the risk. Both musicians and tattoo artists now face what industry analysts have termed the</w:t>
      </w:r>
      <w:r>
        <w:t xml:space="preserve"> </w:t>
      </w:r>
      <w:r>
        <w:t xml:space="preserve">“</w:t>
      </w:r>
      <w:r>
        <w:t xml:space="preserve">Triple Squeeze</w:t>
      </w:r>
      <w:r>
        <w:t xml:space="preserve">”</w:t>
      </w:r>
      <w:r>
        <w:t xml:space="preserve">: platform dependency that extracts rather than distributes value, market saturation that depresses individual earnings even as aggregate revenue grows, and rising customer acquisition costs that make reaching audiences progressively more expensive. The tattoo artist paying $8.27 per thousand Instagram impressions while competing against a wave of digitally enabled newcomers is experiencing the same economic mechanics as the musician earning $0.004 per Spotify stream while competing against 120 million catalog tracks. The question is not whether tattoo artists need another revenue stream. It is whether they can afford to wait any longer to build one.</w:t>
      </w:r>
      <w:r>
        <w:t xml:space="preserve"> </w:t>
      </w:r>
      <w:r>
        <w:t xml:space="preserve">## 3. The Creator Economy’s Broken Business Model</w:t>
      </w:r>
    </w:p>
    <w:p>
      <w:pPr>
        <w:pStyle w:val="BodyText"/>
      </w:pPr>
      <w:r>
        <w:t xml:space="preserve">Chapters 1 and 2 documented how musicians and tattoo artists face a structural squeeze: platform-dependent distribution concentrates revenue at the top while stripping value from the bottom 99%. The pattern is not unique to those verticals. The creator economy — a market valued at $205.25 billion in 2024 and projected to reach $252 billion in 2025 — exhibits the same pathology at an even larger scale</w:t>
      </w:r>
      <w:r>
        <w:t xml:space="preserve"> </w:t>
      </w:r>
      <w:r>
        <w:rPr>
          <w:vertAlign w:val="superscript"/>
        </w:rPr>
        <w:footnoteReference w:id="107"/>
      </w:r>
      <w:r>
        <w:t xml:space="preserve">. Goldman Sachs Research projects the total addressable market (TAM) could reach $480 billion by 2027, roughly doubling its estimated $250 billion baseline in 2023, while longer-term forecasts from Grand View Research and Precedence Research range from $1.35 trillion to $2.08 trillion by 2033–2035</w:t>
      </w:r>
      <w:r>
        <w:t xml:space="preserve"> </w:t>
      </w:r>
      <w:r>
        <w:rPr>
          <w:vertAlign w:val="superscript"/>
        </w:rPr>
        <w:footnoteReference w:id="108"/>
      </w:r>
      <w:r>
        <w:t xml:space="preserve"> </w:t>
      </w:r>
      <w:fldSimple w:instr="NOTEREF _Ref_Footnote_12 \h \f">
        <w:r>
          <w:rPr>
            <w:vertAlign w:val="superscript"/>
          </w:rPr>
          <w:t>12</w:t>
        </w:r>
      </w:fldSimple>
      <w:r>
        <w:t xml:space="preserve">. Those headline figures attract venture capital, platform investment, and media attention. They do not translate into livable incomes for the vast majority of creators producing the content that generates that value.</w:t>
      </w:r>
    </w:p>
    <w:bookmarkEnd w:id="40"/>
    <w:bookmarkEnd w:id="41"/>
    <w:bookmarkStart w:id="45" w:name="market-size-and-income-distribution"/>
    <w:p>
      <w:pPr>
        <w:pStyle w:val="Heading3"/>
      </w:pPr>
      <w:r>
        <w:t xml:space="preserve">3.1 Market Size and Income Distribution</w:t>
      </w:r>
    </w:p>
    <w:p>
      <w:pPr>
        <w:pStyle w:val="FirstParagraph"/>
      </w:pPr>
      <w:r>
        <w:t xml:space="preserve">The creator economy’s scale is measured in hundreds of millions of participants. Global estimates place the total number of content creators between 207 million and 400 million, with roughly 46.7 million identifying as professional creators — those actively seeking monetization — across platforms including YouTube, Instagram, TikTok, Twitch, and emerging channels</w:t>
      </w:r>
      <w:r>
        <w:t xml:space="preserve"> </w:t>
      </w:r>
      <w:fldSimple w:instr="NOTEREF _Ref_Footnote_107 \h \f">
        <w:r>
          <w:rPr>
            <w:vertAlign w:val="superscript"/>
          </w:rPr>
          <w:t>107</w:t>
        </w:r>
      </w:fldSimple>
      <w:r>
        <w:t xml:space="preserve"> </w:t>
      </w:r>
      <w:r>
        <w:rPr>
          <w:vertAlign w:val="superscript"/>
        </w:rPr>
        <w:footnoteReference w:id="109"/>
      </w:r>
      <w:r>
        <w:t xml:space="preserve">. The U.S. market alone was valued at approximately $50.9 billion in 2024 and is projected to reach $297.3 billion by 2034, growing at a compound annual growth rate (CAGR) of 19.3%</w:t>
      </w:r>
      <w:r>
        <w:t xml:space="preserve"> </w:t>
      </w:r>
      <w:fldSimple w:instr="NOTEREF _Ref_Footnote_109 \h \f">
        <w:r>
          <w:rPr>
            <w:vertAlign w:val="superscript"/>
          </w:rPr>
          <w:t>109</w:t>
        </w:r>
      </w:fldSimple>
      <w:r>
        <w:t xml:space="preserve">. North America holds the largest single share at 34–37% of global creator economy value.</w:t>
      </w:r>
    </w:p>
    <w:p>
      <w:pPr>
        <w:pStyle w:val="BodyText"/>
      </w:pPr>
      <w:r>
        <w:t xml:space="preserve">Those numbers suggest abundance. The income data reveals deprivation. The median annual creator earnings in 2025 were $3,000, while the average stood at $11,400 — a nearly 4x gap that signals extreme right-skew in the distribution</w:t>
      </w:r>
      <w:r>
        <w:t xml:space="preserve"> </w:t>
      </w:r>
      <w:fldSimple w:instr="NOTEREF _Ref_Footnote_14 \h \f">
        <w:r>
          <w:rPr>
            <w:vertAlign w:val="superscript"/>
          </w:rPr>
          <w:t>14</w:t>
        </w:r>
      </w:fldSimple>
      <w:r>
        <w:t xml:space="preserve"> </w:t>
      </w:r>
      <w:fldSimple w:instr="NOTEREF _Ref_Footnote_13 \h \f">
        <w:r>
          <w:rPr>
            <w:vertAlign w:val="superscript"/>
          </w:rPr>
          <w:t>13</w:t>
        </w:r>
      </w:fldSimple>
      <w:r>
        <w:t xml:space="preserve">. That gap is widening: the average rose because top earners pulled it up, while the median declined from $3,500 in 2023 to $3,000 in 2025</w:t>
      </w:r>
      <w:r>
        <w:t xml:space="preserve"> </w:t>
      </w:r>
      <w:r>
        <w:rPr>
          <w:vertAlign w:val="superscript"/>
        </w:rPr>
        <w:footnoteReference w:id="110"/>
      </w:r>
      <w:r>
        <w:t xml:space="preserve">. Aggregate creator payments grew 59% year-over-year, but the benefits of that growth were captured almost entirely by the top decile</w:t>
      </w:r>
      <w:r>
        <w:t xml:space="preserve"> </w:t>
      </w:r>
      <w:fldSimple w:instr="NOTEREF _Ref_Footnote_14 \h \f">
        <w:r>
          <w:rPr>
            <w:vertAlign w:val="superscript"/>
          </w:rPr>
          <w:t>14</w:t>
        </w:r>
      </w:fldSimple>
      <w:r>
        <w:t xml:space="preserve">.</w:t>
      </w:r>
    </w:p>
    <w:p>
      <w:pPr>
        <w:pStyle w:val="BodyText"/>
      </w:pPr>
      <w:r>
        <w:t xml:space="preserve">The concentration is stark. Data from CreatorIQ, which analyzed 65,000 creator payments over three years, shows that the top 10% of creators earned 62% of total payments in 2025, up from 53% in 2023. The top 1% alone claimed 21% of all payments, up from 15% in 2023</w:t>
      </w:r>
      <w:r>
        <w:t xml:space="preserve"> </w:t>
      </w:r>
      <w:fldSimple w:instr="NOTEREF _Ref_Footnote_14 \h \f">
        <w:r>
          <w:rPr>
            <w:vertAlign w:val="superscript"/>
          </w:rPr>
          <w:t>14</w:t>
        </w:r>
      </w:fldSimple>
      <w:r>
        <w:t xml:space="preserve">. Conversely, the bottom 50% of creators earned less than 1% of all creator income — well below any living wage threshold</w:t>
      </w:r>
      <w:r>
        <w:t xml:space="preserve"> </w:t>
      </w:r>
      <w:fldSimple w:instr="NOTEREF _Ref_Footnote_10 \h \f">
        <w:r>
          <w:rPr>
            <w:vertAlign w:val="superscript"/>
          </w:rPr>
          <w:t>10</w:t>
        </w:r>
      </w:fldSimple>
      <w:r>
        <w:t xml:space="preserve">. On YouTube, 97.5% of creators fail to earn enough to reach the U.S. poverty line. On Spotify, 98% of artists make less than $200 annually from the platform</w:t>
      </w:r>
      <w:r>
        <w:t xml:space="preserve"> </w:t>
      </w:r>
      <w:fldSimple w:instr="NOTEREF _Ref_Footnote_10 \h \f">
        <w:r>
          <w:rPr>
            <w:vertAlign w:val="superscript"/>
          </w:rPr>
          <w:t>10</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Creator Income Tier</w:t>
            </w:r>
          </w:p>
        </w:tc>
        <w:tc>
          <w:tcPr/>
          <w:p>
            <w:pPr>
              <w:pStyle w:val="Compact"/>
              <w:jc w:val="center"/>
            </w:pPr>
            <w:r>
              <w:t xml:space="preserve">Share of Creators</w:t>
            </w:r>
          </w:p>
        </w:tc>
        <w:tc>
          <w:tcPr/>
          <w:p>
            <w:pPr>
              <w:pStyle w:val="Compact"/>
              <w:jc w:val="center"/>
            </w:pPr>
            <w:r>
              <w:t xml:space="preserve">Share of Total Income</w:t>
            </w:r>
          </w:p>
        </w:tc>
        <w:tc>
          <w:tcPr/>
          <w:p>
            <w:pPr>
              <w:pStyle w:val="Compact"/>
              <w:jc w:val="center"/>
            </w:pPr>
            <w:r>
              <w:t xml:space="preserve">Median Annual Earnings</w:t>
            </w:r>
          </w:p>
        </w:tc>
        <w:tc>
          <w:tcPr/>
          <w:p>
            <w:pPr>
              <w:pStyle w:val="Compact"/>
              <w:jc w:val="center"/>
            </w:pPr>
            <w:r>
              <w:t xml:space="preserve">Trend</w:t>
            </w:r>
          </w:p>
        </w:tc>
      </w:tr>
      <w:tr>
        <w:tc>
          <w:tcPr/>
          <w:p>
            <w:pPr>
              <w:pStyle w:val="Compact"/>
              <w:jc w:val="center"/>
            </w:pPr>
            <w:r>
              <w:t xml:space="preserve">Top 1%</w:t>
            </w:r>
          </w:p>
        </w:tc>
        <w:tc>
          <w:tcPr/>
          <w:p>
            <w:pPr>
              <w:pStyle w:val="Compact"/>
              <w:jc w:val="center"/>
            </w:pPr>
            <w:r>
              <w:t xml:space="preserve">1%</w:t>
            </w:r>
          </w:p>
        </w:tc>
        <w:tc>
          <w:tcPr/>
          <w:p>
            <w:pPr>
              <w:pStyle w:val="Compact"/>
              <w:jc w:val="center"/>
            </w:pPr>
            <w:r>
              <w:t xml:space="preserve">21% (2025)</w:t>
            </w:r>
            <w:r>
              <w:t xml:space="preserve"> </w:t>
            </w:r>
            <w:fldSimple w:instr="NOTEREF _Ref_Footnote_14 \h \f">
              <w:r>
                <w:rPr>
                  <w:vertAlign w:val="superscript"/>
                </w:rPr>
                <w:t>14</w:t>
              </w:r>
            </w:fldSimple>
          </w:p>
        </w:tc>
        <w:tc>
          <w:tcPr/>
          <w:p>
            <w:pPr>
              <w:pStyle w:val="Compact"/>
              <w:jc w:val="center"/>
            </w:pPr>
            <w:r>
              <w:t xml:space="preserve">$500K+</w:t>
            </w:r>
          </w:p>
        </w:tc>
        <w:tc>
          <w:tcPr/>
          <w:p>
            <w:pPr>
              <w:pStyle w:val="Compact"/>
              <w:jc w:val="center"/>
            </w:pPr>
            <w:r>
              <w:t xml:space="preserve">↑ from 15% (2023)</w:t>
            </w:r>
          </w:p>
        </w:tc>
      </w:tr>
      <w:tr>
        <w:tc>
          <w:tcPr/>
          <w:p>
            <w:pPr>
              <w:pStyle w:val="Compact"/>
              <w:jc w:val="center"/>
            </w:pPr>
            <w:r>
              <w:t xml:space="preserve">Top 2–10%</w:t>
            </w:r>
          </w:p>
        </w:tc>
        <w:tc>
          <w:tcPr/>
          <w:p>
            <w:pPr>
              <w:pStyle w:val="Compact"/>
              <w:jc w:val="center"/>
            </w:pPr>
            <w:r>
              <w:t xml:space="preserve">9%</w:t>
            </w:r>
          </w:p>
        </w:tc>
        <w:tc>
          <w:tcPr/>
          <w:p>
            <w:pPr>
              <w:pStyle w:val="Compact"/>
              <w:jc w:val="center"/>
            </w:pPr>
            <w:r>
              <w:t xml:space="preserve">41%</w:t>
            </w:r>
            <w:r>
              <w:t xml:space="preserve"> </w:t>
            </w:r>
            <w:fldSimple w:instr="NOTEREF _Ref_Footnote_14 \h \f">
              <w:r>
                <w:rPr>
                  <w:vertAlign w:val="superscript"/>
                </w:rPr>
                <w:t>14</w:t>
              </w:r>
            </w:fldSimple>
          </w:p>
        </w:tc>
        <w:tc>
          <w:tcPr/>
          <w:p>
            <w:pPr>
              <w:pStyle w:val="Compact"/>
              <w:jc w:val="center"/>
            </w:pPr>
            <w:r>
              <w:t xml:space="preserve">$50K–$500K</w:t>
            </w:r>
          </w:p>
        </w:tc>
        <w:tc>
          <w:tcPr/>
          <w:p>
            <w:pPr>
              <w:pStyle w:val="Compact"/>
              <w:jc w:val="center"/>
            </w:pPr>
            <w:r>
              <w:t xml:space="preserve">Widening gap</w:t>
            </w:r>
          </w:p>
        </w:tc>
      </w:tr>
      <w:tr>
        <w:tc>
          <w:tcPr/>
          <w:p>
            <w:pPr>
              <w:pStyle w:val="Compact"/>
              <w:jc w:val="center"/>
            </w:pPr>
            <w:r>
              <w:t xml:space="preserve">“</w:t>
            </w:r>
            <w:r>
              <w:t xml:space="preserve">Middle class</w:t>
            </w:r>
            <w:r>
              <w:t xml:space="preserve">”</w:t>
            </w:r>
            <w:r>
              <w:t xml:space="preserve"> </w:t>
            </w:r>
            <w:r>
              <w:t xml:space="preserve">($10K–$100K)</w:t>
            </w:r>
          </w:p>
        </w:tc>
        <w:tc>
          <w:tcPr/>
          <w:p>
            <w:pPr>
              <w:pStyle w:val="Compact"/>
              <w:jc w:val="center"/>
            </w:pPr>
            <w:r>
              <w:t xml:space="preserve">45.6%</w:t>
            </w:r>
            <w:r>
              <w:t xml:space="preserve"> </w:t>
            </w:r>
            <w:r>
              <w:rPr>
                <w:vertAlign w:val="superscript"/>
              </w:rPr>
              <w:footnoteReference w:id="111"/>
            </w:r>
          </w:p>
        </w:tc>
        <w:tc>
          <w:tcPr/>
          <w:p>
            <w:pPr>
              <w:pStyle w:val="Compact"/>
              <w:jc w:val="center"/>
            </w:pPr>
            <w:r>
              <w:t xml:space="preserve">~37%</w:t>
            </w:r>
          </w:p>
        </w:tc>
        <w:tc>
          <w:tcPr/>
          <w:p>
            <w:pPr>
              <w:pStyle w:val="Compact"/>
              <w:jc w:val="center"/>
            </w:pPr>
            <w:r>
              <w:t xml:space="preserve">$10K–$100K</w:t>
            </w:r>
          </w:p>
        </w:tc>
        <w:tc>
          <w:tcPr/>
          <w:p>
            <w:pPr>
              <w:pStyle w:val="Compact"/>
              <w:jc w:val="center"/>
            </w:pPr>
            <w:r>
              <w:t xml:space="preserve">Emerging but fragile</w:t>
            </w:r>
          </w:p>
        </w:tc>
      </w:tr>
      <w:tr>
        <w:tc>
          <w:tcPr/>
          <w:p>
            <w:pPr>
              <w:pStyle w:val="Compact"/>
              <w:jc w:val="center"/>
            </w:pPr>
            <w:r>
              <w:t xml:space="preserve">Under $10K/year</w:t>
            </w:r>
          </w:p>
        </w:tc>
        <w:tc>
          <w:tcPr/>
          <w:p>
            <w:pPr>
              <w:pStyle w:val="Compact"/>
              <w:jc w:val="center"/>
            </w:pPr>
            <w:r>
              <w:t xml:space="preserve">48.7%</w:t>
            </w:r>
            <w:r>
              <w:t xml:space="preserve"> </w:t>
            </w:r>
            <w:fldSimple w:instr="NOTEREF _Ref_Footnote_111 \h \f">
              <w:r>
                <w:rPr>
                  <w:vertAlign w:val="superscript"/>
                </w:rPr>
                <w:t>111</w:t>
              </w:r>
            </w:fldSimple>
          </w:p>
        </w:tc>
        <w:tc>
          <w:tcPr/>
          <w:p>
            <w:pPr>
              <w:pStyle w:val="Compact"/>
              <w:jc w:val="center"/>
            </w:pPr>
            <w:r>
              <w:t xml:space="preserve">&lt;1%</w:t>
            </w:r>
            <w:r>
              <w:t xml:space="preserve"> </w:t>
            </w:r>
            <w:fldSimple w:instr="NOTEREF _Ref_Footnote_10 \h \f">
              <w:r>
                <w:rPr>
                  <w:vertAlign w:val="superscript"/>
                </w:rPr>
                <w:t>10</w:t>
              </w:r>
            </w:fldSimple>
          </w:p>
        </w:tc>
        <w:tc>
          <w:tcPr/>
          <w:p>
            <w:pPr>
              <w:pStyle w:val="Compact"/>
              <w:jc w:val="center"/>
            </w:pPr>
            <w:r>
              <w:t xml:space="preserve">$3,000 median</w:t>
            </w:r>
            <w:r>
              <w:t xml:space="preserve"> </w:t>
            </w:r>
            <w:fldSimple w:instr="NOTEREF _Ref_Footnote_13 \h \f">
              <w:r>
                <w:rPr>
                  <w:vertAlign w:val="superscript"/>
                </w:rPr>
                <w:t>13</w:t>
              </w:r>
            </w:fldSimple>
          </w:p>
        </w:tc>
        <w:tc>
          <w:tcPr/>
          <w:p>
            <w:pPr>
              <w:pStyle w:val="Compact"/>
              <w:jc w:val="center"/>
            </w:pPr>
            <w:r>
              <w:t xml:space="preserve">↑ from 48% (2023)</w:t>
            </w:r>
          </w:p>
        </w:tc>
      </w:tr>
      <w:tr>
        <w:tc>
          <w:tcPr/>
          <w:p>
            <w:pPr>
              <w:pStyle w:val="Compact"/>
              <w:jc w:val="center"/>
            </w:pPr>
            <w:r>
              <w:t xml:space="preserve">Full-time, below living wage</w:t>
            </w:r>
          </w:p>
        </w:tc>
        <w:tc>
          <w:tcPr/>
          <w:p>
            <w:pPr>
              <w:pStyle w:val="Compact"/>
              <w:jc w:val="center"/>
            </w:pPr>
            <w:r>
              <w:t xml:space="preserve">57% of full-timers</w:t>
            </w:r>
            <w:r>
              <w:t xml:space="preserve"> </w:t>
            </w:r>
            <w:fldSimple w:instr="NOTEREF _Ref_Footnote_111 \h \f">
              <w:r>
                <w:rPr>
                  <w:vertAlign w:val="superscript"/>
                </w:rPr>
                <w:t>111</w:t>
              </w:r>
            </w:fldSimple>
          </w:p>
        </w:tc>
        <w:tc>
          <w:tcPr/>
          <w:p>
            <w:pPr>
              <w:pStyle w:val="Compact"/>
              <w:jc w:val="center"/>
            </w:pPr>
            <w:r>
              <w:t xml:space="preserve">—</w:t>
            </w:r>
          </w:p>
        </w:tc>
        <w:tc>
          <w:tcPr/>
          <w:p>
            <w:pPr>
              <w:pStyle w:val="Compact"/>
              <w:jc w:val="center"/>
            </w:pPr>
            <w:r>
              <w:t xml:space="preserve">&lt;$44,000</w:t>
            </w:r>
          </w:p>
        </w:tc>
        <w:tc>
          <w:tcPr/>
          <w:p>
            <w:pPr>
              <w:pStyle w:val="Compact"/>
              <w:jc w:val="center"/>
            </w:pPr>
            <w:r>
              <w:t xml:space="preserve">Persistent</w:t>
            </w:r>
          </w:p>
        </w:tc>
      </w:tr>
    </w:tbl>
    <w:p>
      <w:pPr>
        <w:pStyle w:val="BodyText"/>
      </w:pPr>
      <w:r>
        <w:rPr>
          <w:bCs/>
          <w:b/>
        </w:rPr>
        <w:t xml:space="preserve">Table 1: Creator Income Distribution by Tier (2025)</w:t>
      </w:r>
      <w:r>
        <w:t xml:space="preserve"> </w:t>
      </w:r>
      <w:r>
        <w:rPr>
          <w:iCs/>
          <w:i/>
        </w:rPr>
        <w:t xml:space="preserve">Sources: CreatorIQ, Influencer Marketing Factory, ShortsIntel.</w:t>
      </w:r>
    </w:p>
    <w:p>
      <w:pPr>
        <w:pStyle w:val="BodyText"/>
      </w:pPr>
      <w:r>
        <w:t xml:space="preserve">The table reveals what analysts have started calling an emerging</w:t>
      </w:r>
      <w:r>
        <w:t xml:space="preserve"> </w:t>
      </w:r>
      <w:r>
        <w:t xml:space="preserve">“</w:t>
      </w:r>
      <w:r>
        <w:t xml:space="preserve">creator middle class</w:t>
      </w:r>
      <w:r>
        <w:t xml:space="preserve">”</w:t>
      </w:r>
      <w:r>
        <w:t xml:space="preserve"> </w:t>
      </w:r>
      <w:r>
        <w:t xml:space="preserve">— 45.6% of creators earning between $10,000 and $100,000 annually</w:t>
      </w:r>
      <w:r>
        <w:t xml:space="preserve"> </w:t>
      </w:r>
      <w:fldSimple w:instr="NOTEREF _Ref_Footnote_38 \h \f">
        <w:r>
          <w:rPr>
            <w:vertAlign w:val="superscript"/>
          </w:rPr>
          <w:t>38</w:t>
        </w:r>
      </w:fldSimple>
      <w:r>
        <w:t xml:space="preserve"> </w:t>
      </w:r>
      <w:fldSimple w:instr="NOTEREF _Ref_Footnote_111 \h \f">
        <w:r>
          <w:rPr>
            <w:vertAlign w:val="superscript"/>
          </w:rPr>
          <w:t>111</w:t>
        </w:r>
      </w:fldSimple>
      <w:r>
        <w:t xml:space="preserve">. The label is aspirational as much as descriptive. A creator earning $12,000 per year occupies the same statistical bracket as one earning $95,000, yet their economic realities differ radically. Moreover, 57% of full-time creators — those who dedicate their working hours exclusively to content creation — still earn below the estimated $44,000 U.S. living wage</w:t>
      </w:r>
      <w:r>
        <w:t xml:space="preserve"> </w:t>
      </w:r>
      <w:fldSimple w:instr="NOTEREF _Ref_Footnote_111 \h \f">
        <w:r>
          <w:rPr>
            <w:vertAlign w:val="superscript"/>
          </w:rPr>
          <w:t>111</w:t>
        </w:r>
      </w:fldSimple>
      <w:r>
        <w:t xml:space="preserve">. Nearly half of all creators (46.7%) identify as full-time, but that identity masks financial precarity: 50% of all creators earn under $15,000 per year, up from 48% in 2023, and 73% earn below $30,000 annually</w:t>
      </w:r>
      <w:r>
        <w:t xml:space="preserve"> </w:t>
      </w:r>
      <w:r>
        <w:rPr>
          <w:vertAlign w:val="superscript"/>
        </w:rPr>
        <w:footnoteReference w:id="112"/>
      </w:r>
      <w:r>
        <w:t xml:space="preserve"> </w:t>
      </w:r>
      <w:fldSimple w:instr="NOTEREF _Ref_Footnote_111 \h \f">
        <w:r>
          <w:rPr>
            <w:vertAlign w:val="superscript"/>
          </w:rPr>
          <w:t>111</w:t>
        </w:r>
      </w:fldSimple>
      <w:r>
        <w:t xml:space="preserve">. Only 4–5.7% of creators cross the $100,000 threshold</w:t>
      </w:r>
      <w:r>
        <w:t xml:space="preserve"> </w:t>
      </w:r>
      <w:fldSimple w:instr="NOTEREF _Ref_Footnote_112 \h \f">
        <w:r>
          <w:rPr>
            <w:vertAlign w:val="superscript"/>
          </w:rPr>
          <w:t>112</w:t>
        </w:r>
      </w:fldSimple>
      <w:r>
        <w:t xml:space="preserve"> </w:t>
      </w:r>
      <w:fldSimple w:instr="NOTEREF _Ref_Footnote_111 \h \f">
        <w:r>
          <w:rPr>
            <w:vertAlign w:val="superscript"/>
          </w:rPr>
          <w:t>111</w:t>
        </w:r>
      </w:fldSimple>
      <w:r>
        <w:t xml:space="preserve">.</w:t>
      </w:r>
    </w:p>
    <w:p>
      <w:pPr>
        <w:pStyle w:val="BodyText"/>
      </w:pPr>
      <w:r>
        <w:t xml:space="preserve">The supply-side pressure intensifies daily. U.S. full-time</w:t>
      </w:r>
      <w:r>
        <w:t xml:space="preserve"> </w:t>
      </w:r>
      <w:r>
        <w:t xml:space="preserve">“</w:t>
      </w:r>
      <w:r>
        <w:t xml:space="preserve">digital creator</w:t>
      </w:r>
      <w:r>
        <w:t xml:space="preserve">”</w:t>
      </w:r>
      <w:r>
        <w:t xml:space="preserve"> </w:t>
      </w:r>
      <w:r>
        <w:t xml:space="preserve">jobs grew from 200,000 in 2020 to 1.5 million in 2024 — a 7.5x expansion in four years</w:t>
      </w:r>
      <w:r>
        <w:t xml:space="preserve"> </w:t>
      </w:r>
      <w:fldSimple w:instr="NOTEREF _Ref_Footnote_109 \h \f">
        <w:r>
          <w:rPr>
            <w:vertAlign w:val="superscript"/>
          </w:rPr>
          <w:t>109</w:t>
        </w:r>
      </w:fldSimple>
      <w:r>
        <w:t xml:space="preserve">. That influx of professionalized labor is chasing a finite pool of brand budgets and platform payouts. The professionalization trend extends beyond headcount: 62% of creators now work with operational support — teams, freelancers, or agencies — operating more like structured businesses than individual contractors</w:t>
      </w:r>
      <w:r>
        <w:t xml:space="preserve"> </w:t>
      </w:r>
      <w:r>
        <w:rPr>
          <w:vertAlign w:val="superscript"/>
        </w:rPr>
        <w:footnoteReference w:id="113"/>
      </w:r>
      <w:r>
        <w:t xml:space="preserve">. Merger and acquisition (M&amp;A) activity in the creator economy rose 73% year-over-year in the first half of 2025, with 52 deals completed compared to 30 in the same period of 2024</w:t>
      </w:r>
      <w:r>
        <w:t xml:space="preserve"> </w:t>
      </w:r>
      <w:r>
        <w:rPr>
          <w:vertAlign w:val="superscript"/>
        </w:rPr>
        <w:footnoteReference w:id="114"/>
      </w:r>
      <w:r>
        <w:t xml:space="preserve">. The market is maturing, consolidating, and raising the competitive bar — all while median income falls.</w:t>
      </w:r>
    </w:p>
    <w:p>
      <w:pPr>
        <w:pStyle w:val="BodyText"/>
      </w:pPr>
      <w:r>
        <w:drawing>
          <wp:inline>
            <wp:extent cx="5334000" cy="2073997"/>
            <wp:effectExtent b="0" l="0" r="0" t="0"/>
            <wp:docPr descr="Creator Income Distribution" title="" id="43" name="Picture"/>
            <a:graphic>
              <a:graphicData uri="http://schemas.openxmlformats.org/drawingml/2006/picture">
                <pic:pic>
                  <pic:nvPicPr>
                    <pic:cNvPr descr="creator_income_distribution.png" id="44" name="Picture"/>
                    <pic:cNvPicPr>
                      <a:picLocks noChangeArrowheads="1" noChangeAspect="1"/>
                    </pic:cNvPicPr>
                  </pic:nvPicPr>
                  <pic:blipFill>
                    <a:blip r:embed="rId42"/>
                    <a:stretch>
                      <a:fillRect/>
                    </a:stretch>
                  </pic:blipFill>
                  <pic:spPr bwMode="auto">
                    <a:xfrm>
                      <a:off x="0" y="0"/>
                      <a:ext cx="5334000" cy="2073997"/>
                    </a:xfrm>
                    <a:prstGeom prst="rect">
                      <a:avLst/>
                    </a:prstGeom>
                    <a:noFill/>
                    <a:ln w="9525">
                      <a:noFill/>
                      <a:headEnd/>
                      <a:tailEnd/>
                    </a:ln>
                  </pic:spPr>
                </pic:pic>
              </a:graphicData>
            </a:graphic>
          </wp:inline>
        </w:drawing>
      </w:r>
      <w:r>
        <w:t xml:space="preserve"> </w:t>
      </w:r>
      <w:r>
        <w:rPr>
          <w:bCs/>
          <w:b/>
        </w:rPr>
        <w:t xml:space="preserve">Figure 3.1:</w:t>
      </w:r>
      <w:r>
        <w:t xml:space="preserve"> </w:t>
      </w:r>
      <w:r>
        <w:t xml:space="preserve">Left panel: distribution of creators across income tiers. Right panel: Lorenz curve showing that the bottom 50% of creators earn approximately 1% of total creator income, while the top 10% capture 62%.</w:t>
      </w:r>
      <w:r>
        <w:t xml:space="preserve"> </w:t>
      </w:r>
      <w:r>
        <w:rPr>
          <w:iCs/>
          <w:i/>
        </w:rPr>
        <w:t xml:space="preserve">Sources: Influencer Marketing Factory 2026, CreatorIQ 2025.</w:t>
      </w:r>
    </w:p>
    <w:p>
      <w:pPr>
        <w:pStyle w:val="BodyText"/>
      </w:pPr>
      <w:r>
        <w:t xml:space="preserve">The Lorenz curve in Figure 3.1 visualizes an inequality that exceeds even U.S. population-level wealth disparity. The Gini coefficient implied by CreatorIQ’s payment data — where the top 1% captured 21% of income and the bottom half captured roughly 1% — rivals the most concentrated economies in the world. On a Lorenz curve where perfect equality would trace a straight 45-degree line, the creator economy’s curve hugs the bottom axis for the first 90% of the population before shooting almost vertically to meet the top-right corner. That curvature translates to a Gini coefficient estimated at 0.85–0.90, comparable to the world’s most unequal national economies. This is not a sign of market failure in the conventional sense; it is the expected outcome of platform-mediated attention economies where algorithms amplify winners and marginalize everyone else. For the creator economy to deliver on its promise of democratized creative livelihoods, that structural dynamic must be addressed — not through redistribution from platforms, which have shown no appetite for it, but through revenue diversification that operates outside platform control.</w:t>
      </w:r>
    </w:p>
    <w:bookmarkEnd w:id="45"/>
    <w:bookmarkStart w:id="46" w:name="revenue-stream-concentration-risks"/>
    <w:p>
      <w:pPr>
        <w:pStyle w:val="Heading3"/>
      </w:pPr>
      <w:r>
        <w:t xml:space="preserve">3.2 Revenue Stream Concentration Risks</w:t>
      </w:r>
    </w:p>
    <w:p>
      <w:pPr>
        <w:pStyle w:val="FirstParagraph"/>
      </w:pPr>
      <w:r>
        <w:t xml:space="preserve">If the income distribution data reveals</w:t>
      </w:r>
      <w:r>
        <w:t xml:space="preserve"> </w:t>
      </w:r>
      <w:r>
        <w:rPr>
          <w:iCs/>
          <w:i/>
        </w:rPr>
        <w:t xml:space="preserve">who</w:t>
      </w:r>
      <w:r>
        <w:t xml:space="preserve"> </w:t>
      </w:r>
      <w:r>
        <w:t xml:space="preserve">is struggling, the revenue source data reveals</w:t>
      </w:r>
      <w:r>
        <w:t xml:space="preserve"> </w:t>
      </w:r>
      <w:r>
        <w:rPr>
          <w:iCs/>
          <w:i/>
        </w:rPr>
        <w:t xml:space="preserve">why</w:t>
      </w:r>
      <w:r>
        <w:t xml:space="preserve">. Approximately 68.8% of creators rely on brand deals — also known as brand sponsorships or influencer marketing partnerships — as their primary source of revenue</w:t>
      </w:r>
      <w:r>
        <w:t xml:space="preserve"> </w:t>
      </w:r>
      <w:r>
        <w:rPr>
          <w:vertAlign w:val="superscript"/>
        </w:rPr>
        <w:footnoteReference w:id="115"/>
      </w:r>
      <w:r>
        <w:t xml:space="preserve">. Brand sponsorships constituted the largest revenue model in the creator economy market, representing 31.5% of total market revenues in 2025, equivalent to approximately $59.7 billion</w:t>
      </w:r>
      <w:r>
        <w:t xml:space="preserve"> </w:t>
      </w:r>
      <w:fldSimple w:instr="NOTEREF _Ref_Footnote_40 \h \f">
        <w:r>
          <w:rPr>
            <w:vertAlign w:val="superscript"/>
          </w:rPr>
          <w:t>40</w:t>
        </w:r>
      </w:fldSimple>
      <w:r>
        <w:t xml:space="preserve">. Advertising — platform-distributed ad revenue shared with creators — accounted for 26.8%, and subscriptions represented 18.4%. Merchandise sales accounted for just 11.3%</w:t>
      </w:r>
      <w:r>
        <w:t xml:space="preserve"> </w:t>
      </w:r>
      <w:fldSimple w:instr="NOTEREF _Ref_Footnote_40 \h \f">
        <w:r>
          <w:rPr>
            <w:vertAlign w:val="superscript"/>
          </w:rPr>
          <w:t>40</w:t>
        </w:r>
      </w:fldSimple>
      <w:r>
        <w:t xml:space="preserve">.</w:t>
      </w:r>
    </w:p>
    <w:p>
      <w:pPr>
        <w:pStyle w:val="BodyText"/>
      </w:pPr>
      <w:r>
        <w:t xml:space="preserve">The dominance of brand deals would be unremarkable if those deals were stable, predictable, and accessible. They are none of those things. A 2026 survey by The Influencer Marketing Factory found that while ad revenue remains the top earning stream at 21.6% for creators, 44.9% of creators now value stability, consistency, and deeper brand alignment over one-off campaigns — a shift that reflects hard-won experience with volatile sponsorship income</w:t>
      </w:r>
      <w:r>
        <w:t xml:space="preserve"> </w:t>
      </w:r>
      <w:fldSimple w:instr="NOTEREF _Ref_Footnote_44 \h \f">
        <w:r>
          <w:rPr>
            <w:vertAlign w:val="superscript"/>
          </w:rPr>
          <w:t>44</w:t>
        </w:r>
      </w:fldSimple>
      <w:r>
        <w:t xml:space="preserve">. The Kajabi State of Creator Commerce 2025, which surveyed 1,717 creators, found that brand deals had declined 52% year-over-year for mid-tier creators</w:t>
      </w:r>
      <w:r>
        <w:t xml:space="preserve"> </w:t>
      </w:r>
      <w:fldSimple w:instr="NOTEREF _Ref_Footnote_15 \h \f">
        <w:r>
          <w:rPr>
            <w:vertAlign w:val="superscript"/>
          </w:rPr>
          <w:t>15</w:t>
        </w:r>
      </w:fldSimple>
      <w:r>
        <w:t xml:space="preserve">. Platform payouts dropped 33%, and affiliate marketing revenue fell 36%</w:t>
      </w:r>
      <w:r>
        <w:t xml:space="preserve"> </w:t>
      </w:r>
      <w:fldSimple w:instr="NOTEREF _Ref_Footnote_15 \h \f">
        <w:r>
          <w:rPr>
            <w:vertAlign w:val="superscript"/>
          </w:rPr>
          <w:t>15</w:t>
        </w:r>
      </w:fldSimple>
      <w:r>
        <w:t xml:space="preserve">. These are not gradual declines; they are cliffs.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Revenue Stream</w:t>
            </w:r>
          </w:p>
        </w:tc>
        <w:tc>
          <w:tcPr/>
          <w:p>
            <w:pPr>
              <w:pStyle w:val="Compact"/>
              <w:jc w:val="center"/>
            </w:pPr>
            <w:r>
              <w:t xml:space="preserve">Share of Creator Economy</w:t>
            </w:r>
          </w:p>
        </w:tc>
        <w:tc>
          <w:tcPr/>
          <w:p>
            <w:pPr>
              <w:pStyle w:val="Compact"/>
              <w:jc w:val="center"/>
            </w:pPr>
            <w:r>
              <w:t xml:space="preserve">Creator Dependency</w:t>
            </w:r>
          </w:p>
        </w:tc>
        <w:tc>
          <w:tcPr/>
          <w:p>
            <w:pPr>
              <w:pStyle w:val="Compact"/>
              <w:jc w:val="center"/>
            </w:pPr>
            <w:r>
              <w:t xml:space="preserve">YoY Trend (2024–2025)</w:t>
            </w:r>
          </w:p>
        </w:tc>
        <w:tc>
          <w:tcPr/>
          <w:p>
            <w:pPr>
              <w:pStyle w:val="Compact"/>
              <w:jc w:val="center"/>
            </w:pPr>
            <w:r>
              <w:t xml:space="preserve">Key Risk Factor</w:t>
            </w:r>
          </w:p>
        </w:tc>
      </w:tr>
      <w:tr>
        <w:tc>
          <w:tcPr/>
          <w:p>
            <w:pPr>
              <w:pStyle w:val="Compact"/>
              <w:jc w:val="center"/>
            </w:pPr>
            <w:r>
              <w:t xml:space="preserve">Brand sponsorships</w:t>
            </w:r>
          </w:p>
        </w:tc>
        <w:tc>
          <w:tcPr/>
          <w:p>
            <w:pPr>
              <w:pStyle w:val="Compact"/>
              <w:jc w:val="center"/>
            </w:pPr>
            <w:r>
              <w:t xml:space="preserve">31.5%</w:t>
            </w:r>
            <w:r>
              <w:t xml:space="preserve"> </w:t>
            </w:r>
            <w:fldSimple w:instr="NOTEREF _Ref_Footnote_40 \h \f">
              <w:r>
                <w:rPr>
                  <w:vertAlign w:val="superscript"/>
                </w:rPr>
                <w:t>40</w:t>
              </w:r>
            </w:fldSimple>
          </w:p>
        </w:tc>
        <w:tc>
          <w:tcPr/>
          <w:p>
            <w:pPr>
              <w:pStyle w:val="Compact"/>
              <w:jc w:val="center"/>
            </w:pPr>
            <w:r>
              <w:t xml:space="preserve">68.8% primary</w:t>
            </w:r>
            <w:r>
              <w:t xml:space="preserve"> </w:t>
            </w:r>
            <w:fldSimple w:instr="NOTEREF _Ref_Footnote_115 \h \f">
              <w:r>
                <w:rPr>
                  <w:vertAlign w:val="superscript"/>
                </w:rPr>
                <w:t>115</w:t>
              </w:r>
            </w:fldSimple>
          </w:p>
        </w:tc>
        <w:tc>
          <w:tcPr/>
          <w:p>
            <w:pPr>
              <w:pStyle w:val="Compact"/>
              <w:jc w:val="center"/>
            </w:pPr>
            <w:r>
              <w:t xml:space="preserve">Down 52%</w:t>
            </w:r>
            <w:r>
              <w:t xml:space="preserve"> </w:t>
            </w:r>
            <w:fldSimple w:instr="NOTEREF _Ref_Footnote_15 \h \f">
              <w:r>
                <w:rPr>
                  <w:vertAlign w:val="superscript"/>
                </w:rPr>
                <w:t>15</w:t>
              </w:r>
            </w:fldSimple>
          </w:p>
        </w:tc>
        <w:tc>
          <w:tcPr/>
          <w:p>
            <w:pPr>
              <w:pStyle w:val="Compact"/>
              <w:jc w:val="center"/>
            </w:pPr>
            <w:r>
              <w:t xml:space="preserve">Budget cuts, seasonality</w:t>
            </w:r>
          </w:p>
        </w:tc>
      </w:tr>
      <w:tr>
        <w:tc>
          <w:tcPr/>
          <w:p>
            <w:pPr>
              <w:pStyle w:val="Compact"/>
              <w:jc w:val="center"/>
            </w:pPr>
            <w:r>
              <w:t xml:space="preserve">Platform ad revenue</w:t>
            </w:r>
          </w:p>
        </w:tc>
        <w:tc>
          <w:tcPr/>
          <w:p>
            <w:pPr>
              <w:pStyle w:val="Compact"/>
              <w:jc w:val="center"/>
            </w:pPr>
            <w:r>
              <w:t xml:space="preserve">26.8%</w:t>
            </w:r>
            <w:r>
              <w:t xml:space="preserve"> </w:t>
            </w:r>
            <w:fldSimple w:instr="NOTEREF _Ref_Footnote_40 \h \f">
              <w:r>
                <w:rPr>
                  <w:vertAlign w:val="superscript"/>
                </w:rPr>
                <w:t>40</w:t>
              </w:r>
            </w:fldSimple>
          </w:p>
        </w:tc>
        <w:tc>
          <w:tcPr/>
          <w:p>
            <w:pPr>
              <w:pStyle w:val="Compact"/>
              <w:jc w:val="center"/>
            </w:pPr>
            <w:r>
              <w:t xml:space="preserve">24.4% income share</w:t>
            </w:r>
            <w:r>
              <w:t xml:space="preserve"> </w:t>
            </w:r>
            <w:r>
              <w:rPr>
                <w:vertAlign w:val="superscript"/>
              </w:rPr>
              <w:footnoteReference w:id="116"/>
            </w:r>
          </w:p>
        </w:tc>
        <w:tc>
          <w:tcPr/>
          <w:p>
            <w:pPr>
              <w:pStyle w:val="Compact"/>
              <w:jc w:val="center"/>
            </w:pPr>
            <w:r>
              <w:t xml:space="preserve">Down 33%</w:t>
            </w:r>
            <w:r>
              <w:t xml:space="preserve"> </w:t>
            </w:r>
            <w:fldSimple w:instr="NOTEREF _Ref_Footnote_15 \h \f">
              <w:r>
                <w:rPr>
                  <w:vertAlign w:val="superscript"/>
                </w:rPr>
                <w:t>15</w:t>
              </w:r>
            </w:fldSimple>
          </w:p>
        </w:tc>
        <w:tc>
          <w:tcPr/>
          <w:p>
            <w:pPr>
              <w:pStyle w:val="Compact"/>
              <w:jc w:val="center"/>
            </w:pPr>
            <w:r>
              <w:t xml:space="preserve">Algorithm changes</w:t>
            </w:r>
          </w:p>
        </w:tc>
      </w:tr>
      <w:tr>
        <w:tc>
          <w:tcPr/>
          <w:p>
            <w:pPr>
              <w:pStyle w:val="Compact"/>
              <w:jc w:val="center"/>
            </w:pPr>
            <w:r>
              <w:t xml:space="preserve">Subscriptions</w:t>
            </w:r>
          </w:p>
        </w:tc>
        <w:tc>
          <w:tcPr/>
          <w:p>
            <w:pPr>
              <w:pStyle w:val="Compact"/>
              <w:jc w:val="center"/>
            </w:pPr>
            <w:r>
              <w:t xml:space="preserve">18.4%</w:t>
            </w:r>
            <w:r>
              <w:t xml:space="preserve"> </w:t>
            </w:r>
            <w:fldSimple w:instr="NOTEREF _Ref_Footnote_40 \h \f">
              <w:r>
                <w:rPr>
                  <w:vertAlign w:val="superscript"/>
                </w:rPr>
                <w:t>40</w:t>
              </w:r>
            </w:fldSimple>
          </w:p>
        </w:tc>
        <w:tc>
          <w:tcPr/>
          <w:p>
            <w:pPr>
              <w:pStyle w:val="Compact"/>
              <w:jc w:val="center"/>
            </w:pPr>
            <w:r>
              <w:t xml:space="preserve">Growing</w:t>
            </w:r>
          </w:p>
        </w:tc>
        <w:tc>
          <w:tcPr/>
          <w:p>
            <w:pPr>
              <w:pStyle w:val="Compact"/>
              <w:jc w:val="center"/>
            </w:pPr>
            <w:r>
              <w:t xml:space="preserve">+10%</w:t>
            </w:r>
            <w:r>
              <w:t xml:space="preserve"> </w:t>
            </w:r>
            <w:fldSimple w:instr="NOTEREF _Ref_Footnote_43 \h \f">
              <w:r>
                <w:rPr>
                  <w:vertAlign w:val="superscript"/>
                </w:rPr>
                <w:t>43</w:t>
              </w:r>
            </w:fldSimple>
          </w:p>
        </w:tc>
        <w:tc>
          <w:tcPr/>
          <w:p>
            <w:pPr>
              <w:pStyle w:val="Compact"/>
              <w:jc w:val="center"/>
            </w:pPr>
            <w:r>
              <w:t xml:space="preserve">Churn, platform fees</w:t>
            </w:r>
          </w:p>
        </w:tc>
      </w:tr>
      <w:tr>
        <w:tc>
          <w:tcPr/>
          <w:p>
            <w:pPr>
              <w:pStyle w:val="Compact"/>
              <w:jc w:val="center"/>
            </w:pPr>
            <w:r>
              <w:t xml:space="preserve">Merchandise</w:t>
            </w:r>
          </w:p>
        </w:tc>
        <w:tc>
          <w:tcPr/>
          <w:p>
            <w:pPr>
              <w:pStyle w:val="Compact"/>
              <w:jc w:val="center"/>
            </w:pPr>
            <w:r>
              <w:t xml:space="preserve">11.3%</w:t>
            </w:r>
            <w:r>
              <w:t xml:space="preserve"> </w:t>
            </w:r>
            <w:fldSimple w:instr="NOTEREF _Ref_Footnote_40 \h \f">
              <w:r>
                <w:rPr>
                  <w:vertAlign w:val="superscript"/>
                </w:rPr>
                <w:t>40</w:t>
              </w:r>
            </w:fldSimple>
          </w:p>
        </w:tc>
        <w:tc>
          <w:tcPr/>
          <w:p>
            <w:pPr>
              <w:pStyle w:val="Compact"/>
              <w:jc w:val="center"/>
            </w:pPr>
            <w:r>
              <w:t xml:space="preserve">15% of creators</w:t>
            </w:r>
            <w:r>
              <w:t xml:space="preserve"> </w:t>
            </w:r>
            <w:fldSimple w:instr="NOTEREF _Ref_Footnote_115 \h \f">
              <w:r>
                <w:rPr>
                  <w:vertAlign w:val="superscript"/>
                </w:rPr>
                <w:t>115</w:t>
              </w:r>
            </w:fldSimple>
          </w:p>
        </w:tc>
        <w:tc>
          <w:tcPr/>
          <w:p>
            <w:pPr>
              <w:pStyle w:val="Compact"/>
              <w:jc w:val="center"/>
            </w:pPr>
            <w:r>
              <w:t xml:space="preserve">+4%</w:t>
            </w:r>
            <w:r>
              <w:t xml:space="preserve"> </w:t>
            </w:r>
            <w:fldSimple w:instr="NOTEREF _Ref_Footnote_111 \h \f">
              <w:r>
                <w:rPr>
                  <w:vertAlign w:val="superscript"/>
                </w:rPr>
                <w:t>111</w:t>
              </w:r>
            </w:fldSimple>
          </w:p>
        </w:tc>
        <w:tc>
          <w:tcPr/>
          <w:p>
            <w:pPr>
              <w:pStyle w:val="Compact"/>
              <w:jc w:val="center"/>
            </w:pPr>
            <w:r>
              <w:t xml:space="preserve">Low adoption</w:t>
            </w:r>
          </w:p>
        </w:tc>
      </w:tr>
      <w:tr>
        <w:tc>
          <w:tcPr/>
          <w:p>
            <w:pPr>
              <w:pStyle w:val="Compact"/>
              <w:jc w:val="center"/>
            </w:pPr>
            <w:r>
              <w:t xml:space="preserve">Affiliate marketing</w:t>
            </w:r>
          </w:p>
        </w:tc>
        <w:tc>
          <w:tcPr/>
          <w:p>
            <w:pPr>
              <w:pStyle w:val="Compact"/>
              <w:jc w:val="center"/>
            </w:pPr>
            <w:r>
              <w:t xml:space="preserve">4.8%</w:t>
            </w:r>
            <w:r>
              <w:t xml:space="preserve"> </w:t>
            </w:r>
            <w:fldSimple w:instr="NOTEREF _Ref_Footnote_40 \h \f">
              <w:r>
                <w:rPr>
                  <w:vertAlign w:val="superscript"/>
                </w:rPr>
                <w:t>40</w:t>
              </w:r>
            </w:fldSimple>
          </w:p>
        </w:tc>
        <w:tc>
          <w:tcPr/>
          <w:p>
            <w:pPr>
              <w:pStyle w:val="Compact"/>
              <w:jc w:val="center"/>
            </w:pPr>
            <w:r>
              <w:t xml:space="preserve">56% participate</w:t>
            </w:r>
            <w:r>
              <w:t xml:space="preserve"> </w:t>
            </w:r>
            <w:fldSimple w:instr="NOTEREF _Ref_Footnote_115 \h \f">
              <w:r>
                <w:rPr>
                  <w:vertAlign w:val="superscript"/>
                </w:rPr>
                <w:t>115</w:t>
              </w:r>
            </w:fldSimple>
          </w:p>
        </w:tc>
        <w:tc>
          <w:tcPr/>
          <w:p>
            <w:pPr>
              <w:pStyle w:val="Compact"/>
              <w:jc w:val="center"/>
            </w:pPr>
            <w:r>
              <w:t xml:space="preserve">Down 36%</w:t>
            </w:r>
            <w:r>
              <w:t xml:space="preserve"> </w:t>
            </w:r>
            <w:fldSimple w:instr="NOTEREF _Ref_Footnote_15 \h \f">
              <w:r>
                <w:rPr>
                  <w:vertAlign w:val="superscript"/>
                </w:rPr>
                <w:t>15</w:t>
              </w:r>
            </w:fldSimple>
          </w:p>
        </w:tc>
        <w:tc>
          <w:tcPr/>
          <w:p>
            <w:pPr>
              <w:pStyle w:val="Compact"/>
              <w:jc w:val="center"/>
            </w:pPr>
            <w:r>
              <w:t xml:space="preserve">Commission cuts</w:t>
            </w:r>
          </w:p>
        </w:tc>
      </w:tr>
      <w:tr>
        <w:tc>
          <w:tcPr/>
          <w:p>
            <w:pPr>
              <w:pStyle w:val="Compact"/>
              <w:jc w:val="center"/>
            </w:pPr>
            <w:r>
              <w:t xml:space="preserve">Other</w:t>
            </w:r>
          </w:p>
        </w:tc>
        <w:tc>
          <w:tcPr/>
          <w:p>
            <w:pPr>
              <w:pStyle w:val="Compact"/>
              <w:jc w:val="center"/>
            </w:pPr>
            <w:r>
              <w:t xml:space="preserve">7.2%</w:t>
            </w:r>
            <w:r>
              <w:t xml:space="preserve"> </w:t>
            </w:r>
            <w:fldSimple w:instr="NOTEREF _Ref_Footnote_40 \h \f">
              <w:r>
                <w:rPr>
                  <w:vertAlign w:val="superscript"/>
                </w:rPr>
                <w:t>40</w:t>
              </w:r>
            </w:fldSimple>
          </w:p>
        </w:tc>
        <w:tc>
          <w:tcPr/>
          <w:p>
            <w:pPr>
              <w:pStyle w:val="Compact"/>
              <w:jc w:val="center"/>
            </w:pPr>
            <w:r>
              <w:t xml:space="preserve">Varies</w:t>
            </w:r>
          </w:p>
        </w:tc>
        <w:tc>
          <w:tcPr/>
          <w:p>
            <w:pPr>
              <w:pStyle w:val="Compact"/>
              <w:jc w:val="center"/>
            </w:pPr>
            <w:r>
              <w:t xml:space="preserve">Mixed</w:t>
            </w:r>
          </w:p>
        </w:tc>
        <w:tc>
          <w:tcPr/>
          <w:p>
            <w:pPr>
              <w:pStyle w:val="Compact"/>
              <w:jc w:val="center"/>
            </w:pPr>
            <w:r>
              <w:t xml:space="preserve">—</w:t>
            </w:r>
          </w:p>
        </w:tc>
      </w:tr>
    </w:tbl>
    <w:p>
      <w:pPr>
        <w:pStyle w:val="BodyText"/>
      </w:pPr>
      <w:r>
        <w:rPr>
          <w:bCs/>
          <w:b/>
        </w:rPr>
        <w:t xml:space="preserve">Table 2: Creator Revenue Streams — Market Share, Dependency, and Volatility (2025)</w:t>
      </w:r>
      <w:r>
        <w:t xml:space="preserve"> </w:t>
      </w:r>
      <w:r>
        <w:rPr>
          <w:iCs/>
          <w:i/>
        </w:rPr>
        <w:t xml:space="preserve">Sources: Dataintelo, Exploding Topics, Kajabi, SQ Magazine.</w:t>
      </w:r>
    </w:p>
    <w:p>
      <w:pPr>
        <w:pStyle w:val="BodyText"/>
      </w:pPr>
      <w:r>
        <w:t xml:space="preserve">Table 2 exposes the single-point-of-failure problem. When seven in ten creators depend on brand deals as their main income source, and those deals contract by 52% in a single year, the middle of the creator market experiences something closer to mass unemployment than a gentle correction. The decline is not uniform: macro-influencers with millions of followers maintain negotiating power, while mid-tier creators (10,000–500,000 followers) face the steepest cuts as brands consolidate spend around fewer, larger partnerships. Micro-influencers (10,000–100,000 followers) have fared somewhat better, delivering 20% higher conversion rates than macro influencers at roughly $0.20 per engagement versus $0.33 for macro creators</w:t>
      </w:r>
      <w:r>
        <w:t xml:space="preserve"> </w:t>
      </w:r>
      <w:r>
        <w:rPr>
          <w:vertAlign w:val="superscript"/>
        </w:rPr>
        <w:footnoteReference w:id="117"/>
      </w:r>
      <w:r>
        <w:t xml:space="preserve">. But even that efficiency advantage cannot fully offset a 52% contraction in deal flow.</w:t>
      </w:r>
    </w:p>
    <w:p>
      <w:pPr>
        <w:pStyle w:val="BodyText"/>
      </w:pPr>
      <w:r>
        <w:t xml:space="preserve">Platform payouts compound the fragility. YouTube has paid $100 billion to creators over the past four years (2021–2025), an impressive headline figure that obscures the distribution underneath</w:t>
      </w:r>
      <w:r>
        <w:t xml:space="preserve"> </w:t>
      </w:r>
      <w:r>
        <w:rPr>
          <w:vertAlign w:val="superscript"/>
        </w:rPr>
        <w:footnoteReference w:id="118"/>
      </w:r>
      <w:r>
        <w:t xml:space="preserve">. YouTube Shopping now includes over 500,000 creators, but the per-creator average is modest</w:t>
      </w:r>
      <w:r>
        <w:t xml:space="preserve"> </w:t>
      </w:r>
      <w:r>
        <w:rPr>
          <w:vertAlign w:val="superscript"/>
        </w:rPr>
        <w:footnoteReference w:id="119"/>
      </w:r>
      <w:r>
        <w:t xml:space="preserve">. For creators dependent on YouTube AdSense, a channel with 50,000 monthly views might earn only $13–$200 from advertising — less than many creators make from a single merchandise drop</w:t>
      </w:r>
      <w:r>
        <w:t xml:space="preserve"> </w:t>
      </w:r>
      <w:r>
        <w:rPr>
          <w:vertAlign w:val="superscript"/>
        </w:rPr>
        <w:footnoteReference w:id="120"/>
      </w:r>
      <w:r>
        <w:t xml:space="preserve">. TikTok Shop’s U.S. gross merchandise value (GMV) reached $15.1 billion in 2025, growing 68% year-over-year, with over 16,000 creators generating six figures in sales</w:t>
      </w:r>
      <w:r>
        <w:t xml:space="preserve"> </w:t>
      </w:r>
      <w:r>
        <w:rPr>
          <w:vertAlign w:val="superscript"/>
        </w:rPr>
        <w:footnoteReference w:id="121"/>
      </w:r>
      <w:r>
        <w:t xml:space="preserve"> </w:t>
      </w:r>
      <w:r>
        <w:rPr>
          <w:vertAlign w:val="superscript"/>
        </w:rPr>
        <w:footnoteReference w:id="122"/>
      </w:r>
      <w:r>
        <w:t xml:space="preserve">. Yet TikTok Shop counted 15.4 million influencers and 803,500 stores in the U.S. in 2025 — of which more than half recorded zero sales, while only 2,000+ stores (0.25%) exceeded $1 million in GMV</w:t>
      </w:r>
      <w:r>
        <w:t xml:space="preserve"> </w:t>
      </w:r>
      <w:r>
        <w:rPr>
          <w:vertAlign w:val="superscript"/>
        </w:rPr>
        <w:footnoteReference w:id="123"/>
      </w:r>
      <w:r>
        <w:t xml:space="preserve">. The platform giveth, but it giveth selectively.</w:t>
      </w:r>
    </w:p>
    <w:p>
      <w:pPr>
        <w:pStyle w:val="BodyText"/>
      </w:pPr>
      <w:r>
        <w:t xml:space="preserve">Income volatility adds another layer of instability. A Q1 2026 survey by the Creator Economy Research Institute found that 68% of creators report month-to-month income swings of 30% or more, and 58% report anxiety specifically related to algorithm changes and platform volatility</w:t>
      </w:r>
      <w:r>
        <w:t xml:space="preserve"> </w:t>
      </w:r>
      <w:fldSimple w:instr="NOTEREF _Ref_Footnote_30 \h \f">
        <w:r>
          <w:rPr>
            <w:vertAlign w:val="superscript"/>
          </w:rPr>
          <w:t>30</w:t>
        </w:r>
      </w:fldSimple>
      <w:r>
        <w:t xml:space="preserve">. Even full-time creators earning $50,000 or more experience these fluctuations. The cause is structural: when 72% of streams and views come from platform-generated recommendations rather than direct audience seeking, creators are at the mercy of opaque algorithmic systems they do not control and cannot predict</w:t>
      </w:r>
      <w:r>
        <w:t xml:space="preserve"> </w:t>
      </w:r>
      <w:fldSimple w:instr="NOTEREF _Ref_Footnote_16 \h \f">
        <w:r>
          <w:rPr>
            <w:vertAlign w:val="superscript"/>
          </w:rPr>
          <w:t>16</w:t>
        </w:r>
      </w:fldSimple>
      <w:r>
        <w:t xml:space="preserve">. An algorithm update in 2024 caused a 30% drop in organic engagement for retail brands within three months, and creators report similar or worse volatility on their personal accounts</w:t>
      </w:r>
      <w:r>
        <w:t xml:space="preserve"> </w:t>
      </w:r>
      <w:fldSimple w:instr="NOTEREF _Ref_Footnote_16 \h \f">
        <w:r>
          <w:rPr>
            <w:vertAlign w:val="superscript"/>
          </w:rPr>
          <w:t>16</w:t>
        </w:r>
      </w:fldSimple>
      <w:r>
        <w:t xml:space="preserve">. The combination of declining per-creator payouts, algorithmic unpredictability, and the ever-present risk of platform-level disruption makes single-stream dependency a genuinely existential risk.</w:t>
      </w:r>
    </w:p>
    <w:p>
      <w:pPr>
        <w:pStyle w:val="BodyText"/>
      </w:pPr>
      <w:r>
        <w:t xml:space="preserve">The existential risk, however, is not declining payouts — it is platform disappearance. A comprehensive 2026 survey found that 65% of creators worry that platform bans would negatively impact their income, and 42% of creators would lose $50,000 or more annually if YouTube disappeared</w:t>
      </w:r>
      <w:r>
        <w:t xml:space="preserve"> </w:t>
      </w:r>
      <w:fldSimple w:instr="NOTEREF _Ref_Footnote_17 \h \f">
        <w:r>
          <w:rPr>
            <w:vertAlign w:val="superscript"/>
          </w:rPr>
          <w:t>17</w:t>
        </w:r>
      </w:fldSimple>
      <w:r>
        <w:t xml:space="preserve">. The anxiety is not theoretical. In January 2025, the U.S. Supreme Court upheld legislation that threatened to ban TikTok, putting $300 million per month in estimated creator income at risk for nearly 2 million U.S. creators — a figure cited by Blake Chandlee, TikTok’s president of global business solutions, in the platform’s legal filings</w:t>
      </w:r>
      <w:r>
        <w:t xml:space="preserve"> </w:t>
      </w:r>
      <w:fldSimple w:instr="NOTEREF _Ref_Footnote_19 \h \f">
        <w:r>
          <w:rPr>
            <w:vertAlign w:val="superscript"/>
          </w:rPr>
          <w:t>19</w:t>
        </w:r>
      </w:fldSimple>
      <w:r>
        <w:t xml:space="preserve">. Christopher Rudd, a creator with 716,000 TikTok followers, built his full-time income solely on the platform and faced the prospect of starting from zero on another service where his audience did not follow</w:t>
      </w:r>
      <w:r>
        <w:t xml:space="preserve"> </w:t>
      </w:r>
      <w:fldSimple w:instr="NOTEREF _Ref_Footnote_19 \h \f">
        <w:r>
          <w:rPr>
            <w:vertAlign w:val="superscript"/>
          </w:rPr>
          <w:t>19</w:t>
        </w:r>
      </w:fldSimple>
      <w:r>
        <w:t xml:space="preserve">. A 25-year-old creator named Diem Easton had been laid off from her marketing job in December 2024, leaving TikTok as her only source of income — then faced the platform’s potential ban weeks later, describing the experience as</w:t>
      </w:r>
      <w:r>
        <w:t xml:space="preserve"> </w:t>
      </w:r>
      <w:r>
        <w:t xml:space="preserve">“</w:t>
      </w:r>
      <w:r>
        <w:t xml:space="preserve">very similar to being laid off from a job</w:t>
      </w:r>
      <w:r>
        <w:t xml:space="preserve">”</w:t>
      </w:r>
      <w:r>
        <w:t xml:space="preserve"> </w:t>
      </w:r>
      <w:fldSimple w:instr="NOTEREF _Ref_Footnote_19 \h \f">
        <w:r>
          <w:rPr>
            <w:vertAlign w:val="superscript"/>
          </w:rPr>
          <w:t>19</w:t>
        </w:r>
      </w:fldSimple>
      <w:r>
        <w:t xml:space="preserve">. India’s 2020 TikTok ban provided a precedent: the platform’s top 100 Indian influencers collectively lost an estimated ₹120 crore ($14.4 million) in annual revenue overnight, and alternatives like Moj and Josh burned through millions in losses paying creators to migrate before ultimately failing</w:t>
      </w:r>
      <w:r>
        <w:t xml:space="preserve"> </w:t>
      </w:r>
      <w:fldSimple w:instr="NOTEREF _Ref_Footnote_18 \h \f">
        <w:r>
          <w:rPr>
            <w:vertAlign w:val="superscript"/>
          </w:rPr>
          <w:t>18</w:t>
        </w:r>
      </w:fldSimple>
      <w:r>
        <w:t xml:space="preserve">.</w:t>
      </w:r>
    </w:p>
    <w:p>
      <w:pPr>
        <w:pStyle w:val="BodyText"/>
      </w:pPr>
      <w:r>
        <w:t xml:space="preserve">The psychological toll of this instability is measurable. A 2025 study by Creators 4 Mental Health, surveyed by Forbes, found that 69% of creators experience financial instability, 62% report burnout, and 1 in 10 report suicidal thoughts related to work — nearly double the national average</w:t>
      </w:r>
      <w:r>
        <w:t xml:space="preserve"> </w:t>
      </w:r>
      <w:r>
        <w:rPr>
          <w:vertAlign w:val="superscript"/>
        </w:rPr>
        <w:footnoteReference w:id="124"/>
      </w:r>
      <w:r>
        <w:t xml:space="preserve">. Newsletter creators report the lowest burnout rate at 48%, while TikTok creators report the highest at 68% — a pattern that directly maps onto the difference between owned-audience formats and algorithm-dependent platforms</w:t>
      </w:r>
      <w:r>
        <w:t xml:space="preserve"> </w:t>
      </w:r>
      <w:fldSimple w:instr="NOTEREF _Ref_Footnote_30 \h \f">
        <w:r>
          <w:rPr>
            <w:vertAlign w:val="superscript"/>
          </w:rPr>
          <w:t>30</w:t>
        </w:r>
      </w:fldSimple>
      <w:r>
        <w:t xml:space="preserve">. The data is unambiguous: platform dependency is not merely an economic risk; it is a public health crisis for the creative workforce.</w:t>
      </w:r>
    </w:p>
    <w:bookmarkEnd w:id="46"/>
    <w:bookmarkStart w:id="47" w:name="the-need-for-revenue-diversification"/>
    <w:p>
      <w:pPr>
        <w:pStyle w:val="Heading3"/>
      </w:pPr>
      <w:r>
        <w:t xml:space="preserve">3.3 The Need for Revenue Diversification</w:t>
      </w:r>
    </w:p>
    <w:p>
      <w:pPr>
        <w:pStyle w:val="FirstParagraph"/>
      </w:pPr>
      <w:r>
        <w:t xml:space="preserve">The creators who survive — and thrive — are those who treat platform dependency as a problem to be engineered around, not a condition to be accepted. The evidence for diversification as the strongest predictor of creator financial success is overwhelming. Creators operating three or more revenue streams in 2025 earned $75,000 more on average than those relying on a single source</w:t>
      </w:r>
      <w:r>
        <w:t xml:space="preserve"> </w:t>
      </w:r>
      <w:fldSimple w:instr="NOTEREF _Ref_Footnote_13 \h \f">
        <w:r>
          <w:rPr>
            <w:vertAlign w:val="superscript"/>
          </w:rPr>
          <w:t>13</w:t>
        </w:r>
      </w:fldSimple>
      <w:r>
        <w:t xml:space="preserve"> </w:t>
      </w:r>
      <w:r>
        <w:rPr>
          <w:vertAlign w:val="superscript"/>
        </w:rPr>
        <w:footnoteReference w:id="125"/>
      </w:r>
      <w:r>
        <w:t xml:space="preserve">. Top-earning creators maintained seven or more revenue streams, compared to just two for low earners</w:t>
      </w:r>
      <w:r>
        <w:t xml:space="preserve"> </w:t>
      </w:r>
      <w:r>
        <w:rPr>
          <w:vertAlign w:val="superscript"/>
        </w:rPr>
        <w:footnoteReference w:id="126"/>
      </w:r>
      <w:r>
        <w:t xml:space="preserve">. Entrepreneurial creators — defined as those who diversify beyond platform-dependent income into owned products, courses, memberships, and merchandise — earned 25% more than social-first creators, and on the Kajabi platform specifically, they earned 200% more</w:t>
      </w:r>
      <w:r>
        <w:t xml:space="preserve"> </w:t>
      </w:r>
      <w:fldSimple w:instr="NOTEREF _Ref_Footnote_15 \h \f">
        <w:r>
          <w:rPr>
            <w:vertAlign w:val="superscript"/>
          </w:rPr>
          <w:t>15</w:t>
        </w:r>
      </w:fldSimple>
      <w:r>
        <w:t xml:space="preserve">. The average professional creator now diversifies across 3.2 revenue streams, a figure that has risen steadily as the volatility of individual streams becomes apparent</w:t>
      </w:r>
      <w:r>
        <w:t xml:space="preserve"> </w:t>
      </w:r>
      <w:r>
        <w:rPr>
          <w:vertAlign w:val="superscript"/>
        </w:rPr>
        <w:footnoteReference w:id="127"/>
      </w:r>
      <w:r>
        <w:t xml:space="preserve">.</w:t>
      </w:r>
    </w:p>
    <w:p>
      <w:pPr>
        <w:pStyle w:val="BodyText"/>
      </w:pPr>
      <w:r>
        <w:t xml:space="preserve">The shift is behavioral, not just theoretical. 59% of creators now identify as entrepreneurs, up 16 percentage points year-over-year</w:t>
      </w:r>
      <w:r>
        <w:t xml:space="preserve"> </w:t>
      </w:r>
      <w:fldSimple w:instr="NOTEREF _Ref_Footnote_15 \h \f">
        <w:r>
          <w:rPr>
            <w:vertAlign w:val="superscript"/>
          </w:rPr>
          <w:t>15</w:t>
        </w:r>
      </w:fldSimple>
      <w:r>
        <w:t xml:space="preserve">. Nearly 70% of creators maintain multiple income streams, though most remain concentrated in digital formats — brand deals, platform ads, subscriptions, and affiliate links — that still depend on platform algorithms for distribution</w:t>
      </w:r>
      <w:r>
        <w:t xml:space="preserve"> </w:t>
      </w:r>
      <w:fldSimple w:instr="NOTEREF _Ref_Footnote_42 \h \f">
        <w:r>
          <w:rPr>
            <w:vertAlign w:val="superscript"/>
          </w:rPr>
          <w:t>42</w:t>
        </w:r>
      </w:fldSimple>
      <w:r>
        <w:t xml:space="preserve">. The proportion of creators generating revenue from merchandise sales increased from 11% in 2021 to 15% in 2023</w:t>
      </w:r>
      <w:r>
        <w:t xml:space="preserve"> </w:t>
      </w:r>
      <w:fldSimple w:instr="NOTEREF _Ref_Footnote_115 \h \f">
        <w:r>
          <w:rPr>
            <w:vertAlign w:val="superscript"/>
          </w:rPr>
          <w:t>115</w:t>
        </w:r>
      </w:fldSimple>
      <w:r>
        <w:t xml:space="preserve">, but adoption remains low relative to its economic potential. The gap is not willingness; it is infrastructure. Creators who want to sell merchandise face a fragmented landscape of options, none optimized for their needs. Amazon Merch on Demand — one of the largest platforms — pays a royalty of just $2.44–$5.27 on a standard $19.99 t-shirt, equivalent to a 13–26% margin that leaves little after design time and marketing effort</w:t>
      </w:r>
      <w:r>
        <w:t xml:space="preserve"> </w:t>
      </w:r>
      <w:fldSimple w:instr="NOTEREF _Ref_Footnote_22 \h \f">
        <w:r>
          <w:rPr>
            <w:vertAlign w:val="superscript"/>
          </w:rPr>
          <w:t>22</w:t>
        </w:r>
      </w:fldSimple>
      <w:r>
        <w:t xml:space="preserve">. Redbubble, which once dominated the independent artist merchandise space, saw its share price collapse 85–96% from peak as quality complaints and fee increases drove creators away</w:t>
      </w:r>
      <w:r>
        <w:t xml:space="preserve"> </w:t>
      </w:r>
      <w:fldSimple w:instr="NOTEREF _Ref_Footnote_27 \h \f">
        <w:r>
          <w:rPr>
            <w:vertAlign w:val="superscript"/>
          </w:rPr>
          <w:t>27</w:t>
        </w:r>
      </w:fldSimple>
      <w:r>
        <w:t xml:space="preserve">. Spring (formerly Teespring) suffered a catastrophic rebrand, delayed creator payments, and an acquisition at a reported $11 million valuation — down from a $650 million peak</w:t>
      </w:r>
      <w:r>
        <w:t xml:space="preserve"> </w:t>
      </w:r>
      <w:fldSimple w:instr="NOTEREF _Ref_Footnote_28 \h \f">
        <w:r>
          <w:rPr>
            <w:vertAlign w:val="superscript"/>
          </w:rPr>
          <w:t>28</w:t>
        </w:r>
      </w:fldSimple>
      <w:r>
        <w:t xml:space="preserve">. Fourthwall, which charges zero platform fees on physical products and serves 200,000 creators, has gained traction among YouTubers but remains relatively unknown outside tech-savvy circles</w:t>
      </w:r>
      <w:r>
        <w:t xml:space="preserve"> </w:t>
      </w:r>
      <w:r>
        <w:rPr>
          <w:vertAlign w:val="superscript"/>
        </w:rPr>
        <w:footnoteReference w:id="128"/>
      </w:r>
      <w:r>
        <w:t xml:space="preserve">. Shopify powers much of the backend infrastructure but requires creators to assemble their own design, fulfillment, and marketing stack — a significant burden for artists whose core competency is content, not e-commerce operations.</w:t>
      </w:r>
    </w:p>
    <w:p>
      <w:pPr>
        <w:pStyle w:val="BodyText"/>
      </w:pPr>
      <w:r>
        <w:t xml:space="preserve">Merchandise accounts for only 11.3–11.4% of creator economy revenue by market value and creator income share respectively</w:t>
      </w:r>
      <w:r>
        <w:t xml:space="preserve"> </w:t>
      </w:r>
      <w:fldSimple w:instr="NOTEREF _Ref_Footnote_40 \h \f">
        <w:r>
          <w:rPr>
            <w:vertAlign w:val="superscript"/>
          </w:rPr>
          <w:t>40</w:t>
        </w:r>
      </w:fldSimple>
      <w:r>
        <w:t xml:space="preserve"> </w:t>
      </w:r>
      <w:fldSimple w:instr="NOTEREF _Ref_Footnote_13 \h \f">
        <w:r>
          <w:rPr>
            <w:vertAlign w:val="superscript"/>
          </w:rPr>
          <w:t>13</w:t>
        </w:r>
      </w:fldSimple>
      <w:r>
        <w:t xml:space="preserve">, making it one of the smallest revenue categories measured. That share is precisely why it represents the largest untapped opportunity. Unlike brand deals, which require constant new sponsorships, or platform ads, which fluctuate with algorithm changes, merchandise generates revenue from a creator’s existing audience through direct transactions the creator controls. Print-on-demand (POD) profit margins typically range from 20–40%, with hoodies reaching up to 50%</w:t>
      </w:r>
      <w:r>
        <w:t xml:space="preserve"> </w:t>
      </w:r>
      <w:r>
        <w:rPr>
          <w:vertAlign w:val="superscript"/>
        </w:rPr>
        <w:footnoteReference w:id="129"/>
      </w:r>
      <w:r>
        <w:t xml:space="preserve"> </w:t>
      </w:r>
      <w:r>
        <w:rPr>
          <w:vertAlign w:val="superscript"/>
        </w:rPr>
        <w:footnoteReference w:id="130"/>
      </w:r>
      <w:r>
        <w:t xml:space="preserve">. For niche channels with engaged subscribers — gaming, beauty, fitness, productivity — merchandise conversion rates reach 4–8%, compared to under 1% for broad, general-interest channels</w:t>
      </w:r>
      <w:r>
        <w:t xml:space="preserve"> </w:t>
      </w:r>
      <w:r>
        <w:rPr>
          <w:vertAlign w:val="superscript"/>
        </w:rPr>
        <w:footnoteReference w:id="131"/>
      </w:r>
      <w:r>
        <w:t xml:space="preserve">. A creator with 50,000 monthly YouTube views might earn only $13–$200 from AdSense but could make $730–$3,480 from merchandise sales in the same period</w:t>
      </w:r>
      <w:r>
        <w:t xml:space="preserve"> </w:t>
      </w:r>
      <w:fldSimple w:instr="NOTEREF _Ref_Footnote_120 \h \f">
        <w:r>
          <w:rPr>
            <w:vertAlign w:val="superscript"/>
          </w:rPr>
          <w:t>120</w:t>
        </w:r>
      </w:fldSimple>
      <w:r>
        <w:t xml:space="preserve">. That is not an incremental improvement; it is a 10–50x multiple.</w:t>
      </w:r>
    </w:p>
    <w:p>
      <w:pPr>
        <w:pStyle w:val="BodyText"/>
      </w:pPr>
      <w:r>
        <w:t xml:space="preserve">The case studies of top creators confirm where the real money lies. MrBeast’s Feastables chocolate brand generated approximately $250 million in revenue and $20 million in profit in 2024, while his YouTube media business — including his 442 million subscriber channel — lost approximately $80 million the same year</w:t>
      </w:r>
      <w:r>
        <w:t xml:space="preserve"> </w:t>
      </w:r>
      <w:r>
        <w:rPr>
          <w:vertAlign w:val="superscript"/>
        </w:rPr>
        <w:footnoteReference w:id="132"/>
      </w:r>
      <w:r>
        <w:t xml:space="preserve">. The content was the marketing; the chocolate was the profit center. Logan Paul and KSI’s Prime Hydration hit $1.2 billion in sales at its 2023 peak, though subsequent regulatory scrutiny and market saturation crashed revenue 76% to a projected $300 million by 2025</w:t>
      </w:r>
      <w:r>
        <w:t xml:space="preserve"> </w:t>
      </w:r>
      <w:r>
        <w:rPr>
          <w:vertAlign w:val="superscript"/>
        </w:rPr>
        <w:footnoteReference w:id="133"/>
      </w:r>
      <w:r>
        <w:t xml:space="preserve">. Emma Chamberlain’s Chamberlain Coffee reached $20 million in revenue by 2023 and projected $33 million by 2025 with distribution in 8,500 retail stores</w:t>
      </w:r>
      <w:r>
        <w:t xml:space="preserve"> </w:t>
      </w:r>
      <w:r>
        <w:rPr>
          <w:vertAlign w:val="superscript"/>
        </w:rPr>
        <w:footnoteReference w:id="134"/>
      </w:r>
      <w:r>
        <w:t xml:space="preserve">. These are product empires, not content channels — and they are built on the principle that merchandise and consumer products generate the sustainable economics that platform-dependent content cannot.</w:t>
      </w:r>
    </w:p>
    <w:p>
      <w:pPr>
        <w:pStyle w:val="BodyText"/>
      </w:pPr>
      <w:r>
        <w:t xml:space="preserve">The micro-influencer data is even more instructive for the broader creator population. Small channels with strong engagement frequently generate $500–$2,000 in monthly merchandise revenue before crossing the 10,000-subscriber threshold required for YouTube Merch Shelf access</w:t>
      </w:r>
      <w:r>
        <w:t xml:space="preserve"> </w:t>
      </w:r>
      <w:r>
        <w:rPr>
          <w:vertAlign w:val="superscript"/>
        </w:rPr>
        <w:footnoteReference w:id="135"/>
      </w:r>
      <w:r>
        <w:t xml:space="preserve">. A 5,000-subscriber channel with 12% engagement frequently outperforms a 50,000-subscriber channel with 1% engagement on merchandise sales, because conversion is driven by parasocial connection strength and niche aesthetic alignment, not raw follower count</w:t>
      </w:r>
      <w:r>
        <w:t xml:space="preserve"> </w:t>
      </w:r>
      <w:fldSimple w:instr="NOTEREF _Ref_Footnote_135 \h \f">
        <w:r>
          <w:rPr>
            <w:vertAlign w:val="superscript"/>
          </w:rPr>
          <w:t>135</w:t>
        </w:r>
      </w:fldSimple>
      <w:r>
        <w:t xml:space="preserve">. Nano-influencers (1,000–10,000 followers) achieve engagement rates up to 11.9% on TikTok and 2.19% on Instagram, with 83% willing to work for gifting alone if the brand fit is right</w:t>
      </w:r>
      <w:r>
        <w:t xml:space="preserve"> </w:t>
      </w:r>
      <w:r>
        <w:rPr>
          <w:vertAlign w:val="superscript"/>
        </w:rPr>
        <w:footnoteReference w:id="136"/>
      </w:r>
      <w:r>
        <w:t xml:space="preserve">. The implication is clear: merchandise is the only major creator revenue stream that becomes</w:t>
      </w:r>
      <w:r>
        <w:t xml:space="preserve"> </w:t>
      </w:r>
      <w:r>
        <w:rPr>
          <w:iCs/>
          <w:i/>
        </w:rPr>
        <w:t xml:space="preserve">more</w:t>
      </w:r>
      <w:r>
        <w:t xml:space="preserve"> </w:t>
      </w:r>
      <w:r>
        <w:t xml:space="preserve">efficient at smaller scale — the inverse of streaming, advertising, and brand deals, all of which reward mass audience above engagement quality.</w:t>
      </w:r>
    </w:p>
    <w:p>
      <w:pPr>
        <w:pStyle w:val="BodyText"/>
      </w:pPr>
      <w:r>
        <w:t xml:space="preserve">The creator economy is not broken because it is small; it is broken because its economics are structurally misaligned. Platforms extract the majority of value. Algorithms concentrate attention at the top. Revenue streams that creators do not control can vanish overnight. The 45.6% of creators who constitute the emerging</w:t>
      </w:r>
      <w:r>
        <w:t xml:space="preserve"> </w:t>
      </w:r>
      <w:r>
        <w:t xml:space="preserve">“</w:t>
      </w:r>
      <w:r>
        <w:t xml:space="preserve">middle class</w:t>
      </w:r>
      <w:r>
        <w:t xml:space="preserve">”</w:t>
      </w:r>
      <w:r>
        <w:t xml:space="preserve"> </w:t>
      </w:r>
      <w:r>
        <w:t xml:space="preserve">are, on average, one owned revenue stream away from financial stability</w:t>
      </w:r>
      <w:r>
        <w:t xml:space="preserve"> </w:t>
      </w:r>
      <w:fldSimple w:instr="NOTEREF _Ref_Footnote_38 \h \f">
        <w:r>
          <w:rPr>
            <w:vertAlign w:val="superscript"/>
          </w:rPr>
          <w:t>38</w:t>
        </w:r>
      </w:fldSimple>
      <w:r>
        <w:t xml:space="preserve">. A creator earning $35,000 annually needs roughly $9,000 more to reach living wage — equivalent to 257 t-shirt sales at $35 each, or about 21 sales per month. That is not an audience problem; it is an infrastructure problem. Creators have the fans. They lack the tools to turn engagement into products, and products into sustainable, platform-independent income. Merchandise is not merely a revenue stream to be added to a portfolio — it is the bridge between platform dependency and creator sovereignty.</w:t>
      </w:r>
      <w:r>
        <w:t xml:space="preserve"> </w:t>
      </w:r>
      <w:r>
        <w:t xml:space="preserve">## 4. Merchandise: The Revenue Stream That Works</w:t>
      </w:r>
    </w:p>
    <w:p>
      <w:pPr>
        <w:pStyle w:val="BodyText"/>
      </w:pPr>
      <w:r>
        <w:t xml:space="preserve">The preceding chapters laid out the scale of the crisis. Artists in music, tattooing, and digital creation face the same structural trap: platform-dependent income that scales poorly, concentrates at the top, and can vanish overnight. This chapter presents the alternative. Merchandise is not a supplementary revenue stream or a nice-to-have sideline. It is the single most economically efficient way for an artist to convert audience attention into income — and the data proves it on every metric that matters: per-unit revenue, margin retention, predictability, and growth trajectory.</w:t>
      </w:r>
    </w:p>
    <w:bookmarkEnd w:id="47"/>
    <w:bookmarkStart w:id="55" w:name="X9a0aa5bf0da40370d19a65a03f6263fd2d9d68c"/>
    <w:p>
      <w:pPr>
        <w:pStyle w:val="Heading3"/>
      </w:pPr>
      <w:r>
        <w:t xml:space="preserve">4.1 The Unit Economics of Merchandise vs. Digital</w:t>
      </w:r>
    </w:p>
    <w:bookmarkStart w:id="48" w:name="the-math-one-t-shirt-equals-8750-streams"/>
    <w:p>
      <w:pPr>
        <w:pStyle w:val="Heading4"/>
      </w:pPr>
      <w:r>
        <w:t xml:space="preserve">4.1.1 The Math: One T-Shirt Equals 8,750 Streams</w:t>
      </w:r>
    </w:p>
    <w:p>
      <w:pPr>
        <w:pStyle w:val="FirstParagraph"/>
      </w:pPr>
      <w:r>
        <w:t xml:space="preserve">At Spotify’s average per-stream payout of approximately $0.004, a single $35 t-shirt sale generates the equivalent revenue of roughly 8,750 streams</w:t>
      </w:r>
      <w:r>
        <w:t xml:space="preserve"> </w:t>
      </w:r>
      <w:fldSimple w:instr="NOTEREF _Ref_Footnote_5 \h \f">
        <w:r>
          <w:rPr>
            <w:vertAlign w:val="superscript"/>
          </w:rPr>
          <w:t>5</w:t>
        </w:r>
      </w:fldSimple>
      <w:r>
        <w:t xml:space="preserve"> </w:t>
      </w:r>
      <w:r>
        <w:rPr>
          <w:vertAlign w:val="superscript"/>
        </w:rPr>
        <w:footnoteReference w:id="137"/>
      </w:r>
      <w:r>
        <w:t xml:space="preserve">. The calculation is straightforward but its implications are transformative: $35 divided by $0.004 per stream equals 8,750 streams. atVenu’s independently calculated figure arrives at nearly 9,000 streams using a slightly more precise rate of $0.0039</w:t>
      </w:r>
      <w:r>
        <w:t xml:space="preserve"> </w:t>
      </w:r>
      <w:fldSimple w:instr="NOTEREF _Ref_Footnote_5 \h \f">
        <w:r>
          <w:rPr>
            <w:vertAlign w:val="superscript"/>
          </w:rPr>
          <w:t>5</w:t>
        </w:r>
      </w:fldSimple>
      <w:r>
        <w:t xml:space="preserve">. Either way, the scale of the disparity is staggering.</w:t>
      </w:r>
    </w:p>
    <w:p>
      <w:pPr>
        <w:pStyle w:val="BodyText"/>
      </w:pPr>
      <w:r>
        <w:t xml:space="preserve">To put this in concrete terms: an artist needs 250 million Spotify streams to earn $1 million in royalties, but only 28,500 t-shirt sales to reach the same figure</w:t>
      </w:r>
      <w:r>
        <w:t xml:space="preserve"> </w:t>
      </w:r>
      <w:fldSimple w:instr="NOTEREF _Ref_Footnote_5 \h \f">
        <w:r>
          <w:rPr>
            <w:vertAlign w:val="superscript"/>
          </w:rPr>
          <w:t>5</w:t>
        </w:r>
      </w:fldSimple>
      <w:r>
        <w:t xml:space="preserve">. The first target is accessible to perhaps a few hundred artists globally; the second is within reach of any creator with an engaged audience of even modest size. The median independent musician on Spotify earns between £2,500 and $5,750 annually from all music sources combined</w:t>
      </w:r>
      <w:r>
        <w:t xml:space="preserve"> </w:t>
      </w:r>
      <w:fldSimple w:instr="NOTEREF _Ref_Footnote_59 \h \f">
        <w:r>
          <w:rPr>
            <w:vertAlign w:val="superscript"/>
          </w:rPr>
          <w:t>59</w:t>
        </w:r>
      </w:fldSimple>
      <w:r>
        <w:t xml:space="preserve">. Selling one t-shirt per day at a $35 price point would yield $12,775 in annual revenue — more than double the median streaming income, before accounting for the far superior margins of direct-to-consumer (D2C) merchandise.</w:t>
      </w:r>
    </w:p>
    <w:p>
      <w:pPr>
        <w:pStyle w:val="BodyText"/>
      </w:pPr>
      <w:r>
        <w:t xml:space="preserve">Platform payouts vary by geography and subscription tier — Norwegian streams pay roughly $0.0068, US streams approximately $0.0044, and Nigerian streams as little as $0.0007</w:t>
      </w:r>
      <w:r>
        <w:t xml:space="preserve"> </w:t>
      </w:r>
      <w:fldSimple w:instr="NOTEREF _Ref_Footnote_68 \h \f">
        <w:r>
          <w:rPr>
            <w:vertAlign w:val="superscript"/>
          </w:rPr>
          <w:t>68</w:t>
        </w:r>
      </w:fldSimple>
      <w:r>
        <w:t xml:space="preserve">. Apple Music pays roughly $0.007-$0.01 per stream, and Amazon Music leads among major platforms at $0.004-$0.0088</w:t>
      </w:r>
      <w:r>
        <w:t xml:space="preserve"> </w:t>
      </w:r>
      <w:fldSimple w:instr="NOTEREF _Ref_Footnote_68 \h \f">
        <w:r>
          <w:rPr>
            <w:vertAlign w:val="superscript"/>
          </w:rPr>
          <w:t>68</w:t>
        </w:r>
      </w:fldSimple>
      <w:r>
        <w:t xml:space="preserve"> </w:t>
      </w:r>
      <w:fldSimple w:instr="NOTEREF _Ref_Footnote_44 \h \f">
        <w:r>
          <w:rPr>
            <w:vertAlign w:val="superscript"/>
          </w:rPr>
          <w:t>44</w:t>
        </w:r>
      </w:fldSimple>
      <w:r>
        <w:t xml:space="preserve">. But even at Apple Music’s higher rate, a $35 t-shirt still equals approximately 5,000 streams — a figure that takes most artists months to accumulate.</w:t>
      </w:r>
    </w:p>
    <w:bookmarkEnd w:id="48"/>
    <w:bookmarkStart w:id="49" w:name="Xd8e6c9a396ae3cbabceffa7939be8da9251d41d"/>
    <w:p>
      <w:pPr>
        <w:pStyle w:val="Heading4"/>
      </w:pPr>
      <w:r>
        <w:t xml:space="preserve">4.1.2 From Hoodies to Headliners: The 8x Multiplier</w:t>
      </w:r>
    </w:p>
    <w:p>
      <w:pPr>
        <w:pStyle w:val="FirstParagraph"/>
      </w:pPr>
      <w:r>
        <w:t xml:space="preserve">The arithmetic only improves with higher-ticket items. A $60 hoodie, at $0.004 per stream, equals approximately 15,000 Spotify streams. A $45 K-pop lightstick equals 11,250 streams. Each of these single transactions replaces weeks or months of accumulated digital listening.</w:t>
      </w:r>
    </w:p>
    <w:p>
      <w:pPr>
        <w:pStyle w:val="BodyText"/>
      </w:pPr>
      <w:r>
        <w:t xml:space="preserve">The comparison becomes even more lopsided when measured against live performance. In 2023, the average artist made $10,000 per show in gross merchandise sales</w:t>
      </w:r>
      <w:r>
        <w:t xml:space="preserve"> </w:t>
      </w:r>
      <w:fldSimple w:instr="NOTEREF _Ref_Footnote_5 \h \f">
        <w:r>
          <w:rPr>
            <w:vertAlign w:val="superscript"/>
          </w:rPr>
          <w:t>5</w:t>
        </w:r>
      </w:fldSimple>
      <w:r>
        <w:t xml:space="preserve">. Based on 2022 Spotify data, 61% of artists on the platform made less than that from an entire year’s worth of streaming royalties</w:t>
      </w:r>
      <w:r>
        <w:t xml:space="preserve"> </w:t>
      </w:r>
      <w:fldSimple w:instr="NOTEREF _Ref_Footnote_5 \h \f">
        <w:r>
          <w:rPr>
            <w:vertAlign w:val="superscript"/>
          </w:rPr>
          <w:t>5</w:t>
        </w:r>
      </w:fldSimple>
      <w:r>
        <w:t xml:space="preserve">. For the majority of musicians, a single night’s merch table generates more revenue than 365 days of digital streaming. Even small-cap artists playing venues under 500 attendance make 3x more per show in merch than a year’s worth of streaming royalties</w:t>
      </w:r>
      <w:r>
        <w:t xml:space="preserve"> </w:t>
      </w:r>
      <w:fldSimple w:instr="NOTEREF _Ref_Footnote_5 \h \f">
        <w:r>
          <w:rPr>
            <w:vertAlign w:val="superscript"/>
          </w:rPr>
          <w:t>5</w:t>
        </w:r>
      </w:fldSimple>
      <w:r>
        <w:t xml:space="preserve">.</w:t>
      </w:r>
    </w:p>
    <w:p>
      <w:pPr>
        <w:pStyle w:val="BodyText"/>
      </w:pPr>
      <w:r>
        <w:t xml:space="preserve">Industry-wide, touring made up 95% of artists’ income in 2022, and merchandise is the critical component of that live revenue</w:t>
      </w:r>
      <w:r>
        <w:t xml:space="preserve"> </w:t>
      </w:r>
      <w:fldSimple w:instr="NOTEREF _Ref_Footnote_21 \h \f">
        <w:r>
          <w:rPr>
            <w:vertAlign w:val="superscript"/>
          </w:rPr>
          <w:t>21</w:t>
        </w:r>
      </w:fldSimple>
      <w:r>
        <w:t xml:space="preserve">. Merchandise accounts for 10-30% of total event revenue, with some major tours seeing merch represent up to 40% of earnings</w:t>
      </w:r>
      <w:r>
        <w:t xml:space="preserve"> </w:t>
      </w:r>
      <w:fldSimple w:instr="NOTEREF _Ref_Footnote_38 \h \f">
        <w:r>
          <w:rPr>
            <w:vertAlign w:val="superscript"/>
          </w:rPr>
          <w:t>38</w:t>
        </w:r>
      </w:fldSimple>
      <w:r>
        <w:t xml:space="preserve"> </w:t>
      </w:r>
      <w:fldSimple w:instr="NOTEREF _Ref_Footnote_67 \h \f">
        <w:r>
          <w:rPr>
            <w:vertAlign w:val="superscript"/>
          </w:rPr>
          <w:t>67</w:t>
        </w:r>
      </w:fldSimple>
      <w:r>
        <w:t xml:space="preserve">. The t-shirt sold at the venue is not a souvenir — for most working artists, it is the single largest revenue event of the night.</w:t>
      </w:r>
    </w:p>
    <w:bookmarkEnd w:id="49"/>
    <w:bookmarkStart w:id="50" w:name="d2c-margins-keeping-what-you-earn"/>
    <w:p>
      <w:pPr>
        <w:pStyle w:val="Heading4"/>
      </w:pPr>
      <w:r>
        <w:t xml:space="preserve">4.1.3 D2C Margins: Keeping What You Earn</w:t>
      </w:r>
    </w:p>
    <w:p>
      <w:pPr>
        <w:pStyle w:val="FirstParagraph"/>
      </w:pPr>
      <w:r>
        <w:t xml:space="preserve">The economics of merchandise distribution create a stark divide. D2C creator-owned storefronts deliver gross margins of 60-75%, while marketplace and retail channels yield only 15-30%</w:t>
      </w:r>
      <w:r>
        <w:t xml:space="preserve"> </w:t>
      </w:r>
      <w:fldSimple w:instr="NOTEREF _Ref_Footnote_20 \h \f">
        <w:r>
          <w:rPr>
            <w:vertAlign w:val="superscript"/>
          </w:rPr>
          <w:t>20</w:t>
        </w:r>
      </w:fldSimple>
      <w:r>
        <w:t xml:space="preserve">. For a $30 retail t-shirt, print-on-demand (POD) fulfillment yields approximately $3 in profit versus $15 for bulk manufacturing — a 5x differential that makes production strategy a defining financial decision</w:t>
      </w:r>
      <w:r>
        <w:t xml:space="preserve"> </w:t>
      </w:r>
      <w:r>
        <w:rPr>
          <w:vertAlign w:val="superscript"/>
        </w:rPr>
        <w:footnoteReference w:id="138"/>
      </w:r>
      <w:r>
        <w:t xml:space="preserve">.</w:t>
      </w:r>
    </w:p>
    <w:p>
      <w:pPr>
        <w:pStyle w:val="BodyText"/>
      </w:pPr>
      <w:r>
        <w:t xml:space="preserve">The hybrid model has emerged as best practice: using POD for design validation and low-volume SKUs, then transitioning proven sellers to bulk production for margin optimization</w:t>
      </w:r>
      <w:r>
        <w:t xml:space="preserve"> </w:t>
      </w:r>
      <w:r>
        <w:rPr>
          <w:vertAlign w:val="superscript"/>
        </w:rPr>
        <w:footnoteReference w:id="139"/>
      </w:r>
      <w:r>
        <w:t xml:space="preserve">. This approach combines the zero-risk validation of on-demand with the margin optimization of bulk manufacturing. For a brand selling 200 shirts monthly, switching proven designs to bulk can generate an additional $2,500 in monthly profit</w:t>
      </w:r>
      <w:r>
        <w:t xml:space="preserve"> </w:t>
      </w:r>
      <w:fldSimple w:instr="NOTEREF _Ref_Footnote_138 \h \f">
        <w:r>
          <w:rPr>
            <w:vertAlign w:val="superscript"/>
          </w:rPr>
          <w:t>138</w:t>
        </w:r>
      </w:fldSimple>
      <w:r>
        <w:t xml:space="preserve">.</w:t>
      </w:r>
    </w:p>
    <w:p>
      <w:pPr>
        <w:pStyle w:val="BodyText"/>
      </w:pPr>
      <w:r>
        <w:t xml:space="preserve">Amazon Merch on Demand illustrates the marketplace squeeze. A standard $19.99 t-shirt generates royalties of just $2.44-$5.27 depending on seller tier — roughly 13-26% of retail price</w:t>
      </w:r>
      <w:r>
        <w:t xml:space="preserve"> </w:t>
      </w:r>
      <w:fldSimple w:instr="NOTEREF _Ref_Footnote_22 \h \f">
        <w:r>
          <w:rPr>
            <w:vertAlign w:val="superscript"/>
          </w:rPr>
          <w:t>22</w:t>
        </w:r>
      </w:fldSimple>
      <w:r>
        <w:t xml:space="preserve">. Etsy charges 6.5% in transaction fees plus listing fees. By contrast, a Shopify D2C store with integrated POD fulfillment allows artists to retain 60-75% of gross revenue after product costs</w:t>
      </w:r>
      <w:r>
        <w:t xml:space="preserve"> </w:t>
      </w:r>
      <w:fldSimple w:instr="NOTEREF _Ref_Footnote_20 \h \f">
        <w:r>
          <w:rPr>
            <w:vertAlign w:val="superscript"/>
          </w:rPr>
          <w:t>20</w:t>
        </w:r>
      </w:fldSimple>
      <w:r>
        <w:t xml:space="preserve">. The gap is not incremental; it is the difference between a sustainable business and a marginal side hustle.</w:t>
      </w:r>
    </w:p>
    <w:bookmarkEnd w:id="50"/>
    <w:bookmarkStart w:id="54" w:name="revenue-per-head-the-fan-spending-surge"/>
    <w:p>
      <w:pPr>
        <w:pStyle w:val="Heading4"/>
      </w:pPr>
      <w:r>
        <w:t xml:space="preserve">4.1.4 Revenue Per Head: The Fan Spending Surge</w:t>
      </w:r>
    </w:p>
    <w:p>
      <w:pPr>
        <w:pStyle w:val="FirstParagraph"/>
      </w:pPr>
      <w:r>
        <w:t xml:space="preserve">Concert merchandise spending is accelerating. The average merch revenue per head reached $10.24-$10.29 in 2025, up 3-14% year-over-year</w:t>
      </w:r>
      <w:r>
        <w:t xml:space="preserve"> </w:t>
      </w:r>
      <w:fldSimple w:instr="NOTEREF _Ref_Footnote_16 \h \f">
        <w:r>
          <w:rPr>
            <w:vertAlign w:val="superscript"/>
          </w:rPr>
          <w:t>16</w:t>
        </w:r>
      </w:fldSimple>
      <w:r>
        <w:t xml:space="preserve"> </w:t>
      </w:r>
      <w:fldSimple w:instr="NOTEREF _Ref_Footnote_2 \h \f">
        <w:r>
          <w:rPr>
            <w:vertAlign w:val="superscript"/>
          </w:rPr>
          <w:t>2</w:t>
        </w:r>
      </w:fldSimple>
      <w:r>
        <w:t xml:space="preserve">. The average fan now spends $64 pre-tax on merchandise per event — up 7% from 2024 — with fans buying an average of 2.1 items per purchase (up from 1.7 in 2024)</w:t>
      </w:r>
      <w:r>
        <w:t xml:space="preserve"> </w:t>
      </w:r>
      <w:fldSimple w:instr="NOTEREF _Ref_Footnote_72 \h \f">
        <w:r>
          <w:rPr>
            <w:vertAlign w:val="superscript"/>
          </w:rPr>
          <w:t>72</w:t>
        </w:r>
      </w:fldSimple>
      <w:r>
        <w:t xml:space="preserve">. Purchase incidence climbed to 23% of attendees in 2025, up from 21% the previous year</w:t>
      </w:r>
      <w:r>
        <w:t xml:space="preserve"> </w:t>
      </w:r>
      <w:fldSimple w:instr="NOTEREF _Ref_Footnote_72 \h \f">
        <w:r>
          <w:rPr>
            <w:vertAlign w:val="superscript"/>
          </w:rPr>
          <w:t>72</w:t>
        </w:r>
      </w:fldSimple>
      <w:r>
        <w:t xml:space="preserve">.</w:t>
      </w:r>
    </w:p>
    <w:p>
      <w:pPr>
        <w:pStyle w:val="BodyText"/>
      </w:pPr>
      <w:r>
        <w:t xml:space="preserve">Genre disparities reveal the upper bounds of fan spending. K-pop fans led all categories at $37.41-$48.32 per head in 2025, with spending surging 61% from 2024</w:t>
      </w:r>
      <w:r>
        <w:t xml:space="preserve"> </w:t>
      </w:r>
      <w:fldSimple w:instr="NOTEREF _Ref_Footnote_2 \h \f">
        <w:r>
          <w:rPr>
            <w:vertAlign w:val="superscript"/>
          </w:rPr>
          <w:t>2</w:t>
        </w:r>
      </w:fldSimple>
      <w:r>
        <w:t xml:space="preserve"> </w:t>
      </w:r>
      <w:fldSimple w:instr="NOTEREF _Ref_Footnote_72 \h \f">
        <w:r>
          <w:rPr>
            <w:vertAlign w:val="superscript"/>
          </w:rPr>
          <w:t>72</w:t>
        </w:r>
      </w:fldSimple>
      <w:r>
        <w:t xml:space="preserve">. Thirty-seven percent of K-pop fans purchase merchandise at concerts — nearly double the industry average of 21%</w:t>
      </w:r>
      <w:r>
        <w:t xml:space="preserve"> </w:t>
      </w:r>
      <w:fldSimple w:instr="NOTEREF _Ref_Footnote_2 \h \f">
        <w:r>
          <w:rPr>
            <w:vertAlign w:val="superscript"/>
          </w:rPr>
          <w:t>2</w:t>
        </w:r>
      </w:fldSimple>
      <w:r>
        <w:t xml:space="preserve">. EDM (+52%), Country (+31%), and Punk also showed strong gains, while Heavy Metal (-30%) and Hard Rock (-23%) declined</w:t>
      </w:r>
      <w:r>
        <w:t xml:space="preserve"> </w:t>
      </w:r>
      <w:fldSimple w:instr="NOTEREF _Ref_Footnote_2 \h \f">
        <w:r>
          <w:rPr>
            <w:vertAlign w:val="superscript"/>
          </w:rPr>
          <w:t>2</w:t>
        </w:r>
      </w:fldSimple>
      <w:r>
        <w:t xml:space="preserve">.</w:t>
      </w:r>
    </w:p>
    <w:p>
      <w:pPr>
        <w:pStyle w:val="BodyText"/>
      </w:pPr>
      <w:r>
        <w:t xml:space="preserve">Gen Z is driving this growth. In 2024, Gen Z topped all other generations in overall live event spend for the first time, at $75 per month — 23% more than the average US music listener</w:t>
      </w:r>
      <w:r>
        <w:t xml:space="preserve"> </w:t>
      </w:r>
      <w:fldSimple w:instr="NOTEREF _Ref_Footnote_36 \h \f">
        <w:r>
          <w:rPr>
            <w:vertAlign w:val="superscript"/>
          </w:rPr>
          <w:t>36</w:t>
        </w:r>
      </w:fldSimple>
      <w:r>
        <w:t xml:space="preserve"> </w:t>
      </w:r>
      <w:fldSimple w:instr="NOTEREF _Ref_Footnote_93 \h \f">
        <w:r>
          <w:rPr>
            <w:vertAlign w:val="superscript"/>
          </w:rPr>
          <w:t>93</w:t>
        </w:r>
      </w:fldSimple>
      <w:r>
        <w:t xml:space="preserve">. Luminate data shows that 20% of US listeners qualify as superfans, spending an average of $113 per month on live music events (66% more than average) and $39 per month on physical purchases (105% more than average)</w:t>
      </w:r>
      <w:r>
        <w:t xml:space="preserve"> </w:t>
      </w:r>
      <w:fldSimple w:instr="NOTEREF _Ref_Footnote_18 \h \f">
        <w:r>
          <w:rPr>
            <w:vertAlign w:val="superscript"/>
          </w:rPr>
          <w:t>18</w:t>
        </w:r>
      </w:fldSimple>
      <w:r>
        <w:t xml:space="preserve"> </w:t>
      </w:r>
      <w:fldSimple w:instr="NOTEREF _Ref_Footnote_36 \h \f">
        <w:r>
          <w:rPr>
            <w:vertAlign w:val="superscript"/>
          </w:rPr>
          <w:t>36</w:t>
        </w:r>
      </w:fldSimple>
      <w:r>
        <w:t xml:space="preserve">. Goldman Sachs estimates that superfan monetization could generate $4.3 billion in additional annual revenue by 2026, potentially growing to $6.6 billion by 2035</w:t>
      </w:r>
      <w:r>
        <w:t xml:space="preserve"> </w:t>
      </w:r>
      <w:r>
        <w:rPr>
          <w:vertAlign w:val="superscript"/>
        </w:rPr>
        <w:footnoteReference w:id="140"/>
      </w:r>
      <w:r>
        <w:t xml:space="preserve"> </w:t>
      </w:r>
      <w:fldSimple w:instr="NOTEREF _Ref_Footnote_74 \h \f">
        <w:r>
          <w:rPr>
            <w:vertAlign w:val="superscript"/>
          </w:rPr>
          <w:t>74</w:t>
        </w:r>
      </w:fldSimple>
      <w:r>
        <w:t xml:space="preserve">.</w:t>
      </w:r>
    </w:p>
    <w:p>
      <w:pPr>
        <w:pStyle w:val="BodyText"/>
      </w:pPr>
      <w:r>
        <w:rPr>
          <w:bCs/>
          <w:b/>
        </w:rPr>
        <w:t xml:space="preserve">Table 1: Merchandise vs. Streaming — Unit Economics Comparison</w:t>
      </w:r>
    </w:p>
    <w:tbl>
      <w:tblPr>
        <w:tblStyle w:val="Table"/>
        <w:tblW w:type="pct" w:w="5000"/>
        <w:tblLook w:firstRow="1" w:lastRow="0" w:firstColumn="0" w:lastColumn="0" w:noHBand="0" w:noVBand="0" w:val="0020"/>
      </w:tblPr>
      <w:tblGrid>
        <w:gridCol w:w="1092"/>
        <w:gridCol w:w="2594"/>
        <w:gridCol w:w="2867"/>
        <w:gridCol w:w="1365"/>
      </w:tblGrid>
      <w:tr>
        <w:trPr>
          <w:tblHeader w:val="true"/>
        </w:trPr>
        <w:tc>
          <w:tcPr/>
          <w:p>
            <w:pPr>
              <w:pStyle w:val="Compact"/>
              <w:jc w:val="left"/>
            </w:pPr>
            <w:r>
              <w:t xml:space="preserve">Metric</w:t>
            </w:r>
          </w:p>
        </w:tc>
        <w:tc>
          <w:tcPr/>
          <w:p>
            <w:pPr>
              <w:pStyle w:val="Compact"/>
              <w:jc w:val="left"/>
            </w:pPr>
            <w:r>
              <w:t xml:space="preserve">Merchandise (D2C)</w:t>
            </w:r>
          </w:p>
        </w:tc>
        <w:tc>
          <w:tcPr/>
          <w:p>
            <w:pPr>
              <w:pStyle w:val="Compact"/>
              <w:jc w:val="left"/>
            </w:pPr>
            <w:r>
              <w:t xml:space="preserve">Streaming (Spotify)</w:t>
            </w:r>
          </w:p>
        </w:tc>
        <w:tc>
          <w:tcPr/>
          <w:p>
            <w:pPr>
              <w:pStyle w:val="Compact"/>
              <w:jc w:val="left"/>
            </w:pPr>
            <w:r>
              <w:t xml:space="preserve">Multiple</w:t>
            </w:r>
          </w:p>
        </w:tc>
      </w:tr>
      <w:tr>
        <w:tc>
          <w:tcPr/>
          <w:p>
            <w:pPr>
              <w:pStyle w:val="Compact"/>
              <w:jc w:val="left"/>
            </w:pPr>
            <w:r>
              <w:t xml:space="preserve">Unit revenue (t-shirt)</w:t>
            </w:r>
          </w:p>
        </w:tc>
        <w:tc>
          <w:tcPr/>
          <w:p>
            <w:pPr>
              <w:pStyle w:val="Compact"/>
              <w:jc w:val="left"/>
            </w:pPr>
            <w:r>
              <w:t xml:space="preserve">$35</w:t>
            </w:r>
            <w:r>
              <w:t xml:space="preserve"> </w:t>
            </w:r>
            <w:fldSimple w:instr="NOTEREF _Ref_Footnote_5 \h \f">
              <w:r>
                <w:rPr>
                  <w:vertAlign w:val="superscript"/>
                </w:rPr>
                <w:t>5</w:t>
              </w:r>
            </w:fldSimple>
          </w:p>
        </w:tc>
        <w:tc>
          <w:tcPr/>
          <w:p>
            <w:pPr>
              <w:pStyle w:val="Compact"/>
              <w:jc w:val="left"/>
            </w:pPr>
            <w:r>
              <w:t xml:space="preserve">$0.004/stream</w:t>
            </w:r>
            <w:r>
              <w:t xml:space="preserve"> </w:t>
            </w:r>
            <w:fldSimple w:instr="NOTEREF _Ref_Footnote_68 \h \f">
              <w:r>
                <w:rPr>
                  <w:vertAlign w:val="superscript"/>
                </w:rPr>
                <w:t>68</w:t>
              </w:r>
            </w:fldSimple>
          </w:p>
        </w:tc>
        <w:tc>
          <w:tcPr/>
          <w:p>
            <w:pPr>
              <w:pStyle w:val="Compact"/>
              <w:jc w:val="left"/>
            </w:pPr>
            <w:r>
              <w:t xml:space="preserve">8,750x</w:t>
            </w:r>
          </w:p>
        </w:tc>
      </w:tr>
      <w:tr>
        <w:tc>
          <w:tcPr/>
          <w:p>
            <w:pPr>
              <w:pStyle w:val="Compact"/>
              <w:jc w:val="left"/>
            </w:pPr>
            <w:r>
              <w:t xml:space="preserve">Artist net (after costs)</w:t>
            </w:r>
          </w:p>
        </w:tc>
        <w:tc>
          <w:tcPr/>
          <w:p>
            <w:pPr>
              <w:pStyle w:val="Compact"/>
              <w:jc w:val="left"/>
            </w:pPr>
            <w:r>
              <w:t xml:space="preserve">$22.75 (65% margin)</w:t>
            </w:r>
            <w:r>
              <w:t xml:space="preserve"> </w:t>
            </w:r>
            <w:fldSimple w:instr="NOTEREF _Ref_Footnote_20 \h \f">
              <w:r>
                <w:rPr>
                  <w:vertAlign w:val="superscript"/>
                </w:rPr>
                <w:t>20</w:t>
              </w:r>
            </w:fldSimple>
          </w:p>
        </w:tc>
        <w:tc>
          <w:tcPr/>
          <w:p>
            <w:pPr>
              <w:pStyle w:val="Compact"/>
              <w:jc w:val="left"/>
            </w:pPr>
            <w:r>
              <w:t xml:space="preserve">$0.002/stream (after 50% split)</w:t>
            </w:r>
          </w:p>
        </w:tc>
        <w:tc>
          <w:tcPr/>
          <w:p>
            <w:pPr>
              <w:pStyle w:val="Compact"/>
              <w:jc w:val="left"/>
            </w:pPr>
            <w:r>
              <w:t xml:space="preserve">11,375x</w:t>
            </w:r>
          </w:p>
        </w:tc>
      </w:tr>
      <w:tr>
        <w:tc>
          <w:tcPr/>
          <w:p>
            <w:pPr>
              <w:pStyle w:val="Compact"/>
              <w:jc w:val="left"/>
            </w:pPr>
            <w:r>
              <w:t xml:space="preserve">To earn $1,000</w:t>
            </w:r>
          </w:p>
        </w:tc>
        <w:tc>
          <w:tcPr/>
          <w:p>
            <w:pPr>
              <w:pStyle w:val="Compact"/>
              <w:jc w:val="left"/>
            </w:pPr>
            <w:r>
              <w:t xml:space="preserve">44 t-shirts</w:t>
            </w:r>
            <w:r>
              <w:t xml:space="preserve"> </w:t>
            </w:r>
            <w:fldSimple w:instr="NOTEREF _Ref_Footnote_5 \h \f">
              <w:r>
                <w:rPr>
                  <w:vertAlign w:val="superscript"/>
                </w:rPr>
                <w:t>5</w:t>
              </w:r>
            </w:fldSimple>
          </w:p>
        </w:tc>
        <w:tc>
          <w:tcPr/>
          <w:p>
            <w:pPr>
              <w:pStyle w:val="Compact"/>
              <w:jc w:val="left"/>
            </w:pPr>
            <w:r>
              <w:t xml:space="preserve">250,000 streams</w:t>
            </w:r>
          </w:p>
        </w:tc>
        <w:tc>
          <w:tcPr/>
          <w:p>
            <w:pPr>
              <w:pStyle w:val="Compact"/>
              <w:jc w:val="left"/>
            </w:pPr>
            <w:r>
              <w:t xml:space="preserve">—</w:t>
            </w:r>
          </w:p>
        </w:tc>
      </w:tr>
      <w:tr>
        <w:tc>
          <w:tcPr/>
          <w:p>
            <w:pPr>
              <w:pStyle w:val="Compact"/>
              <w:jc w:val="left"/>
            </w:pPr>
            <w:r>
              <w:t xml:space="preserve">To earn $10,000</w:t>
            </w:r>
          </w:p>
        </w:tc>
        <w:tc>
          <w:tcPr/>
          <w:p>
            <w:pPr>
              <w:pStyle w:val="Compact"/>
              <w:jc w:val="left"/>
            </w:pPr>
            <w:r>
              <w:t xml:space="preserve">440 t-shirts</w:t>
            </w:r>
          </w:p>
        </w:tc>
        <w:tc>
          <w:tcPr/>
          <w:p>
            <w:pPr>
              <w:pStyle w:val="Compact"/>
              <w:jc w:val="left"/>
            </w:pPr>
            <w:r>
              <w:t xml:space="preserve">2.5 million streams</w:t>
            </w:r>
          </w:p>
        </w:tc>
        <w:tc>
          <w:tcPr/>
          <w:p>
            <w:pPr>
              <w:pStyle w:val="Compact"/>
              <w:jc w:val="left"/>
            </w:pPr>
            <w:r>
              <w:t xml:space="preserve">—</w:t>
            </w:r>
          </w:p>
        </w:tc>
      </w:tr>
      <w:tr>
        <w:tc>
          <w:tcPr/>
          <w:p>
            <w:pPr>
              <w:pStyle w:val="Compact"/>
              <w:jc w:val="left"/>
            </w:pPr>
            <w:r>
              <w:t xml:space="preserve">Per-concert average</w:t>
            </w:r>
          </w:p>
        </w:tc>
        <w:tc>
          <w:tcPr/>
          <w:p>
            <w:pPr>
              <w:pStyle w:val="Compact"/>
              <w:jc w:val="left"/>
            </w:pPr>
            <w:r>
              <w:t xml:space="preserve">$10,000 gross</w:t>
            </w:r>
            <w:r>
              <w:t xml:space="preserve"> </w:t>
            </w:r>
            <w:fldSimple w:instr="NOTEREF _Ref_Footnote_5 \h \f">
              <w:r>
                <w:rPr>
                  <w:vertAlign w:val="superscript"/>
                </w:rPr>
                <w:t>5</w:t>
              </w:r>
            </w:fldSimple>
          </w:p>
        </w:tc>
        <w:tc>
          <w:tcPr/>
          <w:p>
            <w:pPr>
              <w:pStyle w:val="Compact"/>
              <w:jc w:val="left"/>
            </w:pPr>
            <w:r>
              <w:t xml:space="preserve">61% of artists earn &lt;$10K/year</w:t>
            </w:r>
            <w:r>
              <w:t xml:space="preserve"> </w:t>
            </w:r>
            <w:fldSimple w:instr="NOTEREF _Ref_Footnote_5 \h \f">
              <w:r>
                <w:rPr>
                  <w:vertAlign w:val="superscript"/>
                </w:rPr>
                <w:t>5</w:t>
              </w:r>
            </w:fldSimple>
          </w:p>
        </w:tc>
        <w:tc>
          <w:tcPr/>
          <w:p>
            <w:pPr>
              <w:pStyle w:val="Compact"/>
              <w:jc w:val="left"/>
            </w:pPr>
            <w:r>
              <w:t xml:space="preserve">—</w:t>
            </w:r>
          </w:p>
        </w:tc>
      </w:tr>
      <w:tr>
        <w:tc>
          <w:tcPr/>
          <w:p>
            <w:pPr>
              <w:pStyle w:val="Compact"/>
              <w:jc w:val="left"/>
            </w:pPr>
            <w:r>
              <w:t xml:space="preserve">Margin retention</w:t>
            </w:r>
          </w:p>
        </w:tc>
        <w:tc>
          <w:tcPr/>
          <w:p>
            <w:pPr>
              <w:pStyle w:val="Compact"/>
              <w:jc w:val="left"/>
            </w:pPr>
            <w:r>
              <w:t xml:space="preserve">60-75% D2C</w:t>
            </w:r>
            <w:r>
              <w:t xml:space="preserve"> </w:t>
            </w:r>
            <w:fldSimple w:instr="NOTEREF _Ref_Footnote_20 \h \f">
              <w:r>
                <w:rPr>
                  <w:vertAlign w:val="superscript"/>
                </w:rPr>
                <w:t>20</w:t>
              </w:r>
            </w:fldSimple>
          </w:p>
        </w:tc>
        <w:tc>
          <w:tcPr/>
          <w:p>
            <w:pPr>
              <w:pStyle w:val="Compact"/>
              <w:jc w:val="left"/>
            </w:pPr>
            <w:r>
              <w:t xml:space="preserve">50% to distributor/label</w:t>
            </w:r>
          </w:p>
        </w:tc>
        <w:tc>
          <w:tcPr/>
          <w:p>
            <w:pPr>
              <w:pStyle w:val="Compact"/>
              <w:jc w:val="left"/>
            </w:pPr>
            <w:r>
              <w:t xml:space="preserve">1.2-1.5x</w:t>
            </w:r>
          </w:p>
        </w:tc>
      </w:tr>
      <w:tr>
        <w:tc>
          <w:tcPr/>
          <w:p>
            <w:pPr>
              <w:pStyle w:val="Compact"/>
              <w:jc w:val="left"/>
            </w:pPr>
            <w:r>
              <w:t xml:space="preserve">Fan spend/head (2025)</w:t>
            </w:r>
          </w:p>
        </w:tc>
        <w:tc>
          <w:tcPr/>
          <w:p>
            <w:pPr>
              <w:pStyle w:val="Compact"/>
              <w:jc w:val="left"/>
            </w:pPr>
            <w:r>
              <w:t xml:space="preserve">$10.29 avg; $48.32 K-pop</w:t>
            </w:r>
            <w:r>
              <w:t xml:space="preserve"> </w:t>
            </w:r>
            <w:fldSimple w:instr="NOTEREF _Ref_Footnote_16 \h \f">
              <w:r>
                <w:rPr>
                  <w:vertAlign w:val="superscript"/>
                </w:rPr>
                <w:t>16</w:t>
              </w:r>
            </w:fldSimple>
            <w:r>
              <w:t xml:space="preserve"> </w:t>
            </w:r>
            <w:fldSimple w:instr="NOTEREF _Ref_Footnote_2 \h \f">
              <w:r>
                <w:rPr>
                  <w:vertAlign w:val="superscript"/>
                </w:rPr>
                <w:t>2</w:t>
              </w:r>
            </w:fldSimple>
          </w:p>
        </w:tc>
        <w:tc>
          <w:tcPr/>
          <w:p>
            <w:pPr>
              <w:pStyle w:val="Compact"/>
              <w:jc w:val="left"/>
            </w:pPr>
            <w:r>
              <w:t xml:space="preserve">$0 (fan pays platform, not artist)</w:t>
            </w:r>
          </w:p>
        </w:tc>
        <w:tc>
          <w:tcPr/>
          <w:p>
            <w:pPr>
              <w:pStyle w:val="Compact"/>
              <w:jc w:val="left"/>
            </w:pPr>
            <w:r>
              <w:t xml:space="preserve">—</w:t>
            </w:r>
          </w:p>
        </w:tc>
      </w:tr>
    </w:tbl>
    <w:p>
      <w:pPr>
        <w:pStyle w:val="BodyText"/>
      </w:pPr>
      <w:r>
        <w:t xml:space="preserve">The comparison is unambiguous. Merchandise delivers higher per-unit revenue, superior margin retention, and direct fan economic relationships that no streaming platform can replicate. The average artist grosses more from merch at one show than most earn from streaming in a full year. For artists, the implication is clear: every hour spent optimizing merch strategy delivers a higher return than every hour spent chasing playlist placements.</w:t>
      </w:r>
    </w:p>
    <w:p>
      <w:pPr>
        <w:pStyle w:val="BodyText"/>
      </w:pPr>
      <w:r>
        <w:drawing>
          <wp:inline>
            <wp:extent cx="5334000" cy="3145057"/>
            <wp:effectExtent b="0" l="0" r="0" t="0"/>
            <wp:docPr descr="D2C Merch vs. Streaming Artist Net Revenue" title="" id="52" name="Picture"/>
            <a:graphic>
              <a:graphicData uri="http://schemas.openxmlformats.org/drawingml/2006/picture">
                <pic:pic>
                  <pic:nvPicPr>
                    <pic:cNvPr descr="chart_merch_vs_streaming.png" id="53" name="Picture"/>
                    <pic:cNvPicPr>
                      <a:picLocks noChangeArrowheads="1" noChangeAspect="1"/>
                    </pic:cNvPicPr>
                  </pic:nvPicPr>
                  <pic:blipFill>
                    <a:blip r:embed="rId51"/>
                    <a:stretch>
                      <a:fillRect/>
                    </a:stretch>
                  </pic:blipFill>
                  <pic:spPr bwMode="auto">
                    <a:xfrm>
                      <a:off x="0" y="0"/>
                      <a:ext cx="5334000" cy="3145057"/>
                    </a:xfrm>
                    <a:prstGeom prst="rect">
                      <a:avLst/>
                    </a:prstGeom>
                    <a:noFill/>
                    <a:ln w="9525">
                      <a:noFill/>
                      <a:headEnd/>
                      <a:tailEnd/>
                    </a:ln>
                  </pic:spPr>
                </pic:pic>
              </a:graphicData>
            </a:graphic>
          </wp:inline>
        </w:drawing>
      </w:r>
      <w:r>
        <w:t xml:space="preserve"> </w:t>
      </w:r>
      <w:r>
        <w:rPr>
          <w:iCs/>
          <w:i/>
        </w:rPr>
        <w:t xml:space="preserve">Figure 4.1: Artist net revenue from D2C merchandise sales compared to equivalent streaming revenue. At Spotify’s $0.004 average per-stream rate, a single hoodie sale ($60) returns more to the artist than 15,000 streams. Sources: atVenu 2025, Intercept Music 2023, One-Submit 2026.</w:t>
      </w:r>
    </w:p>
    <w:bookmarkEnd w:id="54"/>
    <w:bookmarkEnd w:id="55"/>
    <w:bookmarkStart w:id="63" w:name="market-size-and-growth"/>
    <w:p>
      <w:pPr>
        <w:pStyle w:val="Heading3"/>
      </w:pPr>
      <w:r>
        <w:t xml:space="preserve">4.2 Market Size and Growth</w:t>
      </w:r>
    </w:p>
    <w:bookmarkStart w:id="56" w:name="a-market-doubling-in-a-decade"/>
    <w:p>
      <w:pPr>
        <w:pStyle w:val="Heading4"/>
      </w:pPr>
      <w:r>
        <w:t xml:space="preserve">4.2.1 A Market Doubling in a Decade</w:t>
      </w:r>
    </w:p>
    <w:p>
      <w:pPr>
        <w:pStyle w:val="FirstParagraph"/>
      </w:pPr>
      <w:r>
        <w:t xml:space="preserve">The global artist merchandising market was valued at $6.8 billion in 2025 and is projected to reach $13.4 billion by 2034, expanding at a 7.8% compound annual growth rate (CAGR)</w:t>
      </w:r>
      <w:r>
        <w:t xml:space="preserve"> </w:t>
      </w:r>
      <w:fldSimple w:instr="NOTEREF _Ref_Footnote_9 \h \f">
        <w:r>
          <w:rPr>
            <w:vertAlign w:val="superscript"/>
          </w:rPr>
          <w:t>9</w:t>
        </w:r>
      </w:fldSimple>
      <w:r>
        <w:t xml:space="preserve">. Apparel captures the largest share at 38.5%, followed by accessories at 19.4%, posters and prints at 12.6%, music and media at 11.8%, and collectibles at 9.2% — the fastest-growing sub-segment at 11.3% CAGR</w:t>
      </w:r>
      <w:r>
        <w:t xml:space="preserve"> </w:t>
      </w:r>
      <w:fldSimple w:instr="NOTEREF _Ref_Footnote_9 \h \f">
        <w:r>
          <w:rPr>
            <w:vertAlign w:val="superscript"/>
          </w:rPr>
          <w:t>9</w:t>
        </w:r>
      </w:fldSimple>
      <w:r>
        <w:t xml:space="preserve">. Online stores are now the largest distribution channel at 41.3%, surpassing concerts and events at 29.6%</w:t>
      </w:r>
      <w:r>
        <w:t xml:space="preserve"> </w:t>
      </w:r>
      <w:fldSimple w:instr="NOTEREF _Ref_Footnote_9 \h \f">
        <w:r>
          <w:rPr>
            <w:vertAlign w:val="superscript"/>
          </w:rPr>
          <w:t>9</w:t>
        </w:r>
      </w:fldSimple>
      <w:r>
        <w:t xml:space="preserve">.</w:t>
      </w:r>
    </w:p>
    <w:p>
      <w:pPr>
        <w:pStyle w:val="BodyText"/>
      </w:pPr>
      <w:r>
        <w:t xml:space="preserve">MIDiA Research offers a broader forecast encompassing both digital and physical merchandise as well as physical music, projecting the total to reach $16.3 billion by 2030, though with annual growth decelerating to just 1.6% as the market matures</w:t>
      </w:r>
      <w:r>
        <w:t xml:space="preserve"> </w:t>
      </w:r>
      <w:fldSimple w:instr="NOTEREF _Ref_Footnote_87 \h \f">
        <w:r>
          <w:rPr>
            <w:vertAlign w:val="superscript"/>
          </w:rPr>
          <w:t>87</w:t>
        </w:r>
      </w:fldSimple>
      <w:r>
        <w:t xml:space="preserve">. Mordor Intelligence puts merchandising and licensing at $5.09 billion in 2024, up 16.4% year-over-year</w:t>
      </w:r>
      <w:r>
        <w:t xml:space="preserve"> </w:t>
      </w:r>
      <w:fldSimple w:instr="NOTEREF _Ref_Footnote_19 \h \f">
        <w:r>
          <w:rPr>
            <w:vertAlign w:val="superscript"/>
          </w:rPr>
          <w:t>19</w:t>
        </w:r>
      </w:fldSimple>
      <w:r>
        <w:t xml:space="preserve">. The variance in these figures reflects scope differences rather than contradictions — pure artist apparel and accessories sit at the lower end, while broader definitions incorporating physical music and licensing push toward the higher estimates.</w:t>
      </w:r>
    </w:p>
    <w:p>
      <w:pPr>
        <w:pStyle w:val="BodyText"/>
      </w:pPr>
      <w:r>
        <w:t xml:space="preserve">Within the broader music artist services market ($5.8 billion in 2025), merchandising accounts for 8.5% of revenue and is the fastest-growing service segment at 9.6% CAGR</w:t>
      </w:r>
      <w:r>
        <w:t xml:space="preserve"> </w:t>
      </w:r>
      <w:fldSimple w:instr="NOTEREF _Ref_Footnote_40 \h \f">
        <w:r>
          <w:rPr>
            <w:vertAlign w:val="superscript"/>
          </w:rPr>
          <w:t>40</w:t>
        </w:r>
      </w:fldSimple>
      <w:r>
        <w:t xml:space="preserve">. Independent artists represent 44.7% of end users — the largest segment — underscoring that merch growth is being driven not by major-label machinery but by the long tail of self-releasing creators</w:t>
      </w:r>
      <w:r>
        <w:t xml:space="preserve"> </w:t>
      </w:r>
      <w:fldSimple w:instr="NOTEREF _Ref_Footnote_40 \h \f">
        <w:r>
          <w:rPr>
            <w:vertAlign w:val="superscript"/>
          </w:rPr>
          <w:t>40</w:t>
        </w:r>
      </w:fldSimple>
      <w:r>
        <w:t xml:space="preserve">.</w:t>
      </w:r>
    </w:p>
    <w:bookmarkEnd w:id="56"/>
    <w:bookmarkStart w:id="57" w:name="X555bd7e6d1590cfd4d7e055ae38935a7061eefc"/>
    <w:p>
      <w:pPr>
        <w:pStyle w:val="Heading4"/>
      </w:pPr>
      <w:r>
        <w:t xml:space="preserve">4.2.2 Expanded Rights: The Fastest-Growing Segment in Music</w:t>
      </w:r>
    </w:p>
    <w:p>
      <w:pPr>
        <w:pStyle w:val="FirstParagraph"/>
      </w:pPr>
      <w:r>
        <w:t xml:space="preserve">In 2025,</w:t>
      </w:r>
      <w:r>
        <w:t xml:space="preserve"> </w:t>
      </w:r>
      <w:r>
        <w:t xml:space="preserve">“</w:t>
      </w:r>
      <w:r>
        <w:t xml:space="preserve">expanded rights</w:t>
      </w:r>
      <w:r>
        <w:t xml:space="preserve">”</w:t>
      </w:r>
      <w:r>
        <w:t xml:space="preserve"> </w:t>
      </w:r>
      <w:r>
        <w:t xml:space="preserve">— record labels’ participation in merchandise, live events, brand partnerships, and fan experiences — grew by 21.5%, making it the fastest-growing revenue category in recorded music</w:t>
      </w:r>
      <w:r>
        <w:t xml:space="preserve"> </w:t>
      </w:r>
      <w:fldSimple w:instr="NOTEREF _Ref_Footnote_17 \h \f">
        <w:r>
          <w:rPr>
            <w:vertAlign w:val="superscript"/>
          </w:rPr>
          <w:t>17</w:t>
        </w:r>
      </w:fldSimple>
      <w:r>
        <w:t xml:space="preserve">. This was the first time in the streaming era that streaming revenue grew slower than total market growth, a milestone that signals a fundamental rebalancing of the industry toward fan-centric revenue models</w:t>
      </w:r>
      <w:r>
        <w:t xml:space="preserve"> </w:t>
      </w:r>
      <w:fldSimple w:instr="NOTEREF _Ref_Footnote_17 \h \f">
        <w:r>
          <w:rPr>
            <w:vertAlign w:val="superscript"/>
          </w:rPr>
          <w:t>17</w:t>
        </w:r>
      </w:fldSimple>
      <w:r>
        <w:t xml:space="preserve"> </w:t>
      </w:r>
      <w:fldSimple w:instr="NOTEREF _Ref_Footnote_124 \h \f">
        <w:r>
          <w:rPr>
            <w:vertAlign w:val="superscript"/>
          </w:rPr>
          <w:t>124</w:t>
        </w:r>
      </w:fldSimple>
      <w:r>
        <w:t xml:space="preserve">.</w:t>
      </w:r>
    </w:p>
    <w:p>
      <w:pPr>
        <w:pStyle w:val="BodyText"/>
      </w:pPr>
      <w:r>
        <w:t xml:space="preserve">Since MIDiA began including expanded rights in recorded music market valuation in 2020, revenues for the segment have more than doubled</w:t>
      </w:r>
      <w:r>
        <w:t xml:space="preserve"> </w:t>
      </w:r>
      <w:fldSimple w:instr="NOTEREF _Ref_Footnote_17 \h \f">
        <w:r>
          <w:rPr>
            <w:vertAlign w:val="superscript"/>
          </w:rPr>
          <w:t>17</w:t>
        </w:r>
      </w:fldSimple>
      <w:r>
        <w:t xml:space="preserve">. Excluding expanded rights, total recorded music revenue growth would have been 7.7% instead of 9.4% in 2025</w:t>
      </w:r>
      <w:r>
        <w:t xml:space="preserve"> </w:t>
      </w:r>
      <w:fldSimple w:instr="NOTEREF _Ref_Footnote_17 \h \f">
        <w:r>
          <w:rPr>
            <w:vertAlign w:val="superscript"/>
          </w:rPr>
          <w:t>17</w:t>
        </w:r>
      </w:fldSimple>
      <w:r>
        <w:t xml:space="preserve">. Universal Music Group’s Bravado merchandising division reported revenue of EUR 811 million ($866 million) in 2025, with D2C sales representing 23% of physical music sales across 1,600+ online stores</w:t>
      </w:r>
      <w:r>
        <w:t xml:space="preserve"> </w:t>
      </w:r>
      <w:fldSimple w:instr="NOTEREF _Ref_Footnote_44 \h \f">
        <w:r>
          <w:rPr>
            <w:vertAlign w:val="superscript"/>
          </w:rPr>
          <w:t>44</w:t>
        </w:r>
      </w:fldSimple>
      <w:r>
        <w:t xml:space="preserve"> </w:t>
      </w:r>
      <w:r>
        <w:rPr>
          <w:vertAlign w:val="superscript"/>
        </w:rPr>
        <w:footnoteReference w:id="141"/>
      </w:r>
      <w:r>
        <w:t xml:space="preserve">.</w:t>
      </w:r>
    </w:p>
    <w:p>
      <w:pPr>
        <w:pStyle w:val="BodyText"/>
      </w:pPr>
      <w:r>
        <w:t xml:space="preserve">This shift is strategically significant. MIDiA analyst Mark Mulligan notes that streaming</w:t>
      </w:r>
      <w:r>
        <w:t xml:space="preserve"> </w:t>
      </w:r>
      <w:r>
        <w:t xml:space="preserve">“</w:t>
      </w:r>
      <w:r>
        <w:t xml:space="preserve">is very exposed to disruption</w:t>
      </w:r>
      <w:r>
        <w:t xml:space="preserve">”</w:t>
      </w:r>
      <w:r>
        <w:t xml:space="preserve"> </w:t>
      </w:r>
      <w:r>
        <w:t xml:space="preserve">from AI, price resistance, and shifts in Global South market dynamics</w:t>
      </w:r>
      <w:r>
        <w:t xml:space="preserve"> </w:t>
      </w:r>
      <w:fldSimple w:instr="NOTEREF _Ref_Footnote_124 \h \f">
        <w:r>
          <w:rPr>
            <w:vertAlign w:val="superscript"/>
          </w:rPr>
          <w:t>124</w:t>
        </w:r>
      </w:fldSimple>
      <w:r>
        <w:t xml:space="preserve">. Labels are diversifying into merchandise and live experiences precisely because these channels offer more durable, fan-level economics than streaming volume. The message from the industry’s largest rights holder is unmistakable: merchandise is not a peripheral revenue stream — it is central to the future of music monetization.</w:t>
      </w:r>
    </w:p>
    <w:bookmarkEnd w:id="57"/>
    <w:bookmarkStart w:id="58" w:name="the-superfan-multiplier"/>
    <w:p>
      <w:pPr>
        <w:pStyle w:val="Heading4"/>
      </w:pPr>
      <w:r>
        <w:t xml:space="preserve">4.2.3 The Superfan Multiplier</w:t>
      </w:r>
    </w:p>
    <w:p>
      <w:pPr>
        <w:pStyle w:val="FirstParagraph"/>
      </w:pPr>
      <w:r>
        <w:t xml:space="preserve">Goldman Sachs, in its Music in the Air 2025 report, identifies superfan monetization as a material revenue opportunity, estimating a potential annual uplift of $4.3 billion by 2026</w:t>
      </w:r>
      <w:r>
        <w:t xml:space="preserve"> </w:t>
      </w:r>
      <w:fldSimple w:instr="NOTEREF _Ref_Footnote_140 \h \f">
        <w:r>
          <w:rPr>
            <w:vertAlign w:val="superscript"/>
          </w:rPr>
          <w:t>140</w:t>
        </w:r>
      </w:fldSimple>
      <w:r>
        <w:t xml:space="preserve"> </w:t>
      </w:r>
      <w:fldSimple w:instr="NOTEREF _Ref_Footnote_74 \h \f">
        <w:r>
          <w:rPr>
            <w:vertAlign w:val="superscript"/>
          </w:rPr>
          <w:t>74</w:t>
        </w:r>
      </w:fldSimple>
      <w:r>
        <w:t xml:space="preserve">. The analysis assumes that 20% of paid streaming subscribers can be defined as superfans and that these users would spend twice as much as average subscribers. Tencent Music’s Super VIP tier — costing roughly 2.5x the premium subscription, with 12% penetration — is cited as a successful proof point</w:t>
      </w:r>
      <w:r>
        <w:t xml:space="preserve"> </w:t>
      </w:r>
      <w:fldSimple w:instr="NOTEREF _Ref_Footnote_140 \h \f">
        <w:r>
          <w:rPr>
            <w:vertAlign w:val="superscript"/>
          </w:rPr>
          <w:t>140</w:t>
        </w:r>
      </w:fldSimple>
      <w:r>
        <w:t xml:space="preserve">.</w:t>
      </w:r>
    </w:p>
    <w:p>
      <w:pPr>
        <w:pStyle w:val="BodyText"/>
      </w:pPr>
      <w:r>
        <w:t xml:space="preserve">Luminate’s data reinforces the Goldman thesis. Superfans, defined as the 20% of listeners who engage across five or more activation channels, spend $113 per month on live events (66% more than average) and $39 per month on physical purchases (105% more than average)</w:t>
      </w:r>
      <w:r>
        <w:t xml:space="preserve"> </w:t>
      </w:r>
      <w:fldSimple w:instr="NOTEREF _Ref_Footnote_18 \h \f">
        <w:r>
          <w:rPr>
            <w:vertAlign w:val="superscript"/>
          </w:rPr>
          <w:t>18</w:t>
        </w:r>
      </w:fldSimple>
      <w:r>
        <w:t xml:space="preserve"> </w:t>
      </w:r>
      <w:fldSimple w:instr="NOTEREF _Ref_Footnote_36 \h \f">
        <w:r>
          <w:rPr>
            <w:vertAlign w:val="superscript"/>
          </w:rPr>
          <w:t>36</w:t>
        </w:r>
      </w:fldSimple>
      <w:r>
        <w:t xml:space="preserve">. Ninety percent attend live shows versus 59% of general listeners; 73% purchase physical merchandise versus just 26% overall</w:t>
      </w:r>
      <w:r>
        <w:t xml:space="preserve"> </w:t>
      </w:r>
      <w:fldSimple w:instr="NOTEREF _Ref_Footnote_36 \h \f">
        <w:r>
          <w:rPr>
            <w:vertAlign w:val="superscript"/>
          </w:rPr>
          <w:t>36</w:t>
        </w:r>
      </w:fldSimple>
      <w:r>
        <w:t xml:space="preserve">. These are not passive consumers — they are the economic engine of artist businesses, and merchandise is their primary purchase vector.</w:t>
      </w:r>
    </w:p>
    <w:bookmarkEnd w:id="58"/>
    <w:bookmarkStart w:id="62" w:name="the-print-on-demand-revolution"/>
    <w:p>
      <w:pPr>
        <w:pStyle w:val="Heading4"/>
      </w:pPr>
      <w:r>
        <w:t xml:space="preserve">4.2.4 The Print-on-Demand Revolution</w:t>
      </w:r>
    </w:p>
    <w:p>
      <w:pPr>
        <w:pStyle w:val="FirstParagraph"/>
      </w:pPr>
      <w:r>
        <w:t xml:space="preserve">The infrastructure supporting artist merchandise is expanding as rapidly as demand. The global print-on-demand (POD) market was valued at $9.3-13 billion in 2024-2025, with consensus CAGR projections of 23-26% taking the market to $55-119 billion by 2032-2035</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 Three independent research firms — SNS Insider, Grand View Research, and Precedence Research — converge on figures in the same order of magnitude, lending confidence to the projection</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w:t>
      </w:r>
    </w:p>
    <w:p>
      <w:pPr>
        <w:pStyle w:val="BodyText"/>
      </w:pPr>
      <w:r>
        <w:t xml:space="preserve">North America dominates with approximately 36-38% revenue share, while Asia-Pacific is expected to grow at the fastest rate of 26-28% CAGR</w:t>
      </w:r>
      <w:r>
        <w:t xml:space="preserve"> </w:t>
      </w:r>
      <w:r>
        <w:rPr>
          <w:vertAlign w:val="superscript"/>
        </w:rPr>
        <w:footnoteReference w:id="142"/>
      </w:r>
      <w:r>
        <w:t xml:space="preserve">. Apparel captures 39-44% of POD revenue, while home decor is the fastest-growing segment at approximately 28% CAGR</w:t>
      </w:r>
      <w:r>
        <w:t xml:space="preserve"> </w:t>
      </w:r>
      <w:fldSimple w:instr="NOTEREF _Ref_Footnote_23 \h \f">
        <w:r>
          <w:rPr>
            <w:vertAlign w:val="superscript"/>
          </w:rPr>
          <w:t>23</w:t>
        </w:r>
      </w:fldSimple>
      <w:r>
        <w:t xml:space="preserve">. The European POD market alone was valued at $1.97 billion in 2024 and is projected to reach $13.69 billion by 2033 at a 24% CAGR</w:t>
      </w:r>
      <w:r>
        <w:t xml:space="preserve"> </w:t>
      </w:r>
      <w:r>
        <w:rPr>
          <w:vertAlign w:val="superscript"/>
        </w:rPr>
        <w:footnoteReference w:id="143"/>
      </w:r>
      <w:r>
        <w:t xml:space="preserve">.</w:t>
      </w:r>
    </w:p>
    <w:p>
      <w:pPr>
        <w:pStyle w:val="BodyText"/>
      </w:pPr>
      <w:r>
        <w:t xml:space="preserve">The competitive landscape is consolidating. The Printful-Printify merger in November 2024 created the largest European POD provider, signaling movement toward a</w:t>
      </w:r>
      <w:r>
        <w:t xml:space="preserve"> </w:t>
      </w:r>
      <w:r>
        <w:t xml:space="preserve">“</w:t>
      </w:r>
      <w:r>
        <w:t xml:space="preserve">Big Three</w:t>
      </w:r>
      <w:r>
        <w:t xml:space="preserve">”</w:t>
      </w:r>
      <w:r>
        <w:t xml:space="preserve"> </w:t>
      </w:r>
      <w:r>
        <w:t xml:space="preserve">global network alongside Gelato and Amazon Merch on Demand</w:t>
      </w:r>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 AI-powered design tools are eliminating creation barriers — by mid-2024, 65% of organizations were using generative AI regularly, reducing design creation time by up to 60%</w:t>
      </w:r>
      <w:r>
        <w:t xml:space="preserve"> </w:t>
      </w:r>
      <w:fldSimple w:instr="NOTEREF _Ref_Footnote_26 \h \f">
        <w:r>
          <w:rPr>
            <w:vertAlign w:val="superscript"/>
          </w:rPr>
          <w:t>26</w:t>
        </w:r>
      </w:fldSimple>
      <w:r>
        <w:t xml:space="preserve"> </w:t>
      </w:r>
      <w:r>
        <w:rPr>
          <w:vertAlign w:val="superscript"/>
        </w:rPr>
        <w:footnoteReference w:id="144"/>
      </w:r>
      <w:r>
        <w:t xml:space="preserve">. A creator can now produce a full product collection in an afternoon using tools costing roughly $20-30 per month</w:t>
      </w:r>
      <w:r>
        <w:t xml:space="preserve"> </w:t>
      </w:r>
      <w:r>
        <w:rPr>
          <w:vertAlign w:val="superscript"/>
        </w:rPr>
        <w:footnoteReference w:id="145"/>
      </w:r>
      <w:r>
        <w:t xml:space="preserve">.</w:t>
      </w:r>
    </w:p>
    <w:p>
      <w:pPr>
        <w:pStyle w:val="BodyText"/>
      </w:pPr>
      <w:r>
        <w:rPr>
          <w:bCs/>
          <w:b/>
        </w:rPr>
        <w:t xml:space="preserve">Table 2: Global Merchandise Market Projections Summary</w:t>
      </w:r>
    </w:p>
    <w:tbl>
      <w:tblPr>
        <w:tblStyle w:val="Table"/>
        <w:tblW w:type="pct" w:w="5000"/>
        <w:tblLook w:firstRow="1" w:lastRow="0" w:firstColumn="0" w:lastColumn="0" w:noHBand="0" w:noVBand="0" w:val="0020"/>
      </w:tblPr>
      <w:tblGrid>
        <w:gridCol w:w="1863"/>
        <w:gridCol w:w="1980"/>
        <w:gridCol w:w="2445"/>
        <w:gridCol w:w="698"/>
        <w:gridCol w:w="931"/>
      </w:tblGrid>
      <w:tr>
        <w:trPr>
          <w:tblHeader w:val="true"/>
        </w:trPr>
        <w:tc>
          <w:tcPr/>
          <w:p>
            <w:pPr>
              <w:pStyle w:val="Compact"/>
              <w:jc w:val="left"/>
            </w:pPr>
            <w:r>
              <w:t xml:space="preserve">Market Segment</w:t>
            </w:r>
          </w:p>
        </w:tc>
        <w:tc>
          <w:tcPr/>
          <w:p>
            <w:pPr>
              <w:pStyle w:val="Compact"/>
              <w:jc w:val="left"/>
            </w:pPr>
            <w:r>
              <w:t xml:space="preserve">2024-2025 Value</w:t>
            </w:r>
          </w:p>
        </w:tc>
        <w:tc>
          <w:tcPr/>
          <w:p>
            <w:pPr>
              <w:pStyle w:val="Compact"/>
              <w:jc w:val="left"/>
            </w:pPr>
            <w:r>
              <w:t xml:space="preserve">2030-2034 Projection</w:t>
            </w:r>
          </w:p>
        </w:tc>
        <w:tc>
          <w:tcPr/>
          <w:p>
            <w:pPr>
              <w:pStyle w:val="Compact"/>
              <w:jc w:val="left"/>
            </w:pPr>
            <w:r>
              <w:t xml:space="preserve">CAGR</w:t>
            </w:r>
          </w:p>
        </w:tc>
        <w:tc>
          <w:tcPr/>
          <w:p>
            <w:pPr>
              <w:pStyle w:val="Compact"/>
              <w:jc w:val="left"/>
            </w:pPr>
            <w:r>
              <w:t xml:space="preserve">Source</w:t>
            </w:r>
          </w:p>
        </w:tc>
      </w:tr>
      <w:tr>
        <w:tc>
          <w:tcPr/>
          <w:p>
            <w:pPr>
              <w:pStyle w:val="Compact"/>
              <w:jc w:val="left"/>
            </w:pPr>
            <w:r>
              <w:t xml:space="preserve">Artist merchandising (pure)</w:t>
            </w:r>
          </w:p>
        </w:tc>
        <w:tc>
          <w:tcPr/>
          <w:p>
            <w:pPr>
              <w:pStyle w:val="Compact"/>
              <w:jc w:val="left"/>
            </w:pPr>
            <w:r>
              <w:t xml:space="preserve">$6.8B (2025)</w:t>
            </w:r>
            <w:r>
              <w:t xml:space="preserve"> </w:t>
            </w:r>
            <w:fldSimple w:instr="NOTEREF _Ref_Footnote_9 \h \f">
              <w:r>
                <w:rPr>
                  <w:vertAlign w:val="superscript"/>
                </w:rPr>
                <w:t>9</w:t>
              </w:r>
            </w:fldSimple>
          </w:p>
        </w:tc>
        <w:tc>
          <w:tcPr/>
          <w:p>
            <w:pPr>
              <w:pStyle w:val="Compact"/>
              <w:jc w:val="left"/>
            </w:pPr>
            <w:r>
              <w:t xml:space="preserve">$13.4B (2034)</w:t>
            </w:r>
            <w:r>
              <w:t xml:space="preserve"> </w:t>
            </w:r>
            <w:fldSimple w:instr="NOTEREF _Ref_Footnote_9 \h \f">
              <w:r>
                <w:rPr>
                  <w:vertAlign w:val="superscript"/>
                </w:rPr>
                <w:t>9</w:t>
              </w:r>
            </w:fldSimple>
          </w:p>
        </w:tc>
        <w:tc>
          <w:tcPr/>
          <w:p>
            <w:pPr>
              <w:pStyle w:val="Compact"/>
              <w:jc w:val="left"/>
            </w:pPr>
            <w:r>
              <w:t xml:space="preserve">7.8%</w:t>
            </w:r>
          </w:p>
        </w:tc>
        <w:tc>
          <w:tcPr/>
          <w:p>
            <w:pPr>
              <w:pStyle w:val="Compact"/>
              <w:jc w:val="left"/>
            </w:pPr>
            <w:r>
              <w:t xml:space="preserve">Dataintelo</w:t>
            </w:r>
          </w:p>
        </w:tc>
      </w:tr>
      <w:tr>
        <w:tc>
          <w:tcPr/>
          <w:p>
            <w:pPr>
              <w:pStyle w:val="Compact"/>
              <w:jc w:val="left"/>
            </w:pPr>
            <w:r>
              <w:t xml:space="preserve">Merch + licensing</w:t>
            </w:r>
          </w:p>
        </w:tc>
        <w:tc>
          <w:tcPr/>
          <w:p>
            <w:pPr>
              <w:pStyle w:val="Compact"/>
              <w:jc w:val="left"/>
            </w:pPr>
            <w:r>
              <w:t xml:space="preserve">$5.09B (2024)</w:t>
            </w:r>
            <w:r>
              <w:t xml:space="preserve"> </w:t>
            </w:r>
            <w:fldSimple w:instr="NOTEREF _Ref_Footnote_19 \h \f">
              <w:r>
                <w:rPr>
                  <w:vertAlign w:val="superscript"/>
                </w:rPr>
                <w:t>19</w:t>
              </w:r>
            </w:fldSimple>
          </w:p>
        </w:tc>
        <w:tc>
          <w:tcPr/>
          <w:p>
            <w:pPr>
              <w:pStyle w:val="Compact"/>
              <w:jc w:val="left"/>
            </w:pPr>
            <w:r>
              <w:t xml:space="preserve">—</w:t>
            </w:r>
          </w:p>
        </w:tc>
        <w:tc>
          <w:tcPr/>
          <w:p>
            <w:pPr>
              <w:pStyle w:val="Compact"/>
              <w:jc w:val="left"/>
            </w:pPr>
            <w:r>
              <w:t xml:space="preserve">16.4% YoY</w:t>
            </w:r>
          </w:p>
        </w:tc>
        <w:tc>
          <w:tcPr/>
          <w:p>
            <w:pPr>
              <w:pStyle w:val="Compact"/>
              <w:jc w:val="left"/>
            </w:pPr>
            <w:r>
              <w:t xml:space="preserve">Mordor Intelligence</w:t>
            </w:r>
          </w:p>
        </w:tc>
      </w:tr>
      <w:tr>
        <w:tc>
          <w:tcPr/>
          <w:p>
            <w:pPr>
              <w:pStyle w:val="Compact"/>
              <w:jc w:val="left"/>
            </w:pPr>
            <w:r>
              <w:t xml:space="preserve">Merch + physical music (broad)</w:t>
            </w:r>
          </w:p>
        </w:tc>
        <w:tc>
          <w:tcPr/>
          <w:p>
            <w:pPr>
              <w:pStyle w:val="Compact"/>
              <w:jc w:val="left"/>
            </w:pPr>
            <w:r>
              <w:t xml:space="preserve">—</w:t>
            </w:r>
          </w:p>
        </w:tc>
        <w:tc>
          <w:tcPr/>
          <w:p>
            <w:pPr>
              <w:pStyle w:val="Compact"/>
              <w:jc w:val="left"/>
            </w:pPr>
            <w:r>
              <w:t xml:space="preserve">$16.3B (2030)</w:t>
            </w:r>
            <w:r>
              <w:t xml:space="preserve"> </w:t>
            </w:r>
            <w:fldSimple w:instr="NOTEREF _Ref_Footnote_87 \h \f">
              <w:r>
                <w:rPr>
                  <w:vertAlign w:val="superscript"/>
                </w:rPr>
                <w:t>87</w:t>
              </w:r>
            </w:fldSimple>
          </w:p>
        </w:tc>
        <w:tc>
          <w:tcPr/>
          <w:p>
            <w:pPr>
              <w:pStyle w:val="Compact"/>
              <w:jc w:val="left"/>
            </w:pPr>
            <w:r>
              <w:t xml:space="preserve">1.6% (decelerating)</w:t>
            </w:r>
          </w:p>
        </w:tc>
        <w:tc>
          <w:tcPr/>
          <w:p>
            <w:pPr>
              <w:pStyle w:val="Compact"/>
              <w:jc w:val="left"/>
            </w:pPr>
            <w:r>
              <w:t xml:space="preserve">MIDiA Research</w:t>
            </w:r>
          </w:p>
        </w:tc>
      </w:tr>
      <w:tr>
        <w:tc>
          <w:tcPr/>
          <w:p>
            <w:pPr>
              <w:pStyle w:val="Compact"/>
              <w:jc w:val="left"/>
            </w:pPr>
            <w:r>
              <w:t xml:space="preserve">Print-on-demand (global)</w:t>
            </w:r>
          </w:p>
        </w:tc>
        <w:tc>
          <w:tcPr/>
          <w:p>
            <w:pPr>
              <w:pStyle w:val="Compact"/>
              <w:jc w:val="left"/>
            </w:pPr>
            <w:r>
              <w:t xml:space="preserve">$9.3-13B (2024-25)</w:t>
            </w:r>
            <w:r>
              <w:t xml:space="preserve"> </w:t>
            </w:r>
            <w:fldSimple w:instr="NOTEREF _Ref_Footnote_23 \h \f">
              <w:r>
                <w:rPr>
                  <w:vertAlign w:val="superscript"/>
                </w:rPr>
                <w:t>23</w:t>
              </w:r>
            </w:fldSimple>
            <w:r>
              <w:t xml:space="preserve"> </w:t>
            </w:r>
            <w:fldSimple w:instr="NOTEREF _Ref_Footnote_24 \h \f">
              <w:r>
                <w:rPr>
                  <w:vertAlign w:val="superscript"/>
                </w:rPr>
                <w:t>24</w:t>
              </w:r>
            </w:fldSimple>
          </w:p>
        </w:tc>
        <w:tc>
          <w:tcPr/>
          <w:p>
            <w:pPr>
              <w:pStyle w:val="Compact"/>
              <w:jc w:val="left"/>
            </w:pPr>
            <w:r>
              <w:t xml:space="preserve">$55-119B (2032-35)</w:t>
            </w:r>
            <w:r>
              <w:t xml:space="preserve"> </w:t>
            </w:r>
            <w:fldSimple w:instr="NOTEREF _Ref_Footnote_23 \h \f">
              <w:r>
                <w:rPr>
                  <w:vertAlign w:val="superscript"/>
                </w:rPr>
                <w:t>23</w:t>
              </w:r>
            </w:fldSimple>
          </w:p>
        </w:tc>
        <w:tc>
          <w:tcPr/>
          <w:p>
            <w:pPr>
              <w:pStyle w:val="Compact"/>
              <w:jc w:val="left"/>
            </w:pPr>
            <w:r>
              <w:t xml:space="preserve">23-26%</w:t>
            </w:r>
          </w:p>
        </w:tc>
        <w:tc>
          <w:tcPr/>
          <w:p>
            <w:pPr>
              <w:pStyle w:val="Compact"/>
              <w:jc w:val="left"/>
            </w:pPr>
            <w:r>
              <w:t xml:space="preserve">SNS/Grand View/Precedence</w:t>
            </w:r>
          </w:p>
        </w:tc>
      </w:tr>
      <w:tr>
        <w:tc>
          <w:tcPr/>
          <w:p>
            <w:pPr>
              <w:pStyle w:val="Compact"/>
              <w:jc w:val="left"/>
            </w:pPr>
            <w:r>
              <w:t xml:space="preserve">European POD</w:t>
            </w:r>
          </w:p>
        </w:tc>
        <w:tc>
          <w:tcPr/>
          <w:p>
            <w:pPr>
              <w:pStyle w:val="Compact"/>
              <w:jc w:val="left"/>
            </w:pPr>
            <w:r>
              <w:t xml:space="preserve">$1.97B (2024)</w:t>
            </w:r>
            <w:r>
              <w:t xml:space="preserve"> </w:t>
            </w:r>
            <w:fldSimple w:instr="NOTEREF _Ref_Footnote_143 \h \f">
              <w:r>
                <w:rPr>
                  <w:vertAlign w:val="superscript"/>
                </w:rPr>
                <w:t>143</w:t>
              </w:r>
            </w:fldSimple>
          </w:p>
        </w:tc>
        <w:tc>
          <w:tcPr/>
          <w:p>
            <w:pPr>
              <w:pStyle w:val="Compact"/>
              <w:jc w:val="left"/>
            </w:pPr>
            <w:r>
              <w:t xml:space="preserve">$13.69B (2033)</w:t>
            </w:r>
            <w:r>
              <w:t xml:space="preserve"> </w:t>
            </w:r>
            <w:fldSimple w:instr="NOTEREF _Ref_Footnote_143 \h \f">
              <w:r>
                <w:rPr>
                  <w:vertAlign w:val="superscript"/>
                </w:rPr>
                <w:t>143</w:t>
              </w:r>
            </w:fldSimple>
          </w:p>
        </w:tc>
        <w:tc>
          <w:tcPr/>
          <w:p>
            <w:pPr>
              <w:pStyle w:val="Compact"/>
              <w:jc w:val="left"/>
            </w:pPr>
            <w:r>
              <w:t xml:space="preserve">24.1%</w:t>
            </w:r>
          </w:p>
        </w:tc>
        <w:tc>
          <w:tcPr/>
          <w:p>
            <w:pPr>
              <w:pStyle w:val="Compact"/>
              <w:jc w:val="left"/>
            </w:pPr>
            <w:r>
              <w:t xml:space="preserve">Market Data Forecast</w:t>
            </w:r>
          </w:p>
        </w:tc>
      </w:tr>
      <w:tr>
        <w:tc>
          <w:tcPr/>
          <w:p>
            <w:pPr>
              <w:pStyle w:val="Compact"/>
              <w:jc w:val="left"/>
            </w:pPr>
            <w:r>
              <w:t xml:space="preserve">Superfan monetization uplift</w:t>
            </w:r>
          </w:p>
        </w:tc>
        <w:tc>
          <w:tcPr/>
          <w:p>
            <w:pPr>
              <w:pStyle w:val="Compact"/>
              <w:jc w:val="left"/>
            </w:pPr>
            <w:r>
              <w:t xml:space="preserve">—</w:t>
            </w:r>
          </w:p>
        </w:tc>
        <w:tc>
          <w:tcPr/>
          <w:p>
            <w:pPr>
              <w:pStyle w:val="Compact"/>
              <w:jc w:val="left"/>
            </w:pPr>
            <w:r>
              <w:t xml:space="preserve">$4.3B/year (2026)</w:t>
            </w:r>
            <w:r>
              <w:t xml:space="preserve"> </w:t>
            </w:r>
            <w:fldSimple w:instr="NOTEREF _Ref_Footnote_140 \h \f">
              <w:r>
                <w:rPr>
                  <w:vertAlign w:val="superscript"/>
                </w:rPr>
                <w:t>140</w:t>
              </w:r>
            </w:fldSimple>
          </w:p>
        </w:tc>
        <w:tc>
          <w:tcPr/>
          <w:p>
            <w:pPr>
              <w:pStyle w:val="Compact"/>
              <w:jc w:val="left"/>
            </w:pPr>
            <w:r>
              <w:t xml:space="preserve">—</w:t>
            </w:r>
          </w:p>
        </w:tc>
        <w:tc>
          <w:tcPr/>
          <w:p>
            <w:pPr>
              <w:pStyle w:val="Compact"/>
              <w:jc w:val="left"/>
            </w:pPr>
            <w:r>
              <w:t xml:space="preserve">Goldman Sachs</w:t>
            </w:r>
          </w:p>
        </w:tc>
      </w:tr>
      <w:tr>
        <w:tc>
          <w:tcPr/>
          <w:p>
            <w:pPr>
              <w:pStyle w:val="Compact"/>
              <w:jc w:val="left"/>
            </w:pPr>
            <w:r>
              <w:t xml:space="preserve">Expanded rights (music)</w:t>
            </w:r>
          </w:p>
        </w:tc>
        <w:tc>
          <w:tcPr/>
          <w:p>
            <w:pPr>
              <w:pStyle w:val="Compact"/>
              <w:jc w:val="left"/>
            </w:pPr>
            <w:r>
              <w:t xml:space="preserve">—</w:t>
            </w:r>
          </w:p>
        </w:tc>
        <w:tc>
          <w:tcPr/>
          <w:p>
            <w:pPr>
              <w:pStyle w:val="Compact"/>
              <w:jc w:val="left"/>
            </w:pPr>
            <w:r>
              <w:t xml:space="preserve">&gt;2x since 2020</w:t>
            </w:r>
            <w:r>
              <w:t xml:space="preserve"> </w:t>
            </w:r>
            <w:fldSimple w:instr="NOTEREF _Ref_Footnote_17 \h \f">
              <w:r>
                <w:rPr>
                  <w:vertAlign w:val="superscript"/>
                </w:rPr>
                <w:t>17</w:t>
              </w:r>
            </w:fldSimple>
          </w:p>
        </w:tc>
        <w:tc>
          <w:tcPr/>
          <w:p>
            <w:pPr>
              <w:pStyle w:val="Compact"/>
              <w:jc w:val="left"/>
            </w:pPr>
            <w:r>
              <w:t xml:space="preserve">21.5% (2025)</w:t>
            </w:r>
          </w:p>
        </w:tc>
        <w:tc>
          <w:tcPr/>
          <w:p>
            <w:pPr>
              <w:pStyle w:val="Compact"/>
              <w:jc w:val="left"/>
            </w:pPr>
            <w:r>
              <w:t xml:space="preserve">MIDiA Research</w:t>
            </w:r>
          </w:p>
        </w:tc>
      </w:tr>
    </w:tbl>
    <w:p>
      <w:pPr>
        <w:pStyle w:val="BodyText"/>
      </w:pPr>
      <w:r>
        <w:drawing>
          <wp:inline>
            <wp:extent cx="5334000" cy="3150372"/>
            <wp:effectExtent b="0" l="0" r="0" t="0"/>
            <wp:docPr descr="Global Merchandise Market Projections" title="" id="60" name="Picture"/>
            <a:graphic>
              <a:graphicData uri="http://schemas.openxmlformats.org/drawingml/2006/picture">
                <pic:pic>
                  <pic:nvPicPr>
                    <pic:cNvPr descr="chart_market_growth.png" id="61" name="Picture"/>
                    <pic:cNvPicPr>
                      <a:picLocks noChangeArrowheads="1" noChangeAspect="1"/>
                    </pic:cNvPicPr>
                  </pic:nvPicPr>
                  <pic:blipFill>
                    <a:blip r:embed="rId59"/>
                    <a:stretch>
                      <a:fillRect/>
                    </a:stretch>
                  </pic:blipFill>
                  <pic:spPr bwMode="auto">
                    <a:xfrm>
                      <a:off x="0" y="0"/>
                      <a:ext cx="5334000" cy="3150372"/>
                    </a:xfrm>
                    <a:prstGeom prst="rect">
                      <a:avLst/>
                    </a:prstGeom>
                    <a:noFill/>
                    <a:ln w="9525">
                      <a:noFill/>
                      <a:headEnd/>
                      <a:tailEnd/>
                    </a:ln>
                  </pic:spPr>
                </pic:pic>
              </a:graphicData>
            </a:graphic>
          </wp:inline>
        </w:drawing>
      </w:r>
      <w:r>
        <w:t xml:space="preserve"> </w:t>
      </w:r>
      <w:r>
        <w:rPr>
          <w:iCs/>
          <w:i/>
        </w:rPr>
        <w:t xml:space="preserve">Figure 4.2: Global music merchandise and print-on-demand market projections (2023-2034). The POD market, growing at roughly 24.9% CAGR, is projected to reach $54.7 billion by 2032 — nearly 4x the size of the music-specific merch market. Sources: Dataintelo 2025, SNS Insider 2026, Grand View Research, Goldman Sachs Music in the Air 2025.</w:t>
      </w:r>
    </w:p>
    <w:p>
      <w:pPr>
        <w:pStyle w:val="BodyText"/>
      </w:pPr>
      <w:r>
        <w:t xml:space="preserve">The convergence of these trends creates a uniquely favorable environment. Demand is rising (superfan spending up, Gen Z leading live event expenditure, expanded rights growing at 21.5%). Infrastructure is improving (POD consolidation, AI design tools, D2C platform maturity). And the alternative revenue streams are deteriorating (streaming payouts declining, platform dependency increasing, brand deals down 52%). For artists considering merchandise, the timing is not merely good — it is structurally optimal.</w:t>
      </w:r>
    </w:p>
    <w:bookmarkEnd w:id="62"/>
    <w:bookmarkEnd w:id="63"/>
    <w:bookmarkStart w:id="68" w:name="case-studies-merch-as-primary-revenue"/>
    <w:p>
      <w:pPr>
        <w:pStyle w:val="Heading3"/>
      </w:pPr>
      <w:r>
        <w:t xml:space="preserve">4.3 Case Studies: Merch as Primary Revenue</w:t>
      </w:r>
    </w:p>
    <w:bookmarkStart w:id="64" w:name="X02d7626eeaeb6c444b111a6e31a186f03c65f38"/>
    <w:p>
      <w:pPr>
        <w:pStyle w:val="Heading4"/>
      </w:pPr>
      <w:r>
        <w:t xml:space="preserve">4.3.1 Taylor Swift: Merchandise as a $200 Million Business</w:t>
      </w:r>
    </w:p>
    <w:p>
      <w:pPr>
        <w:pStyle w:val="FirstParagraph"/>
      </w:pPr>
      <w:r>
        <w:t xml:space="preserve">Taylor Swift’s Eras Tour generated an estimated $200 million in merchandise revenue from the first 60 shows in 2023 alone — approximately $3 million in merchandise sold at every tour stop</w:t>
      </w:r>
      <w:r>
        <w:t xml:space="preserve"> </w:t>
      </w:r>
      <w:r>
        <w:rPr>
          <w:vertAlign w:val="superscript"/>
        </w:rPr>
        <w:footnoteReference w:id="146"/>
      </w:r>
      <w:r>
        <w:t xml:space="preserve"> </w:t>
      </w:r>
      <w:r>
        <w:rPr>
          <w:vertAlign w:val="superscript"/>
        </w:rPr>
        <w:footnoteReference w:id="147"/>
      </w:r>
      <w:r>
        <w:t xml:space="preserve">. To place this in context, Swift’s merch revenue from just her 2023 dates exceeded the total ticket sales of the #10 highest-grossing tour of 2023 (Drake, at $185 million)</w:t>
      </w:r>
      <w:r>
        <w:t xml:space="preserve"> </w:t>
      </w:r>
      <w:fldSimple w:instr="NOTEREF _Ref_Footnote_146 \h \f">
        <w:r>
          <w:rPr>
            <w:vertAlign w:val="superscript"/>
          </w:rPr>
          <w:t>146</w:t>
        </w:r>
      </w:fldSimple>
      <w:r>
        <w:t xml:space="preserve">. Universal Music Group explicitly credited the tour with boosting merchandising revenue by 12%</w:t>
      </w:r>
      <w:r>
        <w:t xml:space="preserve"> </w:t>
      </w:r>
      <w:fldSimple w:instr="NOTEREF _Ref_Footnote_146 \h \f">
        <w:r>
          <w:rPr>
            <w:vertAlign w:val="superscript"/>
          </w:rPr>
          <w:t>146</w:t>
        </w:r>
      </w:fldSimple>
      <w:r>
        <w:t xml:space="preserve">.</w:t>
      </w:r>
    </w:p>
    <w:p>
      <w:pPr>
        <w:pStyle w:val="BodyText"/>
      </w:pPr>
      <w:r>
        <w:t xml:space="preserve">Merchandise represented approximately 40% of total tour revenue for the Eras Tour, whose ticket sales ultimately exceeded $2 billion by the tour’s conclusion in December 2024</w:t>
      </w:r>
      <w:r>
        <w:t xml:space="preserve"> </w:t>
      </w:r>
      <w:fldSimple w:instr="NOTEREF _Ref_Footnote_110 \h \f">
        <w:r>
          <w:rPr>
            <w:vertAlign w:val="superscript"/>
          </w:rPr>
          <w:t>110</w:t>
        </w:r>
      </w:fldSimple>
      <w:r>
        <w:t xml:space="preserve">. The figures are extraordinary, but the underlying principle is universal: for a touring artist, merchandise is not an accessory to ticket sales — it is a co-equal revenue pillar. The 40% merch share of total tour revenue aligns with industry norms of 10-30% for most tours and up to 40% for major productions</w:t>
      </w:r>
      <w:r>
        <w:t xml:space="preserve"> </w:t>
      </w:r>
      <w:fldSimple w:instr="NOTEREF _Ref_Footnote_38 \h \f">
        <w:r>
          <w:rPr>
            <w:vertAlign w:val="superscript"/>
          </w:rPr>
          <w:t>38</w:t>
        </w:r>
      </w:fldSimple>
      <w:r>
        <w:t xml:space="preserve"> </w:t>
      </w:r>
      <w:fldSimple w:instr="NOTEREF _Ref_Footnote_67 \h \f">
        <w:r>
          <w:rPr>
            <w:vertAlign w:val="superscript"/>
          </w:rPr>
          <w:t>67</w:t>
        </w:r>
      </w:fldSimple>
      <w:r>
        <w:t xml:space="preserve">. Swift’s scale is unique, but the ratio applies broadly. An artist playing a 500-capacity venue with $10,000 in gross merch per show will, over a 20-date tour, generate $200,000 in merchandise revenue — a figure that dwarfs what all but the most-streamed independent artists earn from digital platforms annually.</w:t>
      </w:r>
    </w:p>
    <w:bookmarkEnd w:id="64"/>
    <w:bookmarkStart w:id="65" w:name="Xaffc2e81f196f6d6c0f372b66d24d98f7171147"/>
    <w:p>
      <w:pPr>
        <w:pStyle w:val="Heading4"/>
      </w:pPr>
      <w:r>
        <w:t xml:space="preserve">4.3.2 MrBeast: Content as Marketing, Merchandise as Profit</w:t>
      </w:r>
    </w:p>
    <w:p>
      <w:pPr>
        <w:pStyle w:val="FirstParagraph"/>
      </w:pPr>
      <w:r>
        <w:t xml:space="preserve">Jimmy Donaldson (MrBeast) has built the definitive case study for the creator economy. In 2024, his content business — YouTube channel plus the Amazon Prime reality series — generated approximately $250 million in revenue but lost nearly $80 million</w:t>
      </w:r>
      <w:r>
        <w:t xml:space="preserve"> </w:t>
      </w:r>
      <w:r>
        <w:rPr>
          <w:vertAlign w:val="superscript"/>
        </w:rPr>
        <w:footnoteReference w:id="148"/>
      </w:r>
      <w:r>
        <w:t xml:space="preserve">. His consumer products division, Feastables, generated $250 million in sales with a profit exceeding $20 million</w:t>
      </w:r>
      <w:r>
        <w:t xml:space="preserve"> </w:t>
      </w:r>
      <w:fldSimple w:instr="NOTEREF _Ref_Footnote_148 \h \f">
        <w:r>
          <w:rPr>
            <w:vertAlign w:val="superscript"/>
          </w:rPr>
          <w:t>148</w:t>
        </w:r>
      </w:fldSimple>
      <w:r>
        <w:t xml:space="preserve">. The chocolate business subsidized the content empire.</w:t>
      </w:r>
    </w:p>
    <w:p>
      <w:pPr>
        <w:pStyle w:val="BodyText"/>
      </w:pPr>
      <w:r>
        <w:t xml:space="preserve">This inversion is deliberate and instructive. Beast Industries, Donaldson’s holding company, operates on the principle that content is marketing, not the product</w:t>
      </w:r>
      <w:r>
        <w:t xml:space="preserve"> </w:t>
      </w:r>
      <w:r>
        <w:rPr>
          <w:vertAlign w:val="superscript"/>
        </w:rPr>
        <w:footnoteReference w:id="149"/>
      </w:r>
      <w:r>
        <w:t xml:space="preserve">. The real money is in consumer packaged goods. Merchandise constitutes approximately 40% of MrBeast’s annual income from the shopmrbeast.com apparel line alone, generating an estimated $2.25 million monthly ($27 million annually) separate from Feastables</w:t>
      </w:r>
      <w:r>
        <w:t xml:space="preserve"> </w:t>
      </w:r>
      <w:r>
        <w:rPr>
          <w:vertAlign w:val="superscript"/>
        </w:rPr>
        <w:footnoteReference w:id="150"/>
      </w:r>
      <w:r>
        <w:t xml:space="preserve"> </w:t>
      </w:r>
      <w:r>
        <w:rPr>
          <w:vertAlign w:val="superscript"/>
        </w:rPr>
        <w:footnoteReference w:id="151"/>
      </w:r>
      <w:r>
        <w:t xml:space="preserve">. His MrBeast Lab toy line drove $65 million in net sales within its first six months</w:t>
      </w:r>
      <w:r>
        <w:t xml:space="preserve"> </w:t>
      </w:r>
      <w:r>
        <w:rPr>
          <w:vertAlign w:val="superscript"/>
        </w:rPr>
        <w:footnoteReference w:id="152"/>
      </w:r>
      <w:r>
        <w:t xml:space="preserve">.</w:t>
      </w:r>
    </w:p>
    <w:p>
      <w:pPr>
        <w:pStyle w:val="BodyText"/>
      </w:pPr>
      <w:r>
        <w:t xml:space="preserve">The strategic insight is not that every creator should launch a chocolate brand. It is that content’s economic value is often negative when measured directly — it only becomes positive when it drives merchandise or product sales. MrBeast loses money on every YouTube video but gains a customer for life. For artists, the equivalent insight is that music distributed on streaming may have negative marginal economics (the artist pays in time and opportunity cost more than they earn in royalties), but it builds the audience that buys merchandise at positive margins.</w:t>
      </w:r>
    </w:p>
    <w:bookmarkEnd w:id="65"/>
    <w:bookmarkStart w:id="66" w:name="Xa8166d322669422ea357683bbe825d28a0f7c80"/>
    <w:p>
      <w:pPr>
        <w:pStyle w:val="Heading4"/>
      </w:pPr>
      <w:r>
        <w:t xml:space="preserve">4.3.3 Logan Paul, KSI, and Prime: From Content to $1.2 Billion in Retail</w:t>
      </w:r>
    </w:p>
    <w:p>
      <w:pPr>
        <w:pStyle w:val="FirstParagraph"/>
      </w:pPr>
      <w:r>
        <w:t xml:space="preserve">Logan Paul and KSI’s Prime Hydration achieved $1.2-1.3 billion in global sales in 2023 at peak, demonstrating the upper limits of creator-led physical product empires</w:t>
      </w:r>
      <w:r>
        <w:t xml:space="preserve"> </w:t>
      </w:r>
      <w:fldSimple w:instr="NOTEREF _Ref_Footnote_133 \h \f">
        <w:r>
          <w:rPr>
            <w:vertAlign w:val="superscript"/>
          </w:rPr>
          <w:t>133</w:t>
        </w:r>
      </w:fldSimple>
      <w:r>
        <w:t xml:space="preserve">. Each founder holds 20% ownership, making Prime the most successful creator-to-consumer-products transition to date. Paul’s earlier venture, Maverick Clothing, earned $30-50 million in its first year (2017-2018), at one point representing 60% of his total income</w:t>
      </w:r>
      <w:r>
        <w:t xml:space="preserve"> </w:t>
      </w:r>
      <w:fldSimple w:instr="NOTEREF _Ref_Footnote_136 \h \f">
        <w:r>
          <w:rPr>
            <w:vertAlign w:val="superscript"/>
          </w:rPr>
          <w:t>136</w:t>
        </w:r>
      </w:fldSimple>
      <w:r>
        <w:t xml:space="preserve">.</w:t>
      </w:r>
    </w:p>
    <w:p>
      <w:pPr>
        <w:pStyle w:val="BodyText"/>
      </w:pPr>
      <w:r>
        <w:t xml:space="preserve">Prime’s subsequent decline — revenue crashed 76% from $1.3 billion peak (2023) to a projected $300 million (2025) — is as instructive as its rise</w:t>
      </w:r>
      <w:r>
        <w:t xml:space="preserve"> </w:t>
      </w:r>
      <w:fldSimple w:instr="NOTEREF _Ref_Footnote_133 \h \f">
        <w:r>
          <w:rPr>
            <w:vertAlign w:val="superscript"/>
          </w:rPr>
          <w:t>133</w:t>
        </w:r>
      </w:fldSimple>
      <w:r>
        <w:t xml:space="preserve">. UK retailers sold bottles for 31 pence in clearance bins by mid-2025</w:t>
      </w:r>
      <w:r>
        <w:t xml:space="preserve"> </w:t>
      </w:r>
      <w:fldSimple w:instr="NOTEREF _Ref_Footnote_133 \h \f">
        <w:r>
          <w:rPr>
            <w:vertAlign w:val="superscript"/>
          </w:rPr>
          <w:t>133</w:t>
        </w:r>
      </w:fldSimple>
      <w:r>
        <w:t xml:space="preserve">. The factors behind the collapse are instructive: no meaningful product differentiation, FDA scrutiny over caffeine content, school bans, and supplier lawsuits. The lesson for artists is that creator-merch success requires authentic product-market fit, not just audience conversion. A well-designed t-shirt that genuinely represents an artist’s aesthetic has more durable demand than a functional beverage marketed primarily through influencer novelty.</w:t>
      </w:r>
    </w:p>
    <w:bookmarkEnd w:id="66"/>
    <w:bookmarkStart w:id="67" w:name="X7c6542e5f3dea4899539e7c2b4773b203b3fe84"/>
    <w:p>
      <w:pPr>
        <w:pStyle w:val="Heading4"/>
      </w:pPr>
      <w:r>
        <w:t xml:space="preserve">4.3.4 The Independent Artist Path: Bandcamp and D2C Sustainability</w:t>
      </w:r>
    </w:p>
    <w:p>
      <w:pPr>
        <w:pStyle w:val="FirstParagraph"/>
      </w:pPr>
      <w:r>
        <w:t xml:space="preserve">For artists without stadium-filling audiences or YouTube empires, the merchandise path remains viable — and in some respects, more efficient. Micro-influencers (10,000-100,000 followers) achieve 20% higher conversion rates than macro influencers, with cost per engagement at $0.20 versus $0.33 for larger creators</w:t>
      </w:r>
      <w:r>
        <w:t xml:space="preserve"> </w:t>
      </w:r>
      <w:fldSimple w:instr="NOTEREF _Ref_Footnote_117 \h \f">
        <w:r>
          <w:rPr>
            <w:vertAlign w:val="superscript"/>
          </w:rPr>
          <w:t>117</w:t>
        </w:r>
      </w:fldSimple>
      <w:r>
        <w:t xml:space="preserve">. Niche YouTube channels convert merchandise at 4-8% of engaged subscribers in tight categories (gaming, beauty, fitness) versus under 1% for broad channels</w:t>
      </w:r>
      <w:r>
        <w:t xml:space="preserve"> </w:t>
      </w:r>
      <w:fldSimple w:instr="NOTEREF _Ref_Footnote_135 \h \f">
        <w:r>
          <w:rPr>
            <w:vertAlign w:val="superscript"/>
          </w:rPr>
          <w:t>135</w:t>
        </w:r>
      </w:fldSimple>
      <w:r>
        <w:t xml:space="preserve">. Small channels with strong engagement frequently generate $500-$2,000 in monthly merch revenue before crossing the 10,000-subscriber threshold</w:t>
      </w:r>
      <w:r>
        <w:t xml:space="preserve"> </w:t>
      </w:r>
      <w:fldSimple w:instr="NOTEREF _Ref_Footnote_135 \h \f">
        <w:r>
          <w:rPr>
            <w:vertAlign w:val="superscript"/>
          </w:rPr>
          <w:t>135</w:t>
        </w:r>
      </w:fldSimple>
      <w:r>
        <w:t xml:space="preserve">.</w:t>
      </w:r>
    </w:p>
    <w:p>
      <w:pPr>
        <w:pStyle w:val="BodyText"/>
      </w:pPr>
      <w:r>
        <w:t xml:space="preserve">Bandcamp has become the proving ground for independent artist merchandise economics. Artists on the platform keep up to 82% of sales on Bandcamp Fridays (when the platform waives its revenue share), and 85% of consumers on Bandcamp pay above the minimum price for digital releases</w:t>
      </w:r>
      <w:r>
        <w:t xml:space="preserve"> </w:t>
      </w:r>
      <w:r>
        <w:rPr>
          <w:vertAlign w:val="superscript"/>
        </w:rPr>
        <w:footnoteReference w:id="153"/>
      </w:r>
      <w:r>
        <w:t xml:space="preserve">. While exact platform-wide merch revenue figures are not publicly disclosed, Bandcamp’s model — direct artist-to-fan sales with minimal platform take — demonstrates the D2C margin thesis at scale.</w:t>
      </w:r>
    </w:p>
    <w:p>
      <w:pPr>
        <w:pStyle w:val="BodyText"/>
      </w:pPr>
      <w:r>
        <w:t xml:space="preserve">The Sidemen Clothing brand generates £5-7 million annually with 15-20% profit margins, selling 58,000+ units in six-month periods</w:t>
      </w:r>
      <w:r>
        <w:t xml:space="preserve"> </w:t>
      </w:r>
      <w:fldSimple w:instr="NOTEREF _Ref_Footnote_132 \h \f">
        <w:r>
          <w:rPr>
            <w:vertAlign w:val="superscript"/>
          </w:rPr>
          <w:t>132</w:t>
        </w:r>
      </w:fldSimple>
      <w:r>
        <w:t xml:space="preserve">. PewDiePie has generated approximately $42 million in cumulative merchandise revenue over his career</w:t>
      </w:r>
      <w:r>
        <w:t xml:space="preserve"> </w:t>
      </w:r>
      <w:r>
        <w:rPr>
          <w:vertAlign w:val="superscript"/>
        </w:rPr>
        <w:footnoteReference w:id="154"/>
      </w:r>
      <w:r>
        <w:t xml:space="preserve">. Fourthwall, a creator commerce platform founded by a Teespring co-founder, now serves over 200,000 creators with zero platform fees on physical products</w:t>
      </w:r>
      <w:r>
        <w:t xml:space="preserve"> </w:t>
      </w:r>
      <w:fldSimple w:instr="NOTEREF _Ref_Footnote_128 \h \f">
        <w:r>
          <w:rPr>
            <w:vertAlign w:val="superscript"/>
          </w:rPr>
          <w:t>128</w:t>
        </w:r>
      </w:fldSimple>
      <w:r>
        <w:t xml:space="preserve">. Philip DeFranco reported a 10x merch revenue increase after switching to the platform</w:t>
      </w:r>
      <w:r>
        <w:t xml:space="preserve"> </w:t>
      </w:r>
      <w:fldSimple w:instr="NOTEREF _Ref_Footnote_128 \h \f">
        <w:r>
          <w:rPr>
            <w:vertAlign w:val="superscript"/>
          </w:rPr>
          <w:t>128</w:t>
        </w:r>
      </w:fldSimple>
      <w:r>
        <w:t xml:space="preserve">.</w:t>
      </w:r>
    </w:p>
    <w:p>
      <w:pPr>
        <w:pStyle w:val="BodyText"/>
      </w:pPr>
      <w:r>
        <w:t xml:space="preserve">For independent musicians specifically, the data is unequivocal. Only 13.3% of independent artists earn a living solely through music-related activities</w:t>
      </w:r>
      <w:r>
        <w:t xml:space="preserve"> </w:t>
      </w:r>
      <w:fldSimple w:instr="NOTEREF _Ref_Footnote_106 \h \f">
        <w:r>
          <w:rPr>
            <w:vertAlign w:val="superscript"/>
          </w:rPr>
          <w:t>106</w:t>
        </w:r>
      </w:fldSimple>
      <w:r>
        <w:t xml:space="preserve">. Seventy-seven percent earn less than $15,000 from their music annually</w:t>
      </w:r>
      <w:r>
        <w:t xml:space="preserve"> </w:t>
      </w:r>
      <w:fldSimple w:instr="NOTEREF _Ref_Footnote_106 \h \f">
        <w:r>
          <w:rPr>
            <w:vertAlign w:val="superscript"/>
          </w:rPr>
          <w:t>106</w:t>
        </w:r>
      </w:fldSimple>
      <w:r>
        <w:t xml:space="preserve">. Merchandise is not an incremental improvement on these numbers — it is the difference between an economically viable creative practice and one dependent on external support.</w:t>
      </w:r>
    </w:p>
    <w:p>
      <w:pPr>
        <w:pStyle w:val="BodyText"/>
      </w:pPr>
      <w:r>
        <w:rPr>
          <w:bCs/>
          <w:b/>
        </w:rPr>
        <w:t xml:space="preserve">Table 3: Creator Merch Revenue — Case Study Comparison</w:t>
      </w:r>
    </w:p>
    <w:tbl>
      <w:tblPr>
        <w:tblStyle w:val="Table"/>
        <w:tblW w:type="pct" w:w="5000"/>
        <w:tblLook w:firstRow="1" w:lastRow="0" w:firstColumn="0" w:lastColumn="0" w:noHBand="0" w:noVBand="0" w:val="0020"/>
      </w:tblPr>
      <w:tblGrid>
        <w:gridCol w:w="1667"/>
        <w:gridCol w:w="2292"/>
        <w:gridCol w:w="937"/>
        <w:gridCol w:w="2188"/>
        <w:gridCol w:w="833"/>
      </w:tblGrid>
      <w:tr>
        <w:trPr>
          <w:tblHeader w:val="true"/>
        </w:trPr>
        <w:tc>
          <w:tcPr/>
          <w:p>
            <w:pPr>
              <w:pStyle w:val="Compact"/>
              <w:jc w:val="left"/>
            </w:pPr>
            <w:r>
              <w:t xml:space="preserve">Creator/Artist</w:t>
            </w:r>
          </w:p>
        </w:tc>
        <w:tc>
          <w:tcPr/>
          <w:p>
            <w:pPr>
              <w:pStyle w:val="Compact"/>
              <w:jc w:val="left"/>
            </w:pPr>
            <w:r>
              <w:t xml:space="preserve">Merch/Product Revenue</w:t>
            </w:r>
          </w:p>
        </w:tc>
        <w:tc>
          <w:tcPr/>
          <w:p>
            <w:pPr>
              <w:pStyle w:val="Compact"/>
              <w:jc w:val="left"/>
            </w:pPr>
            <w:r>
              <w:t xml:space="preserve">Context</w:t>
            </w:r>
          </w:p>
        </w:tc>
        <w:tc>
          <w:tcPr/>
          <w:p>
            <w:pPr>
              <w:pStyle w:val="Compact"/>
              <w:jc w:val="left"/>
            </w:pPr>
            <w:r>
              <w:t xml:space="preserve">Merch as % of Income</w:t>
            </w:r>
          </w:p>
        </w:tc>
        <w:tc>
          <w:tcPr/>
          <w:p>
            <w:pPr>
              <w:pStyle w:val="Compact"/>
              <w:jc w:val="left"/>
            </w:pPr>
            <w:r>
              <w:t xml:space="preserve">Source</w:t>
            </w:r>
          </w:p>
        </w:tc>
      </w:tr>
      <w:tr>
        <w:tc>
          <w:tcPr/>
          <w:p>
            <w:pPr>
              <w:pStyle w:val="Compact"/>
              <w:jc w:val="left"/>
            </w:pPr>
            <w:r>
              <w:t xml:space="preserve">Taylor Swift (Eras Tour)</w:t>
            </w:r>
          </w:p>
        </w:tc>
        <w:tc>
          <w:tcPr/>
          <w:p>
            <w:pPr>
              <w:pStyle w:val="Compact"/>
              <w:jc w:val="left"/>
            </w:pPr>
            <w:r>
              <w:t xml:space="preserve">$200M (60 shows)</w:t>
            </w:r>
            <w:r>
              <w:t xml:space="preserve"> </w:t>
            </w:r>
            <w:fldSimple w:instr="NOTEREF _Ref_Footnote_146 \h \f">
              <w:r>
                <w:rPr>
                  <w:vertAlign w:val="superscript"/>
                </w:rPr>
                <w:t>146</w:t>
              </w:r>
            </w:fldSimple>
          </w:p>
        </w:tc>
        <w:tc>
          <w:tcPr/>
          <w:p>
            <w:pPr>
              <w:pStyle w:val="Compact"/>
              <w:jc w:val="left"/>
            </w:pPr>
            <w:r>
              <w:t xml:space="preserve">~$3M per tour stop</w:t>
            </w:r>
          </w:p>
        </w:tc>
        <w:tc>
          <w:tcPr/>
          <w:p>
            <w:pPr>
              <w:pStyle w:val="Compact"/>
              <w:jc w:val="left"/>
            </w:pPr>
            <w:r>
              <w:t xml:space="preserve">~40% of tour revenue</w:t>
            </w:r>
            <w:r>
              <w:t xml:space="preserve"> </w:t>
            </w:r>
            <w:fldSimple w:instr="NOTEREF _Ref_Footnote_38 \h \f">
              <w:r>
                <w:rPr>
                  <w:vertAlign w:val="superscript"/>
                </w:rPr>
                <w:t>38</w:t>
              </w:r>
            </w:fldSimple>
          </w:p>
        </w:tc>
        <w:tc>
          <w:tcPr/>
          <w:p>
            <w:pPr>
              <w:pStyle w:val="Compact"/>
              <w:jc w:val="left"/>
            </w:pPr>
            <w:r>
              <w:t xml:space="preserve">Pollstar/WSJ</w:t>
            </w:r>
          </w:p>
        </w:tc>
      </w:tr>
      <w:tr>
        <w:tc>
          <w:tcPr/>
          <w:p>
            <w:pPr>
              <w:pStyle w:val="Compact"/>
              <w:jc w:val="left"/>
            </w:pPr>
            <w:r>
              <w:t xml:space="preserve">MrBeast (Feastables)</w:t>
            </w:r>
          </w:p>
        </w:tc>
        <w:tc>
          <w:tcPr/>
          <w:p>
            <w:pPr>
              <w:pStyle w:val="Compact"/>
              <w:jc w:val="left"/>
            </w:pPr>
            <w:r>
              <w:t xml:space="preserve">$250M sales; $20M+ profit (2024)</w:t>
            </w:r>
            <w:r>
              <w:t xml:space="preserve"> </w:t>
            </w:r>
            <w:fldSimple w:instr="NOTEREF _Ref_Footnote_148 \h \f">
              <w:r>
                <w:rPr>
                  <w:vertAlign w:val="superscript"/>
                </w:rPr>
                <w:t>148</w:t>
              </w:r>
            </w:fldSimple>
          </w:p>
        </w:tc>
        <w:tc>
          <w:tcPr/>
          <w:p>
            <w:pPr>
              <w:pStyle w:val="Compact"/>
              <w:jc w:val="left"/>
            </w:pPr>
            <w:r>
              <w:t xml:space="preserve">Content biz lost $80M</w:t>
            </w:r>
          </w:p>
        </w:tc>
        <w:tc>
          <w:tcPr/>
          <w:p>
            <w:pPr>
              <w:pStyle w:val="Compact"/>
              <w:jc w:val="left"/>
            </w:pPr>
            <w:r>
              <w:t xml:space="preserve">Products subsidize content</w:t>
            </w:r>
          </w:p>
        </w:tc>
        <w:tc>
          <w:tcPr/>
          <w:p>
            <w:pPr>
              <w:pStyle w:val="Compact"/>
              <w:jc w:val="left"/>
            </w:pPr>
            <w:r>
              <w:t xml:space="preserve">Fortune</w:t>
            </w:r>
          </w:p>
        </w:tc>
      </w:tr>
      <w:tr>
        <w:tc>
          <w:tcPr/>
          <w:p>
            <w:pPr>
              <w:pStyle w:val="Compact"/>
              <w:jc w:val="left"/>
            </w:pPr>
            <w:r>
              <w:t xml:space="preserve">MrBeast (merch line)</w:t>
            </w:r>
          </w:p>
        </w:tc>
        <w:tc>
          <w:tcPr/>
          <w:p>
            <w:pPr>
              <w:pStyle w:val="Compact"/>
              <w:jc w:val="left"/>
            </w:pPr>
            <w:r>
              <w:t xml:space="preserve">~$27M/year</w:t>
            </w:r>
            <w:r>
              <w:t xml:space="preserve"> </w:t>
            </w:r>
            <w:fldSimple w:instr="NOTEREF _Ref_Footnote_150 \h \f">
              <w:r>
                <w:rPr>
                  <w:vertAlign w:val="superscript"/>
                </w:rPr>
                <w:t>150</w:t>
              </w:r>
            </w:fldSimple>
          </w:p>
        </w:tc>
        <w:tc>
          <w:tcPr/>
          <w:p>
            <w:pPr>
              <w:pStyle w:val="Compact"/>
              <w:jc w:val="left"/>
            </w:pPr>
            <w:r>
              <w:t xml:space="preserve">~$2.25M/month</w:t>
            </w:r>
          </w:p>
        </w:tc>
        <w:tc>
          <w:tcPr/>
          <w:p>
            <w:pPr>
              <w:pStyle w:val="Compact"/>
              <w:jc w:val="left"/>
            </w:pPr>
            <w:r>
              <w:t xml:space="preserve">~40% of annual income</w:t>
            </w:r>
            <w:r>
              <w:t xml:space="preserve"> </w:t>
            </w:r>
            <w:fldSimple w:instr="NOTEREF _Ref_Footnote_151 \h \f">
              <w:r>
                <w:rPr>
                  <w:vertAlign w:val="superscript"/>
                </w:rPr>
                <w:t>151</w:t>
              </w:r>
            </w:fldSimple>
          </w:p>
        </w:tc>
        <w:tc>
          <w:tcPr/>
          <w:p>
            <w:pPr>
              <w:pStyle w:val="Compact"/>
              <w:jc w:val="left"/>
            </w:pPr>
            <w:r>
              <w:t xml:space="preserve">Kartik Ahuja/Marca</w:t>
            </w:r>
          </w:p>
        </w:tc>
      </w:tr>
      <w:tr>
        <w:tc>
          <w:tcPr/>
          <w:p>
            <w:pPr>
              <w:pStyle w:val="Compact"/>
              <w:jc w:val="left"/>
            </w:pPr>
            <w:r>
              <w:t xml:space="preserve">Prime (Logan Paul/KSI)</w:t>
            </w:r>
          </w:p>
        </w:tc>
        <w:tc>
          <w:tcPr/>
          <w:p>
            <w:pPr>
              <w:pStyle w:val="Compact"/>
              <w:jc w:val="left"/>
            </w:pPr>
            <w:r>
              <w:t xml:space="preserve">$1.2-1.3B peak (2023)</w:t>
            </w:r>
            <w:r>
              <w:t xml:space="preserve"> </w:t>
            </w:r>
            <w:fldSimple w:instr="NOTEREF _Ref_Footnote_133 \h \f">
              <w:r>
                <w:rPr>
                  <w:vertAlign w:val="superscript"/>
                </w:rPr>
                <w:t>133</w:t>
              </w:r>
            </w:fldSimple>
          </w:p>
        </w:tc>
        <w:tc>
          <w:tcPr/>
          <w:p>
            <w:pPr>
              <w:pStyle w:val="Compact"/>
              <w:jc w:val="left"/>
            </w:pPr>
            <w:r>
              <w:t xml:space="preserve">Crashed 76% to $300M (2025)</w:t>
            </w:r>
          </w:p>
        </w:tc>
        <w:tc>
          <w:tcPr/>
          <w:p>
            <w:pPr>
              <w:pStyle w:val="Compact"/>
              <w:jc w:val="left"/>
            </w:pPr>
            <w:r>
              <w:t xml:space="preserve">Each founder: 20% ownership</w:t>
            </w:r>
          </w:p>
        </w:tc>
        <w:tc>
          <w:tcPr/>
          <w:p>
            <w:pPr>
              <w:pStyle w:val="Compact"/>
              <w:jc w:val="left"/>
            </w:pPr>
            <w:r>
              <w:t xml:space="preserve">Arthnova</w:t>
            </w:r>
          </w:p>
        </w:tc>
      </w:tr>
      <w:tr>
        <w:tc>
          <w:tcPr/>
          <w:p>
            <w:pPr>
              <w:pStyle w:val="Compact"/>
              <w:jc w:val="left"/>
            </w:pPr>
            <w:r>
              <w:t xml:space="preserve">Maverick Clothing (Logan Paul)</w:t>
            </w:r>
          </w:p>
        </w:tc>
        <w:tc>
          <w:tcPr/>
          <w:p>
            <w:pPr>
              <w:pStyle w:val="Compact"/>
              <w:jc w:val="left"/>
            </w:pPr>
            <w:r>
              <w:t xml:space="preserve">$30-50M first year</w:t>
            </w:r>
            <w:r>
              <w:t xml:space="preserve"> </w:t>
            </w:r>
            <w:fldSimple w:instr="NOTEREF _Ref_Footnote_136 \h \f">
              <w:r>
                <w:rPr>
                  <w:vertAlign w:val="superscript"/>
                </w:rPr>
                <w:t>136</w:t>
              </w:r>
            </w:fldSimple>
          </w:p>
        </w:tc>
        <w:tc>
          <w:tcPr/>
          <w:p>
            <w:pPr>
              <w:pStyle w:val="Compact"/>
              <w:jc w:val="left"/>
            </w:pPr>
            <w:r>
              <w:t xml:space="preserve">2017-2018 launch</w:t>
            </w:r>
          </w:p>
        </w:tc>
        <w:tc>
          <w:tcPr/>
          <w:p>
            <w:pPr>
              <w:pStyle w:val="Compact"/>
              <w:jc w:val="left"/>
            </w:pPr>
            <w:r>
              <w:t xml:space="preserve">60% of income at peak</w:t>
            </w:r>
          </w:p>
        </w:tc>
        <w:tc>
          <w:tcPr/>
          <w:p>
            <w:pPr>
              <w:pStyle w:val="Compact"/>
              <w:jc w:val="left"/>
            </w:pPr>
            <w:r>
              <w:t xml:space="preserve">Tubefilter</w:t>
            </w:r>
          </w:p>
        </w:tc>
      </w:tr>
      <w:tr>
        <w:tc>
          <w:tcPr/>
          <w:p>
            <w:pPr>
              <w:pStyle w:val="Compact"/>
              <w:jc w:val="left"/>
            </w:pPr>
            <w:r>
              <w:t xml:space="preserve">Sidemen Clothing</w:t>
            </w:r>
          </w:p>
        </w:tc>
        <w:tc>
          <w:tcPr/>
          <w:p>
            <w:pPr>
              <w:pStyle w:val="Compact"/>
              <w:jc w:val="left"/>
            </w:pPr>
            <w:r>
              <w:t xml:space="preserve">£5-7M/year</w:t>
            </w:r>
            <w:r>
              <w:t xml:space="preserve"> </w:t>
            </w:r>
            <w:fldSimple w:instr="NOTEREF _Ref_Footnote_132 \h \f">
              <w:r>
                <w:rPr>
                  <w:vertAlign w:val="superscript"/>
                </w:rPr>
                <w:t>132</w:t>
              </w:r>
            </w:fldSimple>
          </w:p>
        </w:tc>
        <w:tc>
          <w:tcPr/>
          <w:p>
            <w:pPr>
              <w:pStyle w:val="Compact"/>
              <w:jc w:val="left"/>
            </w:pPr>
            <w:r>
              <w:t xml:space="preserve">58K+ units/6 months</w:t>
            </w:r>
          </w:p>
        </w:tc>
        <w:tc>
          <w:tcPr/>
          <w:p>
            <w:pPr>
              <w:pStyle w:val="Compact"/>
              <w:jc w:val="left"/>
            </w:pPr>
            <w:r>
              <w:t xml:space="preserve">15-20% net margin</w:t>
            </w:r>
          </w:p>
        </w:tc>
        <w:tc>
          <w:tcPr/>
          <w:p>
            <w:pPr>
              <w:pStyle w:val="Compact"/>
              <w:jc w:val="left"/>
            </w:pPr>
            <w:r>
              <w:t xml:space="preserve">Arthnova</w:t>
            </w:r>
          </w:p>
        </w:tc>
      </w:tr>
      <w:tr>
        <w:tc>
          <w:tcPr/>
          <w:p>
            <w:pPr>
              <w:pStyle w:val="Compact"/>
              <w:jc w:val="left"/>
            </w:pPr>
            <w:r>
              <w:t xml:space="preserve">PewDiePie (lifetime merch)</w:t>
            </w:r>
          </w:p>
        </w:tc>
        <w:tc>
          <w:tcPr/>
          <w:p>
            <w:pPr>
              <w:pStyle w:val="Compact"/>
              <w:jc w:val="left"/>
            </w:pPr>
            <w:r>
              <w:t xml:space="preserve">~$42M cumulative</w:t>
            </w:r>
            <w:r>
              <w:t xml:space="preserve"> </w:t>
            </w:r>
            <w:fldSimple w:instr="NOTEREF _Ref_Footnote_154 \h \f">
              <w:r>
                <w:rPr>
                  <w:vertAlign w:val="superscript"/>
                </w:rPr>
                <w:t>154</w:t>
              </w:r>
            </w:fldSimple>
          </w:p>
        </w:tc>
        <w:tc>
          <w:tcPr/>
          <w:p>
            <w:pPr>
              <w:pStyle w:val="Compact"/>
              <w:jc w:val="left"/>
            </w:pPr>
            <w:r>
              <w:t xml:space="preserve">Ranked #1 YouTuber in branded merch sales</w:t>
            </w:r>
          </w:p>
        </w:tc>
        <w:tc>
          <w:tcPr/>
          <w:p>
            <w:pPr>
              <w:pStyle w:val="Compact"/>
              <w:jc w:val="left"/>
            </w:pPr>
            <w:r>
              <w:t xml:space="preserve">Core revenue stream</w:t>
            </w:r>
          </w:p>
        </w:tc>
        <w:tc>
          <w:tcPr/>
          <w:p>
            <w:pPr>
              <w:pStyle w:val="Compact"/>
              <w:jc w:val="left"/>
            </w:pPr>
            <w:r>
              <w:t xml:space="preserve">Influencer Marketing Hub</w:t>
            </w:r>
          </w:p>
        </w:tc>
      </w:tr>
      <w:tr>
        <w:tc>
          <w:tcPr/>
          <w:p>
            <w:pPr>
              <w:pStyle w:val="Compact"/>
              <w:jc w:val="left"/>
            </w:pPr>
            <w:r>
              <w:t xml:space="preserve">MrBeast Lab (toys)</w:t>
            </w:r>
          </w:p>
        </w:tc>
        <w:tc>
          <w:tcPr/>
          <w:p>
            <w:pPr>
              <w:pStyle w:val="Compact"/>
              <w:jc w:val="left"/>
            </w:pPr>
            <w:r>
              <w:t xml:space="preserve">$65M (first 6 months)</w:t>
            </w:r>
            <w:r>
              <w:t xml:space="preserve"> </w:t>
            </w:r>
            <w:fldSimple w:instr="NOTEREF _Ref_Footnote_152 \h \f">
              <w:r>
                <w:rPr>
                  <w:vertAlign w:val="superscript"/>
                </w:rPr>
                <w:t>152</w:t>
              </w:r>
            </w:fldSimple>
          </w:p>
        </w:tc>
        <w:tc>
          <w:tcPr/>
          <w:p>
            <w:pPr>
              <w:pStyle w:val="Compact"/>
              <w:jc w:val="left"/>
            </w:pPr>
            <w:r>
              <w:t xml:space="preserve">Post-launch velocity</w:t>
            </w:r>
          </w:p>
        </w:tc>
        <w:tc>
          <w:tcPr/>
          <w:p>
            <w:pPr>
              <w:pStyle w:val="Compact"/>
              <w:jc w:val="left"/>
            </w:pPr>
            <w:r>
              <w:t xml:space="preserve">Rapid audience-to-customer conversion</w:t>
            </w:r>
          </w:p>
        </w:tc>
        <w:tc>
          <w:tcPr/>
          <w:p>
            <w:pPr>
              <w:pStyle w:val="Compact"/>
              <w:jc w:val="left"/>
            </w:pPr>
            <w:r>
              <w:t xml:space="preserve">Business Insider</w:t>
            </w:r>
          </w:p>
        </w:tc>
      </w:tr>
    </w:tbl>
    <w:p>
      <w:pPr>
        <w:pStyle w:val="BodyText"/>
      </w:pPr>
      <w:r>
        <w:t xml:space="preserve">The case studies span the full spectrum of creator scale — from the largest tour in history (Swift) to the biggest creator on YouTube (MrBeast) to collective ventures (Sidemen) to independent artists on Bandcamp. What unites them is the structural reality that merchandise generates better per-fan economics than any platform-dependent alternative. Swift’s $3 million per stop is the headline, but the principle scales down: a 500-capacity artist making $10,000 per show in merch is following the same playbook at proportional scale.</w:t>
      </w:r>
    </w:p>
    <w:p>
      <w:pPr>
        <w:pStyle w:val="BodyText"/>
      </w:pPr>
      <w:r>
        <w:t xml:space="preserve">The implications for the three artist groups examined in this report are direct. Musicians facing the streaming squeeze can replace months of accumulated digital pennies with a single night’s merch table revenue. Tattoo artists capped by physical hours can sell branded aftercare, apparel, and art prints with 70-90% margins</w:t>
      </w:r>
      <w:r>
        <w:t xml:space="preserve"> </w:t>
      </w:r>
      <w:fldSimple w:instr="NOTEREF _Ref_Footnote_30 \h \f">
        <w:r>
          <w:rPr>
            <w:vertAlign w:val="superscript"/>
          </w:rPr>
          <w:t>30</w:t>
        </w:r>
      </w:fldSimple>
      <w:r>
        <w:t xml:space="preserve">— turning a one-time service into recurring product revenue. Digital creators watching brand deals collapse 52% year-over-year can build predictable, owned income streams that no algorithm can suppress. Merchandise works not because it is trendy, but because the unit economics are structurally superior to every alternative.</w:t>
      </w:r>
      <w:r>
        <w:t xml:space="preserve"> </w:t>
      </w:r>
      <w:r>
        <w:t xml:space="preserve">## 5. Merchandise as Community &amp; Marketing Engine</w:t>
      </w:r>
    </w:p>
    <w:p>
      <w:pPr>
        <w:pStyle w:val="BodyText"/>
      </w:pPr>
      <w:r>
        <w:t xml:space="preserve">Chapter 4 established that merchandise works financially: one t-shirt sale generates revenue equivalent to 8,750 Spotify streams, and direct-to-consumer (D2C) margins reach 60-75%. Yet framing merchandise solely as a revenue line misses the larger strategic value. Every piece of merch that leaves an artist’s store is also a marketing asset, a community signal, and a fan-engagement accelerator. The aggregate non-revenue value — brand impressions, loyalty amplification, and superfan conversion — often exceeds the direct profit from the sale itself. This chapter quantifies that hidden value and demonstrates why merchandise functions as the lowest-cost, highest-return marketing and community-building tool available to creators.</w:t>
      </w:r>
    </w:p>
    <w:bookmarkEnd w:id="67"/>
    <w:bookmarkEnd w:id="68"/>
    <w:bookmarkStart w:id="76" w:name="the-walking-billboard-effect"/>
    <w:p>
      <w:pPr>
        <w:pStyle w:val="Heading3"/>
      </w:pPr>
      <w:r>
        <w:t xml:space="preserve">5.1 The Walking Billboard Effect</w:t>
      </w:r>
    </w:p>
    <w:bookmarkStart w:id="72" w:name="the-cheapest-impressions-in-advertising"/>
    <w:p>
      <w:pPr>
        <w:pStyle w:val="Heading4"/>
      </w:pPr>
      <w:r>
        <w:t xml:space="preserve">5.1.1 The Cheapest Impressions in Advertising</w:t>
      </w:r>
    </w:p>
    <w:p>
      <w:pPr>
        <w:pStyle w:val="FirstParagraph"/>
      </w:pPr>
      <w:r>
        <w:t xml:space="preserve">The Advertising Specialty Institute (ASI) 2026 Global Ad Impressions Study, surveying nearly 5,000 consumers across the United States, Canada, Mexico, and Europe, found that a typical promotional product generates 3,300 brand impressions over its lifetime at an average cost of $0.006 — six-tenths of a cent — per impression</w:t>
      </w:r>
      <w:fldSimple w:instr="NOTEREF _Ref_Footnote_9 \h \f">
        <w:r>
          <w:rPr>
            <w:vertAlign w:val="superscript"/>
          </w:rPr>
          <w:t>9</w:t>
        </w:r>
      </w:fldSimple>
      <w:r>
        <w:t xml:space="preserve">. That cost outranks every major advertising channel, including television and digital platforms. To put the figure in context: at a time when Meta social media CPMs (cost per thousand impressions) averaged $14.19 in 2025 and television CPMs ranged from $25 to $35, promotional merchandise delivered brand exposure at roughly 1/2,365th the cost of paid social and 1/5,000th the cost of broadcast television.</w:t>
      </w:r>
    </w:p>
    <w:p>
      <w:pPr>
        <w:pStyle w:val="BodyText"/>
      </w:pPr>
      <w:r>
        <w:t xml:space="preserve">The economics vary by product category, but the directional advantage holds across all formats. A $6 branded tote bag generates approximately 5,000 impressions at a cost-per-impression of just $0.001 — one-tenth of a cent</w:t>
      </w:r>
      <w:fldSimple w:instr="NOTEREF _Ref_Footnote_9 \h \f">
        <w:r>
          <w:rPr>
            <w:vertAlign w:val="superscript"/>
          </w:rPr>
          <w:t>9</w:t>
        </w:r>
      </w:fldSimple>
      <w:r>
        <w:t xml:space="preserve">. Premium items such as fleece outerwear average $0.004 per impression or less while delivering the highest raw impression counts of any category</w:t>
      </w:r>
      <w:fldSimple w:instr="NOTEREF _Ref_Footnote_9 \h \f">
        <w:r>
          <w:rPr>
            <w:vertAlign w:val="superscript"/>
          </w:rPr>
          <w:t>9</w:t>
        </w:r>
      </w:fldSimple>
      <w:r>
        <w:t xml:space="preserve">. Even at the upper end of the promotional-product cost range, the channel remains orders of magnitude cheaper than its digital and broadcast counterparts.</w:t>
      </w:r>
    </w:p>
    <w:p>
      <w:pPr>
        <w:pStyle w:val="BodyText"/>
      </w:pPr>
      <w:r>
        <w:rPr>
          <w:bCs/>
          <w:b/>
        </w:rPr>
        <w:t xml:space="preserve">Figure 5.1 — Brand Impressions: Promotional Merchandise vs. Traditional Advertising Channels</w:t>
      </w:r>
    </w:p>
    <w:p>
      <w:pPr>
        <w:pStyle w:val="CaptionedFigure"/>
      </w:pPr>
      <w:r>
        <w:drawing>
          <wp:inline>
            <wp:extent cx="5334000" cy="3247792"/>
            <wp:effectExtent b="0" l="0" r="0" t="0"/>
            <wp:docPr descr="Brand Impressions Comparison" title="" id="70" name="Picture"/>
            <a:graphic>
              <a:graphicData uri="http://schemas.openxmlformats.org/drawingml/2006/picture">
                <pic:pic>
                  <pic:nvPicPr>
                    <pic:cNvPr descr="fig5_1_brand_impressions_comparison.png" id="71" name="Picture"/>
                    <pic:cNvPicPr>
                      <a:picLocks noChangeArrowheads="1" noChangeAspect="1"/>
                    </pic:cNvPicPr>
                  </pic:nvPicPr>
                  <pic:blipFill>
                    <a:blip r:embed="rId69"/>
                    <a:stretch>
                      <a:fillRect/>
                    </a:stretch>
                  </pic:blipFill>
                  <pic:spPr bwMode="auto">
                    <a:xfrm>
                      <a:off x="0" y="0"/>
                      <a:ext cx="5334000" cy="3247792"/>
                    </a:xfrm>
                    <a:prstGeom prst="rect">
                      <a:avLst/>
                    </a:prstGeom>
                    <a:noFill/>
                    <a:ln w="9525">
                      <a:noFill/>
                      <a:headEnd/>
                      <a:tailEnd/>
                    </a:ln>
                  </pic:spPr>
                </pic:pic>
              </a:graphicData>
            </a:graphic>
          </wp:inline>
        </w:drawing>
      </w:r>
    </w:p>
    <w:p>
      <w:pPr>
        <w:pStyle w:val="ImageCaption"/>
      </w:pPr>
      <w:r>
        <w:t xml:space="preserve">Brand Impressions Comparison</w:t>
      </w:r>
    </w:p>
    <w:p>
      <w:pPr>
        <w:pStyle w:val="BodyText"/>
      </w:pPr>
      <w:r>
        <w:rPr>
          <w:iCs/>
          <w:i/>
        </w:rPr>
        <w:t xml:space="preserve">Source: ASI 2026 Global Ad Impressions Study; Triple Whale Digital Advertising Benchmarks 2025.</w:t>
      </w:r>
    </w:p>
    <w:p>
      <w:pPr>
        <w:pStyle w:val="BodyText"/>
      </w:pPr>
      <w:r>
        <w:t xml:space="preserve">The chart reveals a structural cost gap that is not marginal but exponential. A creator spending $1,000 on promotional t-shirts achieves between 167,000 and 500,000 brand impressions, depending on product type. The same $1,000 spent on Meta advertising buys roughly 70,000 impressions — and those impressions vanish in milliseconds. The promotional product, by contrast, continues generating impressions every time it is worn, carried, or displayed, creating a marketing asset with a multi-year half-life.</w:t>
      </w:r>
    </w:p>
    <w:bookmarkEnd w:id="72"/>
    <w:bookmarkStart w:id="73" w:name="t-shirts-as-long-duration-brand-assets"/>
    <w:p>
      <w:pPr>
        <w:pStyle w:val="Heading4"/>
      </w:pPr>
      <w:r>
        <w:t xml:space="preserve">5.1.2 T-Shirts as Long-Duration Brand Assets</w:t>
      </w:r>
    </w:p>
    <w:p>
      <w:pPr>
        <w:pStyle w:val="FirstParagraph"/>
      </w:pPr>
      <w:r>
        <w:t xml:space="preserve">Within the music merchandise context, the t-shirt is the single most efficient impression engine. A single branded t-shirt generates 5,053 impressions over its lifetime, and 47% of consumers keep and wear promotional t-shirts for at least two years</w:t>
      </w:r>
      <w:fldSimple w:instr="NOTEREF _Ref_Footnote_30 \h \f">
        <w:r>
          <w:rPr>
            <w:vertAlign w:val="superscript"/>
          </w:rPr>
          <w:t>30</w:t>
        </w:r>
      </w:fldSimple>
      <w:r>
        <w:t xml:space="preserve">. At a $10 production cost, the cost per impression drops to one-fifth of a cent — five times lower than the promotional-product average</w:t>
      </w:r>
      <w:fldSimple w:instr="NOTEREF _Ref_Footnote_30 \h \f">
        <w:r>
          <w:rPr>
            <w:vertAlign w:val="superscript"/>
          </w:rPr>
          <w:t>30</w:t>
        </w:r>
      </w:fldSimple>
      <w:r>
        <w:t xml:space="preserve">. A t-shirt worn just once per week produces 52 brand impressions annually; a hoodie worn throughout winter generates thousands of impressions in a single season</w:t>
      </w:r>
      <w:fldSimple w:instr="NOTEREF _Ref_Footnote_15 \h \f">
        <w:r>
          <w:rPr>
            <w:vertAlign w:val="superscript"/>
          </w:rPr>
          <w:t>15</w:t>
        </w:r>
      </w:fldSimple>
      <w:r>
        <w:t xml:space="preserve">. Outerwear and fleece perform even better at 7,856 impressions per item over their lifetime</w:t>
      </w:r>
      <w:fldSimple w:instr="NOTEREF _Ref_Footnote_30 \h \f">
        <w:r>
          <w:rPr>
            <w:vertAlign w:val="superscript"/>
          </w:rPr>
          <w:t>30</w:t>
        </w:r>
      </w:fldSimple>
      <w:r>
        <w:t xml:space="preserve">.</w:t>
      </w:r>
    </w:p>
    <w:p>
      <w:pPr>
        <w:pStyle w:val="BodyText"/>
      </w:pPr>
      <w:r>
        <w:t xml:space="preserve">The persistence of these impressions is what separates merchandise from every other advertising format. Digital display ads are seen, ignored, and forgotten within seconds, achieving average click-through rates of 0.05%. Promotional items, by contrast, are kept for an average of eight months, extending brand exposure across seasons and social contexts</w:t>
      </w:r>
      <w:fldSimple w:instr="NOTEREF _Ref_Footnote_19 \h \f">
        <w:r>
          <w:rPr>
            <w:vertAlign w:val="superscript"/>
          </w:rPr>
          <w:t>19</w:t>
        </w:r>
      </w:fldSimple>
      <w:r>
        <w:t xml:space="preserve">. A concert t-shirt worn to a gym, a campus, or a grocery store introduces an artist’s brand to entirely new audiences — not through algorithmic targeting but through authentic, person-to-person visibility.</w:t>
      </w:r>
    </w:p>
    <w:bookmarkEnd w:id="73"/>
    <w:bookmarkStart w:id="74" w:name="brand-recall-85-vs.-10-20"/>
    <w:p>
      <w:pPr>
        <w:pStyle w:val="Heading4"/>
      </w:pPr>
      <w:r>
        <w:t xml:space="preserve">5.1.3 Brand Recall: 85% vs. 10-20%</w:t>
      </w:r>
    </w:p>
    <w:p>
      <w:pPr>
        <w:pStyle w:val="FirstParagraph"/>
      </w:pPr>
      <w:r>
        <w:t xml:space="preserve">The qualitative gap is as dramatic as the quantitative one. According to ASI research, 85% of consumers remember the advertiser who gave them a promotional product</w:t>
      </w:r>
      <w:fldSimple w:instr="NOTEREF _Ref_Footnote_19 \h \f">
        <w:r>
          <w:rPr>
            <w:vertAlign w:val="superscript"/>
          </w:rPr>
          <w:t>19</w:t>
        </w:r>
      </w:fldSimple>
      <w:r>
        <w:t xml:space="preserve">. Digital display ads achieve brand recall rates of only 10-20%</w:t>
      </w:r>
      <w:fldSimple w:instr="NOTEREF _Ref_Footnote_19 \h \f">
        <w:r>
          <w:rPr>
            <w:vertAlign w:val="superscript"/>
          </w:rPr>
          <w:t>19</w:t>
        </w:r>
      </w:fldSimple>
      <w:r>
        <w:t xml:space="preserve">. This eightfold advantage in memory encoding means that a fan who receives or purchases an artist’s merchandise is substantially more likely to recall the artist’s name, search for their music, and recommend them to friends than a consumer who encounters the same artist through any paid digital channel.</w:t>
      </w:r>
    </w:p>
    <w:p>
      <w:pPr>
        <w:pStyle w:val="BodyText"/>
      </w:pPr>
      <w:r>
        <w:t xml:space="preserve">The favorability effect compounds the recall advantage: 78% of consumers view a brand more favorably after receiving a promotional item, and 76% are more likely to do business with brands that provide them with branded merchandise</w:t>
      </w:r>
      <w:fldSimple w:instr="NOTEREF _Ref_Footnote_9 \h \f">
        <w:r>
          <w:rPr>
            <w:vertAlign w:val="superscript"/>
          </w:rPr>
          <w:t>9</w:t>
        </w:r>
      </w:fldSimple>
      <w:r>
        <w:t xml:space="preserve">. For independent artists, this translates into a direct causal pathway from merch distribution to streaming growth, ticket sales, and community expansion. The merch item is not merely an advertisement — it is a gift relationship that creates goodwill before any commercial transaction occurs.</w:t>
      </w:r>
    </w:p>
    <w:p>
      <w:pPr>
        <w:pStyle w:val="BodyText"/>
      </w:pPr>
      <w:r>
        <w:rPr>
          <w:bCs/>
          <w:b/>
        </w:rPr>
        <w:t xml:space="preserve">Table 5.1 — Advertising Channel Comparison: Cost, Recall, and Longevity</w:t>
      </w:r>
    </w:p>
    <w:tbl>
      <w:tblPr>
        <w:tblStyle w:val="Table"/>
        <w:tblW w:type="pct" w:w="5000"/>
        <w:tblLook w:firstRow="1" w:lastRow="0" w:firstColumn="0" w:lastColumn="0" w:noHBand="0" w:noVBand="0" w:val="0020"/>
      </w:tblPr>
      <w:tblGrid>
        <w:gridCol w:w="660"/>
        <w:gridCol w:w="1980"/>
        <w:gridCol w:w="1393"/>
        <w:gridCol w:w="1906"/>
        <w:gridCol w:w="1980"/>
      </w:tblGrid>
      <w:tr>
        <w:trPr>
          <w:tblHeader w:val="true"/>
        </w:trPr>
        <w:tc>
          <w:tcPr/>
          <w:p>
            <w:pPr>
              <w:pStyle w:val="Compact"/>
              <w:jc w:val="left"/>
            </w:pPr>
            <w:r>
              <w:t xml:space="preserve">Channel</w:t>
            </w:r>
          </w:p>
        </w:tc>
        <w:tc>
          <w:tcPr/>
          <w:p>
            <w:pPr>
              <w:pStyle w:val="Compact"/>
              <w:jc w:val="left"/>
            </w:pPr>
            <w:r>
              <w:t xml:space="preserve">Cost Per 1,000 Impressions</w:t>
            </w:r>
          </w:p>
        </w:tc>
        <w:tc>
          <w:tcPr/>
          <w:p>
            <w:pPr>
              <w:pStyle w:val="Compact"/>
              <w:jc w:val="left"/>
            </w:pPr>
            <w:r>
              <w:t xml:space="preserve">Brand Recall Rate</w:t>
            </w:r>
          </w:p>
        </w:tc>
        <w:tc>
          <w:tcPr/>
          <w:p>
            <w:pPr>
              <w:pStyle w:val="Compact"/>
              <w:jc w:val="left"/>
            </w:pPr>
            <w:r>
              <w:t xml:space="preserve">Average Exposure Duration</w:t>
            </w:r>
          </w:p>
        </w:tc>
        <w:tc>
          <w:tcPr/>
          <w:p>
            <w:pPr>
              <w:pStyle w:val="Compact"/>
              <w:jc w:val="left"/>
            </w:pPr>
            <w:r>
              <w:t xml:space="preserve">Action Rate After Exposure</w:t>
            </w:r>
          </w:p>
        </w:tc>
      </w:tr>
      <w:tr>
        <w:tc>
          <w:tcPr/>
          <w:p>
            <w:pPr>
              <w:pStyle w:val="Compact"/>
              <w:jc w:val="left"/>
            </w:pPr>
            <w:r>
              <w:t xml:space="preserve">Promotional products (avg)</w:t>
            </w:r>
          </w:p>
        </w:tc>
        <w:tc>
          <w:tcPr/>
          <w:p>
            <w:pPr>
              <w:pStyle w:val="Compact"/>
              <w:jc w:val="left"/>
            </w:pPr>
            <w:r>
              <w:t xml:space="preserve">$6.00</w:t>
            </w:r>
            <w:r>
              <w:t xml:space="preserve"> </w:t>
            </w:r>
            <w:fldSimple w:instr="NOTEREF _Ref_Footnote_9 \h \f">
              <w:r>
                <w:rPr>
                  <w:vertAlign w:val="superscript"/>
                </w:rPr>
                <w:t>9</w:t>
              </w:r>
            </w:fldSimple>
          </w:p>
        </w:tc>
        <w:tc>
          <w:tcPr/>
          <w:p>
            <w:pPr>
              <w:pStyle w:val="Compact"/>
              <w:jc w:val="left"/>
            </w:pPr>
            <w:r>
              <w:t xml:space="preserve">85%</w:t>
            </w:r>
            <w:r>
              <w:t xml:space="preserve"> </w:t>
            </w:r>
            <w:fldSimple w:instr="NOTEREF _Ref_Footnote_19 \h \f">
              <w:r>
                <w:rPr>
                  <w:vertAlign w:val="superscript"/>
                </w:rPr>
                <w:t>19</w:t>
              </w:r>
            </w:fldSimple>
          </w:p>
        </w:tc>
        <w:tc>
          <w:tcPr/>
          <w:p>
            <w:pPr>
              <w:pStyle w:val="Compact"/>
              <w:jc w:val="left"/>
            </w:pPr>
            <w:r>
              <w:t xml:space="preserve">8 months</w:t>
            </w:r>
          </w:p>
        </w:tc>
        <w:tc>
          <w:tcPr/>
          <w:p>
            <w:pPr>
              <w:pStyle w:val="Compact"/>
              <w:jc w:val="left"/>
            </w:pPr>
            <w:r>
              <w:t xml:space="preserve">76% more likely to do business</w:t>
            </w:r>
            <w:r>
              <w:t xml:space="preserve"> </w:t>
            </w:r>
            <w:fldSimple w:instr="NOTEREF _Ref_Footnote_9 \h \f">
              <w:r>
                <w:rPr>
                  <w:vertAlign w:val="superscript"/>
                </w:rPr>
                <w:t>9</w:t>
              </w:r>
            </w:fldSimple>
          </w:p>
        </w:tc>
      </w:tr>
      <w:tr>
        <w:tc>
          <w:tcPr/>
          <w:p>
            <w:pPr>
              <w:pStyle w:val="Compact"/>
              <w:jc w:val="left"/>
            </w:pPr>
            <w:r>
              <w:t xml:space="preserve">Branded t-shirts</w:t>
            </w:r>
          </w:p>
        </w:tc>
        <w:tc>
          <w:tcPr/>
          <w:p>
            <w:pPr>
              <w:pStyle w:val="Compact"/>
              <w:jc w:val="left"/>
            </w:pPr>
            <w:r>
              <w:t xml:space="preserve">$2.00</w:t>
            </w:r>
            <w:r>
              <w:t xml:space="preserve"> </w:t>
            </w:r>
            <w:fldSimple w:instr="NOTEREF _Ref_Footnote_30 \h \f">
              <w:r>
                <w:rPr>
                  <w:vertAlign w:val="superscript"/>
                </w:rPr>
                <w:t>30</w:t>
              </w:r>
            </w:fldSimple>
          </w:p>
        </w:tc>
        <w:tc>
          <w:tcPr/>
          <w:p>
            <w:pPr>
              <w:pStyle w:val="Compact"/>
              <w:jc w:val="left"/>
            </w:pPr>
            <w:r>
              <w:t xml:space="preserve">85%</w:t>
            </w:r>
            <w:r>
              <w:t xml:space="preserve"> </w:t>
            </w:r>
            <w:fldSimple w:instr="NOTEREF _Ref_Footnote_19 \h \f">
              <w:r>
                <w:rPr>
                  <w:vertAlign w:val="superscript"/>
                </w:rPr>
                <w:t>19</w:t>
              </w:r>
            </w:fldSimple>
          </w:p>
        </w:tc>
        <w:tc>
          <w:tcPr/>
          <w:p>
            <w:pPr>
              <w:pStyle w:val="Compact"/>
              <w:jc w:val="left"/>
            </w:pPr>
            <w:r>
              <w:t xml:space="preserve">2+ years (47% retention)</w:t>
            </w:r>
            <w:r>
              <w:t xml:space="preserve"> </w:t>
            </w:r>
            <w:fldSimple w:instr="NOTEREF _Ref_Footnote_30 \h \f">
              <w:r>
                <w:rPr>
                  <w:vertAlign w:val="superscript"/>
                </w:rPr>
                <w:t>30</w:t>
              </w:r>
            </w:fldSimple>
          </w:p>
        </w:tc>
        <w:tc>
          <w:tcPr/>
          <w:p>
            <w:pPr>
              <w:pStyle w:val="Compact"/>
              <w:jc w:val="left"/>
            </w:pPr>
            <w:r>
              <w:t xml:space="preserve">37% more likely to purchase</w:t>
            </w:r>
            <w:r>
              <w:t xml:space="preserve"> </w:t>
            </w:r>
            <w:fldSimple w:instr="NOTEREF _Ref_Footnote_30 \h \f">
              <w:r>
                <w:rPr>
                  <w:vertAlign w:val="superscript"/>
                </w:rPr>
                <w:t>30</w:t>
              </w:r>
            </w:fldSimple>
          </w:p>
        </w:tc>
      </w:tr>
      <w:tr>
        <w:tc>
          <w:tcPr/>
          <w:p>
            <w:pPr>
              <w:pStyle w:val="Compact"/>
              <w:jc w:val="left"/>
            </w:pPr>
            <w:r>
              <w:t xml:space="preserve">Tote bags</w:t>
            </w:r>
          </w:p>
        </w:tc>
        <w:tc>
          <w:tcPr/>
          <w:p>
            <w:pPr>
              <w:pStyle w:val="Compact"/>
              <w:jc w:val="left"/>
            </w:pPr>
            <w:r>
              <w:t xml:space="preserve">$1.00</w:t>
            </w:r>
            <w:r>
              <w:t xml:space="preserve"> </w:t>
            </w:r>
            <w:fldSimple w:instr="NOTEREF _Ref_Footnote_9 \h \f">
              <w:r>
                <w:rPr>
                  <w:vertAlign w:val="superscript"/>
                </w:rPr>
                <w:t>9</w:t>
              </w:r>
            </w:fldSimple>
          </w:p>
        </w:tc>
        <w:tc>
          <w:tcPr/>
          <w:p>
            <w:pPr>
              <w:pStyle w:val="Compact"/>
              <w:jc w:val="left"/>
            </w:pPr>
            <w:r>
              <w:t xml:space="preserve">—</w:t>
            </w:r>
          </w:p>
        </w:tc>
        <w:tc>
          <w:tcPr/>
          <w:p>
            <w:pPr>
              <w:pStyle w:val="Compact"/>
              <w:jc w:val="left"/>
            </w:pPr>
            <w:r>
              <w:t xml:space="preserve">1-3 years</w:t>
            </w:r>
          </w:p>
        </w:tc>
        <w:tc>
          <w:tcPr/>
          <w:p>
            <w:pPr>
              <w:pStyle w:val="Compact"/>
              <w:jc w:val="left"/>
            </w:pPr>
            <w:r>
              <w:t xml:space="preserve">—</w:t>
            </w:r>
          </w:p>
        </w:tc>
      </w:tr>
      <w:tr>
        <w:tc>
          <w:tcPr/>
          <w:p>
            <w:pPr>
              <w:pStyle w:val="Compact"/>
              <w:jc w:val="left"/>
            </w:pPr>
            <w:r>
              <w:t xml:space="preserve">Digital display ads</w:t>
            </w:r>
          </w:p>
        </w:tc>
        <w:tc>
          <w:tcPr/>
          <w:p>
            <w:pPr>
              <w:pStyle w:val="Compact"/>
              <w:jc w:val="left"/>
            </w:pPr>
            <w:r>
              <w:t xml:space="preserve">$4.00</w:t>
            </w:r>
            <w:r>
              <w:t xml:space="preserve"> </w:t>
            </w:r>
            <w:fldSimple w:instr="NOTEREF _Ref_Footnote_9 \h \f">
              <w:r>
                <w:rPr>
                  <w:vertAlign w:val="superscript"/>
                </w:rPr>
                <w:t>9</w:t>
              </w:r>
            </w:fldSimple>
          </w:p>
        </w:tc>
        <w:tc>
          <w:tcPr/>
          <w:p>
            <w:pPr>
              <w:pStyle w:val="Compact"/>
              <w:jc w:val="left"/>
            </w:pPr>
            <w:r>
              <w:t xml:space="preserve">10-20%</w:t>
            </w:r>
            <w:r>
              <w:t xml:space="preserve"> </w:t>
            </w:r>
            <w:fldSimple w:instr="NOTEREF _Ref_Footnote_19 \h \f">
              <w:r>
                <w:rPr>
                  <w:vertAlign w:val="superscript"/>
                </w:rPr>
                <w:t>19</w:t>
              </w:r>
            </w:fldSimple>
          </w:p>
        </w:tc>
        <w:tc>
          <w:tcPr/>
          <w:p>
            <w:pPr>
              <w:pStyle w:val="Compact"/>
              <w:jc w:val="left"/>
            </w:pPr>
            <w:r>
              <w:t xml:space="preserve">&lt;5 seconds</w:t>
            </w:r>
          </w:p>
        </w:tc>
        <w:tc>
          <w:tcPr/>
          <w:p>
            <w:pPr>
              <w:pStyle w:val="Compact"/>
              <w:jc w:val="left"/>
            </w:pPr>
            <w:r>
              <w:t xml:space="preserve">0.05% CTR</w:t>
            </w:r>
          </w:p>
        </w:tc>
      </w:tr>
      <w:tr>
        <w:tc>
          <w:tcPr/>
          <w:p>
            <w:pPr>
              <w:pStyle w:val="Compact"/>
              <w:jc w:val="left"/>
            </w:pPr>
            <w:r>
              <w:t xml:space="preserve">Social media (Meta)</w:t>
            </w:r>
          </w:p>
        </w:tc>
        <w:tc>
          <w:tcPr/>
          <w:p>
            <w:pPr>
              <w:pStyle w:val="Compact"/>
              <w:jc w:val="left"/>
            </w:pPr>
            <w:r>
              <w:t xml:space="preserve">$14.19</w:t>
            </w:r>
            <w:r>
              <w:t xml:space="preserve"> </w:t>
            </w:r>
            <w:fldSimple w:instr="NOTEREF _Ref_Footnote_9 \h \f">
              <w:r>
                <w:rPr>
                  <w:vertAlign w:val="superscript"/>
                </w:rPr>
                <w:t>9</w:t>
              </w:r>
            </w:fldSimple>
          </w:p>
        </w:tc>
        <w:tc>
          <w:tcPr/>
          <w:p>
            <w:pPr>
              <w:pStyle w:val="Compact"/>
              <w:jc w:val="left"/>
            </w:pPr>
            <w:r>
              <w:t xml:space="preserve">—</w:t>
            </w:r>
          </w:p>
        </w:tc>
        <w:tc>
          <w:tcPr/>
          <w:p>
            <w:pPr>
              <w:pStyle w:val="Compact"/>
              <w:jc w:val="left"/>
            </w:pPr>
            <w:r>
              <w:t xml:space="preserve">&lt;3 seconds</w:t>
            </w:r>
          </w:p>
        </w:tc>
        <w:tc>
          <w:tcPr/>
          <w:p>
            <w:pPr>
              <w:pStyle w:val="Compact"/>
              <w:jc w:val="left"/>
            </w:pPr>
            <w:r>
              <w:t xml:space="preserve">—</w:t>
            </w:r>
          </w:p>
        </w:tc>
      </w:tr>
      <w:tr>
        <w:tc>
          <w:tcPr/>
          <w:p>
            <w:pPr>
              <w:pStyle w:val="Compact"/>
              <w:jc w:val="left"/>
            </w:pPr>
            <w:r>
              <w:t xml:space="preserve">TV advertising</w:t>
            </w:r>
          </w:p>
        </w:tc>
        <w:tc>
          <w:tcPr/>
          <w:p>
            <w:pPr>
              <w:pStyle w:val="Compact"/>
              <w:jc w:val="left"/>
            </w:pPr>
            <w:r>
              <w:t xml:space="preserve">$30.00</w:t>
            </w:r>
            <w:r>
              <w:t xml:space="preserve"> </w:t>
            </w:r>
            <w:fldSimple w:instr="NOTEREF _Ref_Footnote_9 \h \f">
              <w:r>
                <w:rPr>
                  <w:vertAlign w:val="superscript"/>
                </w:rPr>
                <w:t>9</w:t>
              </w:r>
            </w:fldSimple>
          </w:p>
        </w:tc>
        <w:tc>
          <w:tcPr/>
          <w:p>
            <w:pPr>
              <w:pStyle w:val="Compact"/>
              <w:jc w:val="left"/>
            </w:pPr>
            <w:r>
              <w:t xml:space="preserve">—</w:t>
            </w:r>
          </w:p>
        </w:tc>
        <w:tc>
          <w:tcPr/>
          <w:p>
            <w:pPr>
              <w:pStyle w:val="Compact"/>
              <w:jc w:val="left"/>
            </w:pPr>
            <w:r>
              <w:t xml:space="preserve">15-30 seconds</w:t>
            </w:r>
          </w:p>
        </w:tc>
        <w:tc>
          <w:tcPr/>
          <w:p>
            <w:pPr>
              <w:pStyle w:val="Compact"/>
              <w:jc w:val="left"/>
            </w:pPr>
            <w:r>
              <w:t xml:space="preserve">—</w:t>
            </w:r>
          </w:p>
        </w:tc>
      </w:tr>
    </w:tbl>
    <w:p>
      <w:pPr>
        <w:pStyle w:val="BodyText"/>
      </w:pPr>
      <w:r>
        <w:t xml:space="preserve">The table consolidates the economic argument for merchandise-as-marketing. Promotional products achieve the lowest cost-per-thousand-impressions of any channel while simultaneously delivering the highest brand recall rate and the longest exposure duration. No other advertising format combines low cost, high recall, and multi-year persistence. For artists operating with limited marketing budgets — which describes virtually every independent creator — merchandise represents the only channel where every dollar spent generates both immediate revenue and long-term brand equity.</w:t>
      </w:r>
    </w:p>
    <w:bookmarkEnd w:id="74"/>
    <w:bookmarkStart w:id="75" w:name="from-impressions-to-action"/>
    <w:p>
      <w:pPr>
        <w:pStyle w:val="Heading4"/>
      </w:pPr>
      <w:r>
        <w:t xml:space="preserve">5.1.4 From Impressions to Action</w:t>
      </w:r>
    </w:p>
    <w:p>
      <w:pPr>
        <w:pStyle w:val="FirstParagraph"/>
      </w:pPr>
      <w:r>
        <w:t xml:space="preserve">The walking billboard effect is not merely theoretical. Spotify platform data confirms that fans who engage with an artist’s music — through follows, playlist additions, or track likes — account for more than 67% of all clicks on that artist’s merchandise</w:t>
      </w:r>
      <w:fldSimple w:instr="NOTEREF _Ref_Footnote_17 \h \f">
        <w:r>
          <w:rPr>
            <w:vertAlign w:val="superscript"/>
          </w:rPr>
          <w:t>17</w:t>
        </w:r>
      </w:fldSimple>
      <w:r>
        <w:t xml:space="preserve">. The causal arrow runs in both directions: music drives merch interest, and merch worn in public drives new listener discovery. New fans are 7.8 times more likely to click on an artist’s merchandise on the very first day they discover them compared to just one day later, and that first day represents more merch clicks on average than the next 40 days combined</w:t>
      </w:r>
      <w:fldSimple w:instr="NOTEREF _Ref_Footnote_17 \h \f">
        <w:r>
          <w:rPr>
            <w:vertAlign w:val="superscript"/>
          </w:rPr>
          <w:t>17</w:t>
        </w:r>
      </w:fldSimple>
      <w:r>
        <w:t xml:space="preserve">. The implication is that merch functions as a real-time capture mechanism for newly acquired fans, converting a fleeting streaming moment into a tangible physical relationship at the peak of initial enthusiasm.</w:t>
      </w:r>
    </w:p>
    <w:bookmarkEnd w:id="75"/>
    <w:bookmarkEnd w:id="76"/>
    <w:bookmarkStart w:id="81" w:name="superfan-economics"/>
    <w:p>
      <w:pPr>
        <w:pStyle w:val="Heading3"/>
      </w:pPr>
      <w:r>
        <w:t xml:space="preserve">5.2 Superfan Economics</w:t>
      </w:r>
    </w:p>
    <w:bookmarkStart w:id="77" w:name="the-5-who-drive-60"/>
    <w:p>
      <w:pPr>
        <w:pStyle w:val="Heading4"/>
      </w:pPr>
      <w:r>
        <w:t xml:space="preserve">5.2.1 The 5% Who Drive 60%</w:t>
      </w:r>
    </w:p>
    <w:p>
      <w:pPr>
        <w:pStyle w:val="FirstParagraph"/>
      </w:pPr>
      <w:r>
        <w:t xml:space="preserve">Superfans are not evenly distributed across an artist’s audience. Spotify data reveals that the top 5% of an artist’s fans listen six times more than the rest of the fan base and, critically, make 60% of all merchandise purchases</w:t>
      </w:r>
      <w:fldSimple w:instr="NOTEREF _Ref_Footnote_72 \h \f">
        <w:r>
          <w:rPr>
            <w:vertAlign w:val="superscript"/>
          </w:rPr>
          <w:t>72</w:t>
        </w:r>
      </w:fldSimple>
      <w:r>
        <w:t xml:space="preserve">. This concentration means that merch strategy should not target the median fan but the engaged fan — the listener who playlists tracks, views artist profiles, and attends shows. After a fan adds a track to their personal playlist, they look at the artist’s profile 12% more and end up making the majority of all merch purchases</w:t>
      </w:r>
      <w:fldSimple w:instr="NOTEREF _Ref_Footnote_72 \h \f">
        <w:r>
          <w:rPr>
            <w:vertAlign w:val="superscript"/>
          </w:rPr>
          <w:t>72</w:t>
        </w:r>
      </w:fldSimple>
      <w:r>
        <w:t xml:space="preserve">.</w:t>
      </w:r>
    </w:p>
    <w:p>
      <w:pPr>
        <w:pStyle w:val="BodyText"/>
      </w:pPr>
      <w:r>
        <w:t xml:space="preserve">The spending concentration aligns with broader audience segmentation. Superfans represent only 2% of an artist’s audience but account for 18% of total streams and spend 80% more per month on music activities than average listeners</w:t>
      </w:r>
      <w:fldSimple w:instr="NOTEREF _Ref_Footnote_87 \h \f">
        <w:r>
          <w:rPr>
            <w:vertAlign w:val="superscript"/>
          </w:rPr>
          <w:t>87</w:t>
        </w:r>
      </w:fldSimple>
      <w:r>
        <w:t xml:space="preserve">. Their annual spend across all artist-related products and experiences ranges from $200 to over $1,000</w:t>
      </w:r>
      <w:fldSimple w:instr="NOTEREF _Ref_Footnote_87 \h \f">
        <w:r>
          <w:rPr>
            <w:vertAlign w:val="superscript"/>
          </w:rPr>
          <w:t>87</w:t>
        </w:r>
      </w:fldSimple>
      <w:r>
        <w:t xml:space="preserve">. A separate estimate from Forbes, citing Fave Technologies data, places the average superfan buyer’s annual spend at $1,000 across all artist-generated revenue streams</w:t>
      </w:r>
      <w:fldSimple w:instr="NOTEREF _Ref_Footnote_68 \h \f">
        <w:r>
          <w:rPr>
            <w:vertAlign w:val="superscript"/>
          </w:rPr>
          <w:t>68</w:t>
        </w:r>
      </w:fldSimple>
      <w:r>
        <w:t xml:space="preserve">. The consistency across sources confirms a reliable spending tier that merchandise is uniquely positioned to capture.</w:t>
      </w:r>
    </w:p>
    <w:bookmarkEnd w:id="77"/>
    <w:bookmarkStart w:id="78" w:name="the-superfan-spending-pyramid"/>
    <w:p>
      <w:pPr>
        <w:pStyle w:val="Heading4"/>
      </w:pPr>
      <w:r>
        <w:t xml:space="preserve">5.2.2 The Superfan Spending Pyramid</w:t>
      </w:r>
    </w:p>
    <w:p>
      <w:pPr>
        <w:pStyle w:val="FirstParagraph"/>
      </w:pPr>
      <w:r>
        <w:t xml:space="preserve">Goldman Sachs’ Music in the Air report quantifies the aggregate opportunity: superfan monetization is projected to generate $4.3 billion in additional annual revenue by 2026, potentially reaching $6.6 billion by 2035</w:t>
      </w:r>
      <w:fldSimple w:instr="NOTEREF _Ref_Footnote_5 \h \f">
        <w:r>
          <w:rPr>
            <w:vertAlign w:val="superscript"/>
          </w:rPr>
          <w:t>5</w:t>
        </w:r>
      </w:fldSimple>
      <w:r>
        <w:t xml:space="preserve">. The investment bank’s analysis assumes that 20% of paid streaming subscribers can be defined as superfans willing to pay premium prices — a conservative estimate given that Luminate’s 2024 Year-End Report found 20% of US music listeners already qualify as superfans by behavioral criteria</w:t>
      </w:r>
      <w:fldSimple w:instr="NOTEREF _Ref_Footnote_18 \h \f">
        <w:r>
          <w:rPr>
            <w:vertAlign w:val="superscript"/>
          </w:rPr>
          <w:t>18</w:t>
        </w:r>
      </w:fldSimple>
      <w:r>
        <w:t xml:space="preserve">. These superfans spend an average of $113 per month on live music events — 66% more than the average listener — and $39 per month on physical purchases, 105% above the mean</w:t>
      </w:r>
      <w:fldSimple w:instr="NOTEREF _Ref_Footnote_18 \h \f">
        <w:r>
          <w:rPr>
            <w:vertAlign w:val="superscript"/>
          </w:rPr>
          <w:t>18</w:t>
        </w:r>
      </w:fldSimple>
      <w:r>
        <w:t xml:space="preserve">.</w:t>
      </w:r>
    </w:p>
    <w:p>
      <w:pPr>
        <w:pStyle w:val="BodyText"/>
      </w:pPr>
      <w:r>
        <w:rPr>
          <w:bCs/>
          <w:b/>
        </w:rPr>
        <w:t xml:space="preserve">Table 5.2 — Fan Segment Spending and Engagement Comparison</w:t>
      </w:r>
    </w:p>
    <w:tbl>
      <w:tblPr>
        <w:tblStyle w:val="Table"/>
        <w:tblW w:type="pct" w:w="5000"/>
        <w:tblLook w:firstRow="1" w:lastRow="0" w:firstColumn="0" w:lastColumn="0" w:noHBand="0" w:noVBand="0" w:val="0020"/>
      </w:tblPr>
      <w:tblGrid>
        <w:gridCol w:w="565"/>
        <w:gridCol w:w="1131"/>
        <w:gridCol w:w="1131"/>
        <w:gridCol w:w="1194"/>
        <w:gridCol w:w="1382"/>
        <w:gridCol w:w="1194"/>
        <w:gridCol w:w="1320"/>
      </w:tblGrid>
      <w:tr>
        <w:trPr>
          <w:tblHeader w:val="true"/>
        </w:trPr>
        <w:tc>
          <w:tcPr/>
          <w:p>
            <w:pPr>
              <w:pStyle w:val="Compact"/>
              <w:jc w:val="left"/>
            </w:pPr>
            <w:r>
              <w:t xml:space="preserve">Segment</w:t>
            </w:r>
          </w:p>
        </w:tc>
        <w:tc>
          <w:tcPr/>
          <w:p>
            <w:pPr>
              <w:pStyle w:val="Compact"/>
              <w:jc w:val="left"/>
            </w:pPr>
            <w:r>
              <w:t xml:space="preserve">Share of Audience</w:t>
            </w:r>
          </w:p>
        </w:tc>
        <w:tc>
          <w:tcPr/>
          <w:p>
            <w:pPr>
              <w:pStyle w:val="Compact"/>
              <w:jc w:val="left"/>
            </w:pPr>
            <w:r>
              <w:t xml:space="preserve">Share of Streams</w:t>
            </w:r>
          </w:p>
        </w:tc>
        <w:tc>
          <w:tcPr/>
          <w:p>
            <w:pPr>
              <w:pStyle w:val="Compact"/>
              <w:jc w:val="left"/>
            </w:pPr>
            <w:r>
              <w:t xml:space="preserve">Monthly Live Spend</w:t>
            </w:r>
          </w:p>
        </w:tc>
        <w:tc>
          <w:tcPr/>
          <w:p>
            <w:pPr>
              <w:pStyle w:val="Compact"/>
              <w:jc w:val="left"/>
            </w:pPr>
            <w:r>
              <w:t xml:space="preserve">Monthly Physical Spend</w:t>
            </w:r>
          </w:p>
        </w:tc>
        <w:tc>
          <w:tcPr/>
          <w:p>
            <w:pPr>
              <w:pStyle w:val="Compact"/>
              <w:jc w:val="left"/>
            </w:pPr>
            <w:r>
              <w:t xml:space="preserve">Annual Total Spend</w:t>
            </w:r>
          </w:p>
        </w:tc>
        <w:tc>
          <w:tcPr/>
          <w:p>
            <w:pPr>
              <w:pStyle w:val="Compact"/>
              <w:jc w:val="left"/>
            </w:pPr>
            <w:r>
              <w:t xml:space="preserve">Merch Purchase Share</w:t>
            </w:r>
          </w:p>
        </w:tc>
      </w:tr>
      <w:tr>
        <w:tc>
          <w:tcPr/>
          <w:p>
            <w:pPr>
              <w:pStyle w:val="Compact"/>
              <w:jc w:val="left"/>
            </w:pPr>
            <w:r>
              <w:t xml:space="preserve">Superfans (top 2%)</w:t>
            </w:r>
          </w:p>
        </w:tc>
        <w:tc>
          <w:tcPr/>
          <w:p>
            <w:pPr>
              <w:pStyle w:val="Compact"/>
              <w:jc w:val="left"/>
            </w:pPr>
            <w:r>
              <w:t xml:space="preserve">2%</w:t>
            </w:r>
            <w:r>
              <w:t xml:space="preserve"> </w:t>
            </w:r>
            <w:fldSimple w:instr="NOTEREF _Ref_Footnote_87 \h \f">
              <w:r>
                <w:rPr>
                  <w:vertAlign w:val="superscript"/>
                </w:rPr>
                <w:t>87</w:t>
              </w:r>
            </w:fldSimple>
          </w:p>
        </w:tc>
        <w:tc>
          <w:tcPr/>
          <w:p>
            <w:pPr>
              <w:pStyle w:val="Compact"/>
              <w:jc w:val="left"/>
            </w:pPr>
            <w:r>
              <w:t xml:space="preserve">18%</w:t>
            </w:r>
            <w:r>
              <w:t xml:space="preserve"> </w:t>
            </w:r>
            <w:fldSimple w:instr="NOTEREF _Ref_Footnote_87 \h \f">
              <w:r>
                <w:rPr>
                  <w:vertAlign w:val="superscript"/>
                </w:rPr>
                <w:t>87</w:t>
              </w:r>
            </w:fldSimple>
          </w:p>
        </w:tc>
        <w:tc>
          <w:tcPr/>
          <w:p>
            <w:pPr>
              <w:pStyle w:val="Compact"/>
              <w:jc w:val="left"/>
            </w:pPr>
            <w:r>
              <w:t xml:space="preserve">$113</w:t>
            </w:r>
            <w:r>
              <w:t xml:space="preserve"> </w:t>
            </w:r>
            <w:fldSimple w:instr="NOTEREF _Ref_Footnote_18 \h \f">
              <w:r>
                <w:rPr>
                  <w:vertAlign w:val="superscript"/>
                </w:rPr>
                <w:t>18</w:t>
              </w:r>
            </w:fldSimple>
          </w:p>
        </w:tc>
        <w:tc>
          <w:tcPr/>
          <w:p>
            <w:pPr>
              <w:pStyle w:val="Compact"/>
              <w:jc w:val="left"/>
            </w:pPr>
            <w:r>
              <w:t xml:space="preserve">$39</w:t>
            </w:r>
            <w:r>
              <w:t xml:space="preserve"> </w:t>
            </w:r>
            <w:fldSimple w:instr="NOTEREF _Ref_Footnote_18 \h \f">
              <w:r>
                <w:rPr>
                  <w:vertAlign w:val="superscript"/>
                </w:rPr>
                <w:t>18</w:t>
              </w:r>
            </w:fldSimple>
          </w:p>
        </w:tc>
        <w:tc>
          <w:tcPr/>
          <w:p>
            <w:pPr>
              <w:pStyle w:val="Compact"/>
              <w:jc w:val="left"/>
            </w:pPr>
            <w:r>
              <w:t xml:space="preserve">$200-$1,000+</w:t>
            </w:r>
            <w:r>
              <w:t xml:space="preserve"> </w:t>
            </w:r>
            <w:fldSimple w:instr="NOTEREF _Ref_Footnote_87 \h \f">
              <w:r>
                <w:rPr>
                  <w:vertAlign w:val="superscript"/>
                </w:rPr>
                <w:t>87</w:t>
              </w:r>
            </w:fldSimple>
          </w:p>
        </w:tc>
        <w:tc>
          <w:tcPr/>
          <w:p>
            <w:pPr>
              <w:pStyle w:val="Compact"/>
              <w:jc w:val="left"/>
            </w:pPr>
            <w:r>
              <w:t xml:space="preserve">60%</w:t>
            </w:r>
            <w:r>
              <w:t xml:space="preserve"> </w:t>
            </w:r>
            <w:fldSimple w:instr="NOTEREF _Ref_Footnote_72 \h \f">
              <w:r>
                <w:rPr>
                  <w:vertAlign w:val="superscript"/>
                </w:rPr>
                <w:t>72</w:t>
              </w:r>
            </w:fldSimple>
          </w:p>
        </w:tc>
      </w:tr>
      <w:tr>
        <w:tc>
          <w:tcPr/>
          <w:p>
            <w:pPr>
              <w:pStyle w:val="Compact"/>
              <w:jc w:val="left"/>
            </w:pPr>
            <w:r>
              <w:t xml:space="preserve">Engaged fans (top 5%)</w:t>
            </w:r>
          </w:p>
        </w:tc>
        <w:tc>
          <w:tcPr/>
          <w:p>
            <w:pPr>
              <w:pStyle w:val="Compact"/>
              <w:jc w:val="left"/>
            </w:pPr>
            <w:r>
              <w:t xml:space="preserve">5%</w:t>
            </w:r>
            <w:r>
              <w:t xml:space="preserve"> </w:t>
            </w:r>
            <w:fldSimple w:instr="NOTEREF _Ref_Footnote_72 \h \f">
              <w:r>
                <w:rPr>
                  <w:vertAlign w:val="superscript"/>
                </w:rPr>
                <w:t>72</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60%</w:t>
            </w:r>
            <w:r>
              <w:t xml:space="preserve"> </w:t>
            </w:r>
            <w:fldSimple w:instr="NOTEREF _Ref_Footnote_72 \h \f">
              <w:r>
                <w:rPr>
                  <w:vertAlign w:val="superscript"/>
                </w:rPr>
                <w:t>72</w:t>
              </w:r>
            </w:fldSimple>
          </w:p>
        </w:tc>
      </w:tr>
      <w:tr>
        <w:tc>
          <w:tcPr/>
          <w:p>
            <w:pPr>
              <w:pStyle w:val="Compact"/>
              <w:jc w:val="left"/>
            </w:pPr>
            <w:r>
              <w:t xml:space="preserve">Superfans (Luminate 20%)</w:t>
            </w:r>
          </w:p>
        </w:tc>
        <w:tc>
          <w:tcPr/>
          <w:p>
            <w:pPr>
              <w:pStyle w:val="Compact"/>
              <w:jc w:val="left"/>
            </w:pPr>
            <w:r>
              <w:t xml:space="preserve">20%</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$113</w:t>
            </w:r>
            <w:r>
              <w:t xml:space="preserve"> </w:t>
            </w:r>
            <w:fldSimple w:instr="NOTEREF _Ref_Footnote_18 \h \f">
              <w:r>
                <w:rPr>
                  <w:vertAlign w:val="superscript"/>
                </w:rPr>
                <w:t>18</w:t>
              </w:r>
            </w:fldSimple>
          </w:p>
        </w:tc>
        <w:tc>
          <w:tcPr/>
          <w:p>
            <w:pPr>
              <w:pStyle w:val="Compact"/>
              <w:jc w:val="left"/>
            </w:pPr>
            <w:r>
              <w:t xml:space="preserve">$39</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73% buy physical</w:t>
            </w:r>
            <w:r>
              <w:t xml:space="preserve"> </w:t>
            </w:r>
            <w:fldSimple w:instr="NOTEREF _Ref_Footnote_18 \h \f">
              <w:r>
                <w:rPr>
                  <w:vertAlign w:val="superscript"/>
                </w:rPr>
                <w:t>18</w:t>
              </w:r>
            </w:fldSimple>
          </w:p>
        </w:tc>
      </w:tr>
      <w:tr>
        <w:tc>
          <w:tcPr/>
          <w:p>
            <w:pPr>
              <w:pStyle w:val="Compact"/>
              <w:jc w:val="left"/>
            </w:pPr>
            <w:r>
              <w:t xml:space="preserve">Average listener</w:t>
            </w:r>
          </w:p>
        </w:tc>
        <w:tc>
          <w:tcPr/>
          <w:p>
            <w:pPr>
              <w:pStyle w:val="Compact"/>
              <w:jc w:val="left"/>
            </w:pPr>
            <w:r>
              <w:t xml:space="preserve">80%</w:t>
            </w:r>
          </w:p>
        </w:tc>
        <w:tc>
          <w:tcPr/>
          <w:p>
            <w:pPr>
              <w:pStyle w:val="Compact"/>
              <w:jc w:val="left"/>
            </w:pPr>
            <w:r>
              <w:t xml:space="preserve">82%</w:t>
            </w:r>
          </w:p>
        </w:tc>
        <w:tc>
          <w:tcPr/>
          <w:p>
            <w:pPr>
              <w:pStyle w:val="Compact"/>
              <w:jc w:val="left"/>
            </w:pPr>
            <w:r>
              <w:t xml:space="preserve">~$68</w:t>
            </w:r>
          </w:p>
        </w:tc>
        <w:tc>
          <w:tcPr/>
          <w:p>
            <w:pPr>
              <w:pStyle w:val="Compact"/>
              <w:jc w:val="left"/>
            </w:pPr>
            <w:r>
              <w:t xml:space="preserve">~$19</w:t>
            </w:r>
          </w:p>
        </w:tc>
        <w:tc>
          <w:tcPr/>
          <w:p>
            <w:pPr>
              <w:pStyle w:val="Compact"/>
              <w:jc w:val="left"/>
            </w:pPr>
            <w:r>
              <w:t xml:space="preserve">&lt;$100</w:t>
            </w:r>
          </w:p>
        </w:tc>
        <w:tc>
          <w:tcPr/>
          <w:p>
            <w:pPr>
              <w:pStyle w:val="Compact"/>
              <w:jc w:val="left"/>
            </w:pPr>
            <w:r>
              <w:t xml:space="preserve">26% buy physical</w:t>
            </w:r>
            <w:r>
              <w:t xml:space="preserve"> </w:t>
            </w:r>
            <w:fldSimple w:instr="NOTEREF _Ref_Footnote_18 \h \f">
              <w:r>
                <w:rPr>
                  <w:vertAlign w:val="superscript"/>
                </w:rPr>
                <w:t>18</w:t>
              </w:r>
            </w:fldSimple>
          </w:p>
        </w:tc>
      </w:tr>
    </w:tbl>
    <w:p>
      <w:pPr>
        <w:pStyle w:val="BodyText"/>
      </w:pPr>
      <w:r>
        <w:t xml:space="preserve">The table illustrates two distinct segmentation frameworks that coexist in industry data. Spotify’s behavioral segmentation identifies the top 5% of fans as the merchandise purchase engine, while Luminate’s broader survey-based approach captures 20% of listeners as superfans by self-reported engagement across five or more activation channels (streaming, social media, merchandise, live events, and physical music). Both frameworks lead to the same strategic conclusion: a minority of highly engaged fans generates the majority of merchandise revenue, and identifying and nurturing these fans is far more efficient than broadcasting merch offers to an entire follower base. Notably, 90% of Luminate-defined superfans attend live shows versus 59% of general listeners, and 73% purchase physical merchandise versus just 26% of the general population</w:t>
      </w:r>
      <w:fldSimple w:instr="NOTEREF _Ref_Footnote_18 \h \f">
        <w:r>
          <w:rPr>
            <w:vertAlign w:val="superscript"/>
          </w:rPr>
          <w:t>18</w:t>
        </w:r>
      </w:fldSimple>
      <w:r>
        <w:t xml:space="preserve">.</w:t>
      </w:r>
    </w:p>
    <w:bookmarkEnd w:id="78"/>
    <w:bookmarkStart w:id="79" w:name="gen-z-leads-the-charge"/>
    <w:p>
      <w:pPr>
        <w:pStyle w:val="Heading4"/>
      </w:pPr>
      <w:r>
        <w:t xml:space="preserve">5.2.3 Gen Z Leads the Charge</w:t>
      </w:r>
    </w:p>
    <w:p>
      <w:pPr>
        <w:pStyle w:val="FirstParagraph"/>
      </w:pPr>
      <w:r>
        <w:t xml:space="preserve">2024 marked the first time Gen Z topped all other generations in overall live event spending, averaging $75 per month — 23% higher than the average US music listener</w:t>
      </w:r>
      <w:fldSimple w:instr="NOTEREF _Ref_Footnote_36 \h \f">
        <w:r>
          <w:rPr>
            <w:vertAlign w:val="superscript"/>
          </w:rPr>
          <w:t>36</w:t>
        </w:r>
      </w:fldSimple>
      <w:r>
        <w:t xml:space="preserve">. Millennials still report the highest per-concert spend at $38 per event, but Gen Z’s aggregate commitment to live experiences signals a generational shift in fandom economics</w:t>
      </w:r>
      <w:fldSimple w:instr="NOTEREF _Ref_Footnote_93 \h \f">
        <w:r>
          <w:rPr>
            <w:vertAlign w:val="superscript"/>
          </w:rPr>
          <w:t>93</w:t>
        </w:r>
      </w:fldSimple>
      <w:r>
        <w:t xml:space="preserve">. This cohort is not only spending more but also spending more intentionally: 71% of surveyed 18-24-year-olds are willing to pay a premium for vinyl LPs produced with reduced environmental impact — the highest willingness-to-pay of any age group</w:t>
      </w:r>
      <w:fldSimple w:instr="NOTEREF _Ref_Footnote_30 \h \f">
        <w:r>
          <w:rPr>
            <w:vertAlign w:val="superscript"/>
          </w:rPr>
          <w:t>30</w:t>
        </w:r>
      </w:fldSimple>
      <w:r>
        <w:t xml:space="preserve">. The willingness to pay extra for ethically produced goods extends from vinyl to apparel, with 73% of Gen Z consumers reporting a readiness to spend more on sustainable products broadly</w:t>
      </w:r>
      <w:fldSimple w:instr="NOTEREF _Ref_Footnote_37 \h \f">
        <w:r>
          <w:rPr>
            <w:vertAlign w:val="superscript"/>
          </w:rPr>
          <w:t>37</w:t>
        </w:r>
      </w:fldSimple>
      <w:r>
        <w:t xml:space="preserve">.</w:t>
      </w:r>
    </w:p>
    <w:p>
      <w:pPr>
        <w:pStyle w:val="BodyText"/>
      </w:pPr>
      <w:r>
        <w:t xml:space="preserve">For artists, this means sustainability is not a marketing add-on but a core purchase driver for the generation that buys the most merchandise. Billie Eilish’s successful premium-priced sustainable merch line — hoodies priced at $95 to $236 with organic fabrics and ethically produced items — demonstrates that Gen Z will pay substantially above commodity prices for merchandise aligned with their values</w:t>
      </w:r>
      <w:fldSimple w:instr="NOTEREF _Ref_Footnote_10 \h \f">
        <w:r>
          <w:rPr>
            <w:vertAlign w:val="superscript"/>
          </w:rPr>
          <w:t>10</w:t>
        </w:r>
      </w:fldSimple>
      <w:r>
        <w:t xml:space="preserve">. Artists who embed sustainability into their merch strategy capture both a price premium and a loyalty advantage with the highest-spending generational cohort.</w:t>
      </w:r>
    </w:p>
    <w:bookmarkEnd w:id="79"/>
    <w:bookmarkStart w:id="80" w:name="Xd4eef9073b4123ce1e2472b9840260e13054f0c"/>
    <w:p>
      <w:pPr>
        <w:pStyle w:val="Heading4"/>
      </w:pPr>
      <w:r>
        <w:t xml:space="preserve">5.2.4 Emotional Connection Multiplies Lifetime Value</w:t>
      </w:r>
    </w:p>
    <w:p>
      <w:pPr>
        <w:pStyle w:val="FirstParagraph"/>
      </w:pPr>
      <w:r>
        <w:t xml:space="preserve">The financial logic of superfan merchandise spending extends beyond individual transactions to lifetime value. Emotionally connected customers are, on average, four times more likely to visit and four times more likely to spend, driving up to eight times more visits and sales than transactionally motivated customers</w:t>
      </w:r>
      <w:fldSimple w:instr="NOTEREF _Ref_Footnote_18 \h \f">
        <w:r>
          <w:rPr>
            <w:vertAlign w:val="superscript"/>
          </w:rPr>
          <w:t>18</w:t>
        </w:r>
      </w:fldSimple>
      <w:r>
        <w:t xml:space="preserve">. Academic research confirms that emotional attachment is a strong predictor of consumer loyalty, explaining 76% of loyalty variance in quantitative survey-based studies</w:t>
      </w:r>
      <w:fldSimple w:instr="NOTEREF _Ref_Footnote_127 \h \f">
        <w:r>
          <w:rPr>
            <w:vertAlign w:val="superscript"/>
          </w:rPr>
          <w:t>127</w:t>
        </w:r>
      </w:fldSimple>
      <w:r>
        <w:t xml:space="preserve">. For artists, this means that merchandise which deepens emotional attachment — limited edition drops tied to album releases, concert-exclusive items, or community-designed products — does not merely generate a one-time sale. It creates a feedback loop in which the physical item anchors the fan’s identity to the artist, increasing future spending across all categories including streaming, ticketing, and subscriptions.</w:t>
      </w:r>
    </w:p>
    <w:p>
      <w:pPr>
        <w:pStyle w:val="BodyText"/>
      </w:pPr>
      <w:r>
        <w:t xml:space="preserve">Vevo’s 2025 Media Tracker survey of 6,101 respondents across the US, UK, and Australia found that 96% of consumers identify as part of some fandom, and 89% of music fans say their fandom is central to their identity</w:t>
      </w:r>
      <w:fldSimple w:instr="NOTEREF _Ref_Footnote_74 \h \f">
        <w:r>
          <w:rPr>
            <w:vertAlign w:val="superscript"/>
          </w:rPr>
          <w:t>74</w:t>
        </w:r>
      </w:fldSimple>
      <w:r>
        <w:t xml:space="preserve">. Sixty percent of fans reported being more likely to spend money with brands that align with their favorite artists or fan communities</w:t>
      </w:r>
      <w:fldSimple w:instr="NOTEREF _Ref_Footnote_74 \h \f">
        <w:r>
          <w:rPr>
            <w:vertAlign w:val="superscript"/>
          </w:rPr>
          <w:t>74</w:t>
        </w:r>
      </w:fldSimple>
      <w:r>
        <w:t xml:space="preserve">. This identity-fandom-commerce linkage is the psychological engine that transforms a $35 t-shirt purchase into a gateway behavior for hundreds or thousands of dollars in lifetime fan spending.</w:t>
      </w:r>
    </w:p>
    <w:bookmarkEnd w:id="80"/>
    <w:bookmarkEnd w:id="81"/>
    <w:bookmarkStart w:id="86" w:name="community-building-through-merch"/>
    <w:p>
      <w:pPr>
        <w:pStyle w:val="Heading3"/>
      </w:pPr>
      <w:r>
        <w:t xml:space="preserve">5.3 Community Building Through Merch</w:t>
      </w:r>
    </w:p>
    <w:bookmarkStart w:id="82" w:name="owned-communities-convert-3-5x-better"/>
    <w:p>
      <w:pPr>
        <w:pStyle w:val="Heading4"/>
      </w:pPr>
      <w:r>
        <w:t xml:space="preserve">5.3.1 Owned Communities Convert 3-5x Better</w:t>
      </w:r>
    </w:p>
    <w:p>
      <w:pPr>
        <w:pStyle w:val="FirstParagraph"/>
      </w:pPr>
      <w:r>
        <w:t xml:space="preserve">The platform through which merchandise is sold matters as much as the merchandise itself. Discord community members — artists’ highest-intent audience — convert merchandise at rates of 5-15% of active members when merch announcements are posted within the server. Social media channels, by contrast, achieve conversion rates of only 1-3%</w:t>
      </w:r>
      <w:fldSimple w:instr="NOTEREF _Ref_Footnote_31 \h \f">
        <w:r>
          <w:rPr>
            <w:vertAlign w:val="superscript"/>
          </w:rPr>
          <w:t>31</w:t>
        </w:r>
      </w:fldSimple>
      <w:r>
        <w:t xml:space="preserve">. The threefold-to-fivefold conversion advantage of owned community channels over algorithmic platforms has a straightforward cause: Discord members have opted into a direct relationship with the artist, unmediated by engagement algorithms or feed ranking. Discord fans also save tracks at roughly three times the rate of passive social media followers, and saves are one of the strongest signals the Spotify algorithm weights for recommendation</w:t>
      </w:r>
      <w:fldSimple w:instr="NOTEREF _Ref_Footnote_31 \h \f">
        <w:r>
          <w:rPr>
            <w:vertAlign w:val="superscript"/>
          </w:rPr>
          <w:t>31</w:t>
        </w:r>
      </w:fldSimple>
      <w:r>
        <w:t xml:space="preserve">. This creates a compounding effect: community-driven merch sales produce streaming algorithm gains, which produce new fan discovery, which produces new community members.</w:t>
      </w:r>
    </w:p>
    <w:p>
      <w:pPr>
        <w:pStyle w:val="BodyText"/>
      </w:pPr>
      <w:r>
        <w:t xml:space="preserve">The data infrastructure for this flywheel already exists at massive scale. Weverse, HYBE Entertainment’s integrated fan community and commerce platform, hosts 6.8 million monthly users across 63 acts, combining exclusive content, direct artist communication, and integrated merchandise commerce</w:t>
      </w:r>
      <w:fldSimple w:instr="NOTEREF _Ref_Footnote_67 \h \f">
        <w:r>
          <w:rPr>
            <w:vertAlign w:val="superscript"/>
          </w:rPr>
          <w:t>67</w:t>
        </w:r>
      </w:fldSimple>
      <w:r>
        <w:t xml:space="preserve">. Harvard Business School’s analysis of BTS’s community-building strategy identified the platform’s direct merch integration as a core pillar: fans buy merchandise, watch performances, and connect with other fans in a single digital ecosystem where commerce and community are indistinguishable</w:t>
      </w:r>
      <w:fldSimple w:instr="NOTEREF _Ref_Footnote_146 \h \f">
        <w:r>
          <w:rPr>
            <w:vertAlign w:val="superscript"/>
          </w:rPr>
          <w:t>146</w:t>
        </w:r>
      </w:fldSimple>
      <w:r>
        <w:t xml:space="preserve">. The strategic insight for independent artists is that community-integrated merch does not merely sell better — it builds a self-reinforcing engagement infrastructure that paid advertising cannot replicate.</w:t>
      </w:r>
    </w:p>
    <w:bookmarkEnd w:id="82"/>
    <w:bookmarkStart w:id="83" w:name="scarcity-fomo-and-the-drop-economy"/>
    <w:p>
      <w:pPr>
        <w:pStyle w:val="Heading4"/>
      </w:pPr>
      <w:r>
        <w:t xml:space="preserve">5.3.2 Scarcity, FOMO, and the Drop Economy</w:t>
      </w:r>
    </w:p>
    <w:p>
      <w:pPr>
        <w:pStyle w:val="FirstParagraph"/>
      </w:pPr>
      <w:r>
        <w:t xml:space="preserve">Limited edition merchandise drops exploit well-documented behavioral psychology to drive both immediate sales and long-term loyalty. Scarcity messaging — phrases such as</w:t>
      </w:r>
      <w:r>
        <w:t xml:space="preserve"> </w:t>
      </w:r>
      <w:r>
        <w:t xml:space="preserve">“</w:t>
      </w:r>
      <w:r>
        <w:t xml:space="preserve">limited to 100 pieces,</w:t>
      </w:r>
      <w:r>
        <w:t xml:space="preserve">”</w:t>
      </w:r>
      <w:r>
        <w:t xml:space="preserve"> </w:t>
      </w:r>
      <w:r>
        <w:t xml:space="preserve">“</w:t>
      </w:r>
      <w:r>
        <w:t xml:space="preserve">48-hour window,</w:t>
      </w:r>
      <w:r>
        <w:t xml:space="preserve">”</w:t>
      </w:r>
      <w:r>
        <w:t xml:space="preserve"> </w:t>
      </w:r>
      <w:r>
        <w:t xml:space="preserve">or</w:t>
      </w:r>
      <w:r>
        <w:t xml:space="preserve"> </w:t>
      </w:r>
      <w:r>
        <w:t xml:space="preserve">“</w:t>
      </w:r>
      <w:r>
        <w:t xml:space="preserve">tour-exclusive</w:t>
      </w:r>
      <w:r>
        <w:t xml:space="preserve">”</w:t>
      </w:r>
      <w:r>
        <w:t xml:space="preserve"> </w:t>
      </w:r>
      <w:r>
        <w:t xml:space="preserve">— increases purchase intent by up to 40%</w:t>
      </w:r>
      <w:fldSimple w:instr="NOTEREF _Ref_Footnote_2 \h \f">
        <w:r>
          <w:rPr>
            <w:vertAlign w:val="superscript"/>
          </w:rPr>
          <w:t>2</w:t>
        </w:r>
      </w:fldSimple>
      <w:r>
        <w:t xml:space="preserve">. The fear of missing out (FOMO) is one of the strongest documented drivers of consumption, with 60% of consumers reporting that they have made FOMO-driven purchases within a 24-hour window</w:t>
      </w:r>
      <w:fldSimple w:instr="NOTEREF _Ref_Footnote_2 \h \f">
        <w:r>
          <w:rPr>
            <w:vertAlign w:val="superscript"/>
          </w:rPr>
          <w:t>2</w:t>
        </w:r>
      </w:fldSimple>
      <w:r>
        <w:t xml:space="preserve">.</w:t>
      </w:r>
    </w:p>
    <w:p>
      <w:pPr>
        <w:pStyle w:val="BodyText"/>
      </w:pPr>
      <w:r>
        <w:t xml:space="preserve">The neurological mechanism is anticipation. Research shows that the anticipation of a reward produces more dopamine than the reward itself, meaning that teaser campaigns, countdown timers, and cryptic social posts are neurologically more rewarding to fans than the actual purchase moment</w:t>
      </w:r>
      <w:fldSimple w:instr="NOTEREF _Ref_Footnote_147 \h \f">
        <w:r>
          <w:rPr>
            <w:vertAlign w:val="superscript"/>
          </w:rPr>
          <w:t>147</w:t>
        </w:r>
      </w:fldSimple>
      <w:r>
        <w:t xml:space="preserve">. Brands like Supreme have mastered this cycle, transforming weekly drops into rituals that generate sustained community engagement. Cialdini’s scarcity principle research demonstrates the power asymmetry of loss versus gain framing: homeowners told they would</w:t>
      </w:r>
      <w:r>
        <w:t xml:space="preserve"> </w:t>
      </w:r>
      <w:r>
        <w:t xml:space="preserve">“</w:t>
      </w:r>
      <w:r>
        <w:t xml:space="preserve">lose 50 cents every day</w:t>
      </w:r>
      <w:r>
        <w:t xml:space="preserve">”</w:t>
      </w:r>
      <w:r>
        <w:t xml:space="preserve"> </w:t>
      </w:r>
      <w:r>
        <w:t xml:space="preserve">without insulation were 150% more likely to act than those told they would</w:t>
      </w:r>
      <w:r>
        <w:t xml:space="preserve"> </w:t>
      </w:r>
      <w:r>
        <w:t xml:space="preserve">“</w:t>
      </w:r>
      <w:r>
        <w:t xml:space="preserve">save 50 cents every day</w:t>
      </w:r>
      <w:r>
        <w:t xml:space="preserve">”</w:t>
      </w:r>
      <w:fldSimple w:instr="NOTEREF _Ref_Footnote_110 \h \f">
        <w:r>
          <w:rPr>
            <w:vertAlign w:val="superscript"/>
          </w:rPr>
          <w:t>110</w:t>
        </w:r>
      </w:fldSimple>
      <w:r>
        <w:t xml:space="preserve">. Artists who frame limited drops in terms of what fans stand to lose —</w:t>
      </w:r>
      <w:r>
        <w:t xml:space="preserve"> </w:t>
      </w:r>
      <w:r>
        <w:t xml:space="preserve">“</w:t>
      </w:r>
      <w:r>
        <w:t xml:space="preserve">once these are gone, they’re gone forever</w:t>
      </w:r>
      <w:r>
        <w:t xml:space="preserve">”</w:t>
      </w:r>
      <w:r>
        <w:t xml:space="preserve"> </w:t>
      </w:r>
      <w:r>
        <w:t xml:space="preserve">— activate a fundamentally more powerful motivation than positive framing alone.</w:t>
      </w:r>
    </w:p>
    <w:p>
      <w:pPr>
        <w:pStyle w:val="BodyText"/>
      </w:pPr>
      <w:r>
        <w:t xml:space="preserve">Over 70% of Gen Z and Millennials report feeling more loyal to a brand after participating in a product drop — not a sale, but a drop</w:t>
      </w:r>
      <w:fldSimple w:instr="NOTEREF _Ref_Footnote_147 \h \f">
        <w:r>
          <w:rPr>
            <w:vertAlign w:val="superscript"/>
          </w:rPr>
          <w:t>147</w:t>
        </w:r>
      </w:fldSimple>
      <w:r>
        <w:t xml:space="preserve">. The critical distinction is psychological ownership: drop participants feel they</w:t>
      </w:r>
      <w:r>
        <w:t xml:space="preserve"> </w:t>
      </w:r>
      <w:r>
        <w:t xml:space="preserve">“</w:t>
      </w:r>
      <w:r>
        <w:t xml:space="preserve">won</w:t>
      </w:r>
      <w:r>
        <w:t xml:space="preserve">”</w:t>
      </w:r>
      <w:r>
        <w:t xml:space="preserve"> </w:t>
      </w:r>
      <w:r>
        <w:t xml:space="preserve">something rather than merely bought it, creating a sense of exclusivity and in-group membership that traditional retail cannot replicate</w:t>
      </w:r>
      <w:fldSimple w:instr="NOTEREF _Ref_Footnote_38 \h \f">
        <w:r>
          <w:rPr>
            <w:vertAlign w:val="superscript"/>
          </w:rPr>
          <w:t>38</w:t>
        </w:r>
      </w:fldSimple>
      <w:r>
        <w:t xml:space="preserve">. For artists, limited drops function as community flashpoints — events that bring fans together around anticipation, shared experience, and post-purchase discussion, transforming one-time transactions into recurring traditions</w:t>
      </w:r>
      <w:fldSimple w:instr="NOTEREF _Ref_Footnote_38 \h \f">
        <w:r>
          <w:rPr>
            <w:vertAlign w:val="superscript"/>
          </w:rPr>
          <w:t>38</w:t>
        </w:r>
      </w:fldSimple>
      <w:r>
        <w:t xml:space="preserve">.</w:t>
      </w:r>
    </w:p>
    <w:bookmarkEnd w:id="83"/>
    <w:bookmarkStart w:id="84" w:name="the-loyalty-cascade"/>
    <w:p>
      <w:pPr>
        <w:pStyle w:val="Heading4"/>
      </w:pPr>
      <w:r>
        <w:t xml:space="preserve">5.3.3 The Loyalty Cascade</w:t>
      </w:r>
    </w:p>
    <w:p>
      <w:pPr>
        <w:pStyle w:val="FirstParagraph"/>
      </w:pPr>
      <w:r>
        <w:t xml:space="preserve">The loyalty effects of exclusive merchandise extend beyond the immediate purchase. Spotify Wrapped — the platform’s annual listening recap released in early December — triggers the highest-grossing merch sales week each year since 2022</w:t>
      </w:r>
      <w:fldSimple w:instr="NOTEREF _Ref_Footnote_10 \h \f">
        <w:r>
          <w:rPr>
            <w:vertAlign w:val="superscript"/>
          </w:rPr>
          <w:t>10</w:t>
        </w:r>
      </w:fldSimple>
      <w:r>
        <w:t xml:space="preserve">. Fans who learn they are in an artist’s top 0.1% of listeners want to display that status physically. Sellers who time their merch releases to coincide with Wrapped typically see conversion rates of 12-18% on engaged fans, compared to 2-3% on generic merch during the rest of the year</w:t>
      </w:r>
      <w:fldSimple w:instr="NOTEREF _Ref_Footnote_10 \h \f">
        <w:r>
          <w:rPr>
            <w:vertAlign w:val="superscript"/>
          </w:rPr>
          <w:t>10</w:t>
        </w:r>
      </w:fldSimple>
      <w:r>
        <w:t xml:space="preserve">. Products tagged to at least one release on Spotify capture approximately 60% more impressions than untagged products</w:t>
      </w:r>
      <w:fldSimple w:instr="NOTEREF _Ref_Footnote_10 \h \f">
        <w:r>
          <w:rPr>
            <w:vertAlign w:val="superscript"/>
          </w:rPr>
          <w:t>10</w:t>
        </w:r>
      </w:fldSimple>
      <w:r>
        <w:t xml:space="preserve">, demonstrating that merch-music integration at the platform level directly drives visibility.</w:t>
      </w:r>
    </w:p>
    <w:p>
      <w:pPr>
        <w:pStyle w:val="BodyText"/>
      </w:pPr>
      <w:r>
        <w:t xml:space="preserve">The identity-signaling function of merchandise operates on five core psychological levels: identity broadcasting (communicating musical taste and cultural affiliation), tribal belonging (visible membership in fan communities), memory anchoring (preserving concert experiences), social currency (rare items providing status within fan hierarchies), and emotional regulation (familiar items providing comfort)</w:t>
      </w:r>
      <w:fldSimple w:instr="NOTEREF _Ref_Footnote_16 \h \f">
        <w:r>
          <w:rPr>
            <w:vertAlign w:val="superscript"/>
          </w:rPr>
          <w:t>16</w:t>
        </w:r>
      </w:fldSimple>
      <w:r>
        <w:t xml:space="preserve">. For Gen Z and Gen Alpha, fandom sits at the intersection of identity, influence, and spending — merchandise becomes a marker of identity rather than an impulse buy</w:t>
      </w:r>
      <w:fldSimple w:instr="NOTEREF _Ref_Footnote_137 \h \f">
        <w:r>
          <w:rPr>
            <w:vertAlign w:val="superscript"/>
          </w:rPr>
          <w:t>137</w:t>
        </w:r>
      </w:fldSimple>
      <w:r>
        <w:t xml:space="preserve">. When audiences can claim a phrase, symbol, or inside joke as collectively</w:t>
      </w:r>
      <w:r>
        <w:t xml:space="preserve"> </w:t>
      </w:r>
      <w:r>
        <w:t xml:space="preserve">“</w:t>
      </w:r>
      <w:r>
        <w:t xml:space="preserve">theirs,</w:t>
      </w:r>
      <w:r>
        <w:t xml:space="preserve">”</w:t>
      </w:r>
      <w:r>
        <w:t xml:space="preserve"> </w:t>
      </w:r>
      <w:r>
        <w:t xml:space="preserve">the distinction between</w:t>
      </w:r>
      <w:r>
        <w:t xml:space="preserve"> </w:t>
      </w:r>
      <w:r>
        <w:t xml:space="preserve">“</w:t>
      </w:r>
      <w:r>
        <w:t xml:space="preserve">us</w:t>
      </w:r>
      <w:r>
        <w:t xml:space="preserve">”</w:t>
      </w:r>
      <w:r>
        <w:t xml:space="preserve"> </w:t>
      </w:r>
      <w:r>
        <w:t xml:space="preserve">(those who know) and</w:t>
      </w:r>
      <w:r>
        <w:t xml:space="preserve"> </w:t>
      </w:r>
      <w:r>
        <w:t xml:space="preserve">“</w:t>
      </w:r>
      <w:r>
        <w:t xml:space="preserve">them</w:t>
      </w:r>
      <w:r>
        <w:t xml:space="preserve">”</w:t>
      </w:r>
      <w:r>
        <w:t xml:space="preserve"> </w:t>
      </w:r>
      <w:r>
        <w:t xml:space="preserve">(everybody else) creates a powerful sense of belonging</w:t>
      </w:r>
      <w:fldSimple w:instr="NOTEREF _Ref_Footnote_39 \h \f">
        <w:r>
          <w:rPr>
            <w:vertAlign w:val="superscript"/>
          </w:rPr>
          <w:t>39</w:t>
        </w:r>
      </w:fldSimple>
      <w:r>
        <w:t xml:space="preserve">.</w:t>
      </w:r>
    </w:p>
    <w:bookmarkEnd w:id="84"/>
    <w:bookmarkStart w:id="85" w:name="merch-as-the-gateway-drug"/>
    <w:p>
      <w:pPr>
        <w:pStyle w:val="Heading4"/>
      </w:pPr>
      <w:r>
        <w:t xml:space="preserve">5.3.4 Merch as the Gateway Drug</w:t>
      </w:r>
    </w:p>
    <w:p>
      <w:pPr>
        <w:pStyle w:val="FirstParagraph"/>
      </w:pPr>
      <w:r>
        <w:t xml:space="preserve">Merchandise functions as the lowest-friction entry point into an artist’s commercial ecosystem. A fan who buys a $25 t-shirt has crossed the threshold from passive consumption to active financial investment. That same fan is substantially more likely to purchase concert tickets, subscribe to exclusive content, buy vinyl, and ultimately achieve superfan status. Spotify data confirms this pathway: in the first six months after a release, fans view merch 7.2 times more on release day versus other days, 4.0 times more in the first week, and 2.1 times more in the first month</w:t>
      </w:r>
      <w:fldSimple w:instr="NOTEREF _Ref_Footnote_17 \h \f">
        <w:r>
          <w:rPr>
            <w:vertAlign w:val="superscript"/>
          </w:rPr>
          <w:t>17</w:t>
        </w:r>
      </w:fldSimple>
      <w:r>
        <w:t xml:space="preserve">. Merchandise interest is highest at the exact moments when fan enthusiasm peaks — and that peak enthusiasm, if captured through a purchase, converts a transient listener into a physically invested community member.</w:t>
      </w:r>
    </w:p>
    <w:p>
      <w:pPr>
        <w:pStyle w:val="BodyText"/>
      </w:pPr>
      <w:r>
        <w:t xml:space="preserve">The merch-to-superfan pipeline is measurable in platform behavior. Fans who follow an artist, add tracks to playlists, or like songs account for more than 67% of all merch clicks</w:t>
      </w:r>
      <w:fldSimple w:instr="NOTEREF _Ref_Footnote_17 \h \f">
        <w:r>
          <w:rPr>
            <w:vertAlign w:val="superscript"/>
          </w:rPr>
          <w:t>17</w:t>
        </w:r>
      </w:fldSimple>
      <w:r>
        <w:t xml:space="preserve">. The reverse is equally true: merch buyers demonstrate measurably higher engagement across every platform metric. Santigold’s concert tour QR code campaign illustrates the capture potential: a 25% scan rate among attendees, an 88% contact submission rate, and 40% of those who shared contact information visiting the online merch store — increasing her fan database by 75% in a single campaign</w:t>
      </w:r>
      <w:fldSimple w:instr="NOTEREF _Ref_Footnote_43 \h \f">
        <w:r>
          <w:rPr>
            <w:vertAlign w:val="superscript"/>
          </w:rPr>
          <w:t>43</w:t>
        </w:r>
      </w:fldSimple>
      <w:r>
        <w:t xml:space="preserve">.</w:t>
      </w:r>
    </w:p>
    <w:p>
      <w:pPr>
        <w:pStyle w:val="BodyText"/>
      </w:pPr>
      <w:r>
        <w:t xml:space="preserve">The broader economic pattern is that merchandise transforms the artist-fan relationship from a low-margin digital transaction — a fraction of a cent per stream — into a high-margin physical relationship with cascading downstream value. A fan who buys a t-shirt at a show spends an average of $67.53 on merchandise at that event (up 9% year-over-year in 2025)</w:t>
      </w:r>
      <w:fldSimple w:instr="NOTEREF _Ref_Footnote_140 \h \f">
        <w:r>
          <w:rPr>
            <w:vertAlign w:val="superscript"/>
          </w:rPr>
          <w:t>140</w:t>
        </w:r>
      </w:fldSimple>
      <w:r>
        <w:t xml:space="preserve">, and 23% of arena and stadium fans now buy merchandise — up from 21% in 2024</w:t>
      </w:r>
      <w:fldSimple w:instr="NOTEREF _Ref_Footnote_140 \h \f">
        <w:r>
          <w:rPr>
            <w:vertAlign w:val="superscript"/>
          </w:rPr>
          <w:t>140</w:t>
        </w:r>
      </w:fldSimple>
      <w:r>
        <w:t xml:space="preserve">. Each of those transactions generates not just $10-30 in artist profit but thousands of organic brand impressions, a physical anchor for emotional connection, and a stepping stone toward the $200-$1,000+ annual spending that defines superfan economics. Merchandise, in this framing, is not a side business. It is the mechanism by which casual listeners become committed community members — and committed community members become the economic foundation of an artist’s career.</w:t>
      </w:r>
    </w:p>
    <w:p>
      <w:pPr>
        <w:pStyle w:val="BodyText"/>
      </w:pPr>
      <w:r>
        <w:t xml:space="preserve">The unboxing phenomenon extends the gateway effect into user-generated marketing. YouTube videos with</w:t>
      </w:r>
      <w:r>
        <w:t xml:space="preserve"> </w:t>
      </w:r>
      <w:r>
        <w:t xml:space="preserve">“</w:t>
      </w:r>
      <w:r>
        <w:t xml:space="preserve">unboxing</w:t>
      </w:r>
      <w:r>
        <w:t xml:space="preserve">”</w:t>
      </w:r>
      <w:r>
        <w:t xml:space="preserve"> </w:t>
      </w:r>
      <w:r>
        <w:t xml:space="preserve">in the title received more than 25 billion views in 2023, and fashion haul and unboxing content totaled 30 billion views</w:t>
      </w:r>
      <w:fldSimple w:instr="NOTEREF _Ref_Footnote_124 \h \f">
        <w:r>
          <w:rPr>
            <w:vertAlign w:val="superscript"/>
          </w:rPr>
          <w:t>124</w:t>
        </w:r>
      </w:fldSimple>
      <w:r>
        <w:t xml:space="preserve">. Well-designed branded merchandise inspires fans to share photos and testimonials online, creating authentic organic marketing that amplifies brand recall and reaches audiences that paid advertising cannot access</w:t>
      </w:r>
      <w:fldSimple w:instr="NOTEREF _Ref_Footnote_44 \h \f">
        <w:r>
          <w:rPr>
            <w:vertAlign w:val="superscript"/>
          </w:rPr>
          <w:t>44</w:t>
        </w:r>
      </w:fldSimple>
      <w:r>
        <w:t xml:space="preserve">. Every piece of merch that generates an unboxing video or a social media post extends the artist’s reach beyond the original purchaser to an exponential network of potential new fans — at zero marginal cost to the artist.</w:t>
      </w:r>
      <w:r>
        <w:t xml:space="preserve"> </w:t>
      </w:r>
      <w:r>
        <w:t xml:space="preserve">## 6. The Market Opportunity &amp; Why Now</w:t>
      </w:r>
    </w:p>
    <w:p>
      <w:pPr>
        <w:pStyle w:val="BodyText"/>
      </w:pPr>
      <w:r>
        <w:t xml:space="preserve">Three forces have converged in 2024–2025 to create a once-in-a-decade entry window for artist-centric merchandise infrastructure. The competitive landscape has cleared — incumbent platforms that dominated the 2010s have collapsed, destroying billions in shareholder value and alienating the artists they claimed to serve. Technology has eliminated the traditional barriers to entry: design costs have fallen from thousands of dollars to a monthly software subscription, print-on-demand infrastructure now spans every major market, and social commerce enables in-platform sales without redirecting fans to external storefronts. And the customer demographic has never been more receptive — Generation Z, the most digitally saturated cohort in history, is actively rebelling against digital-only consumption by purchasing physical records they cannot play, apparel that signals cultural affiliation, and artist merchandise at rates that surpass every preceding generation.</w:t>
      </w:r>
    </w:p>
    <w:p>
      <w:pPr>
        <w:pStyle w:val="BodyText"/>
      </w:pPr>
      <w:r>
        <w:t xml:space="preserve">This convergence is not coincidental. It is structural. The same platform dynamics that made artist merchandise inaccessible — gatekeened distribution, extractive economics, and technical complexity — have dissolved simultaneously. Merch From enters a market where the incumbents are wounded, the tools are democratized, and the customers are waiting. The €300,000 seed investment targets 16–18% equity in a company positioned to capture a share of a $400 million annual margin arbitrage that existing players have proven unable to execute.</w:t>
      </w:r>
    </w:p>
    <w:p>
      <w:r>
        <w:pict>
          <v:rect style="width:0;height:1.5pt" o:hralign="center" o:hrstd="t" o:hr="t"/>
        </w:pict>
      </w:r>
    </w:p>
    <w:bookmarkEnd w:id="85"/>
    <w:bookmarkEnd w:id="86"/>
    <w:bookmarkStart w:id="97" w:name="competitive-landscape-gaps"/>
    <w:p>
      <w:pPr>
        <w:pStyle w:val="Heading3"/>
      </w:pPr>
      <w:r>
        <w:t xml:space="preserve">6.1 Competitive Landscape Gaps</w:t>
      </w:r>
    </w:p>
    <w:bookmarkStart w:id="90" w:name="the-collapse-of-artist-marketplaces"/>
    <w:p>
      <w:pPr>
        <w:pStyle w:val="Heading4"/>
      </w:pPr>
      <w:r>
        <w:t xml:space="preserve">6.1.1 The Collapse of Artist Marketplaces</w:t>
      </w:r>
    </w:p>
    <w:p>
      <w:pPr>
        <w:pStyle w:val="FirstParagraph"/>
      </w:pPr>
      <w:r>
        <w:t xml:space="preserve">The 2010s belonged to aggregator platforms. Redbubble, Teespring (later Spring), and Society6 promised artists passive income through upload-and-forget marketplace models. By 2025, that promise lies in ruins — and the wreckage reveals why a fundamentally different approach is required.</w:t>
      </w:r>
    </w:p>
    <w:p>
      <w:pPr>
        <w:pStyle w:val="BodyText"/>
      </w:pPr>
      <w:r>
        <w:t xml:space="preserve">Redbubble’s collapse stands as the most dramatic failure. The Australian marketplace, which acquired TeePublic for $57.7 million in 2018</w:t>
      </w:r>
      <w:r>
        <w:t xml:space="preserve"> </w:t>
      </w:r>
      <w:r>
        <w:rPr>
          <w:vertAlign w:val="superscript"/>
        </w:rPr>
        <w:footnoteReference w:id="155"/>
      </w:r>
      <w:r>
        <w:t xml:space="preserve">, saw its share price fall from a peak above $4.60 in January 2021 to approximately $0.20 in 2025 — a decline of 85–96% that left the stock trading below its 2016 IPO price of $1.33</w:t>
      </w:r>
      <w:r>
        <w:t xml:space="preserve"> </w:t>
      </w:r>
      <w:fldSimple w:instr="NOTEREF _Ref_Footnote_27 \h \f">
        <w:r>
          <w:rPr>
            <w:vertAlign w:val="superscript"/>
          </w:rPr>
          <w:t>27</w:t>
        </w:r>
      </w:fldSimple>
      <w:r>
        <w:t xml:space="preserve">. The fundamental deterioration was staggering: FY22 EBITDA collapsed 121% to an $11.2 million loss, gross profit fell 18%, and operating cash flow hemorrhaged 95% to a $52.3 million deficit</w:t>
      </w:r>
      <w:r>
        <w:t xml:space="preserve"> </w:t>
      </w:r>
      <w:r>
        <w:rPr>
          <w:vertAlign w:val="superscript"/>
        </w:rPr>
        <w:footnoteReference w:id="156"/>
      </w:r>
      <w:r>
        <w:t xml:space="preserve">. By November 2023, the company rebranded as Articore Group, installed US-based leadership, and began executing a turnaround whose</w:t>
      </w:r>
      <w:r>
        <w:t xml:space="preserve"> </w:t>
      </w:r>
      <w:r>
        <w:t xml:space="preserve">“</w:t>
      </w:r>
      <w:r>
        <w:t xml:space="preserve">record gross margins</w:t>
      </w:r>
      <w:r>
        <w:t xml:space="preserve">”</w:t>
      </w:r>
      <w:r>
        <w:t xml:space="preserve"> </w:t>
      </w:r>
      <w:r>
        <w:t xml:space="preserve">of 51.9% in Q3 FY26 still masked marketplace revenue declining 1.1% year-over-year</w:t>
      </w:r>
      <w:r>
        <w:t xml:space="preserve"> </w:t>
      </w:r>
      <w:r>
        <w:rPr>
          <w:vertAlign w:val="superscript"/>
        </w:rPr>
        <w:footnoteReference w:id="157"/>
      </w:r>
      <w:r>
        <w:t xml:space="preserve">. The co-founder departed in June 2025, replaced by a former Amazon executive — a telling signal that even the founders had lost faith</w:t>
      </w:r>
      <w:r>
        <w:t xml:space="preserve"> </w:t>
      </w:r>
      <w:r>
        <w:rPr>
          <w:vertAlign w:val="superscript"/>
        </w:rPr>
        <w:footnoteReference w:id="158"/>
      </w:r>
      <w:r>
        <w:t xml:space="preserve">.</w:t>
      </w:r>
    </w:p>
    <w:p>
      <w:pPr>
        <w:pStyle w:val="BodyText"/>
      </w:pPr>
      <w:r>
        <w:t xml:space="preserve">Spring (formerly Teespring) followed an equally brutal trajectory. After raising $60 million from Khosla Ventures and Andreessen Horowitz and reaching a peak valuation of $650 million, the company’s 2021 rebrand from Teespring to Spring triggered what former employees described as a cascade failure: site traffic cratered, creator payments were delayed by 4–6 weeks due to</w:t>
      </w:r>
      <w:r>
        <w:t xml:space="preserve"> </w:t>
      </w:r>
      <w:r>
        <w:t xml:space="preserve">“</w:t>
      </w:r>
      <w:r>
        <w:t xml:space="preserve">technical issues,</w:t>
      </w:r>
      <w:r>
        <w:t xml:space="preserve">”</w:t>
      </w:r>
      <w:r>
        <w:t xml:space="preserve"> </w:t>
      </w:r>
      <w:r>
        <w:t xml:space="preserve">product quality declined, and an NFT</w:t>
      </w:r>
      <w:r>
        <w:t xml:space="preserve"> </w:t>
      </w:r>
      <w:r>
        <w:t xml:space="preserve">“</w:t>
      </w:r>
      <w:r>
        <w:t xml:space="preserve">Mint-on-Demand</w:t>
      </w:r>
      <w:r>
        <w:t xml:space="preserve">”</w:t>
      </w:r>
      <w:r>
        <w:t xml:space="preserve"> </w:t>
      </w:r>
      <w:r>
        <w:t xml:space="preserve">pivot consumed resources while traditional print-on-demand products still generated an estimated 90% of revenue</w:t>
      </w:r>
      <w:r>
        <w:t xml:space="preserve"> </w:t>
      </w:r>
      <w:fldSimple w:instr="NOTEREF _Ref_Footnote_28 \h \f">
        <w:r>
          <w:rPr>
            <w:vertAlign w:val="superscript"/>
          </w:rPr>
          <w:t>28</w:t>
        </w:r>
      </w:fldSimple>
      <w:r>
        <w:t xml:space="preserve">. One former employee characterized the digital pivot as a</w:t>
      </w:r>
      <w:r>
        <w:t xml:space="preserve"> </w:t>
      </w:r>
      <w:r>
        <w:t xml:space="preserve">“</w:t>
      </w:r>
      <w:r>
        <w:t xml:space="preserve">vanity project to try and get investment rather than it being a real viable driver</w:t>
      </w:r>
      <w:r>
        <w:t xml:space="preserve">”</w:t>
      </w:r>
      <w:r>
        <w:t xml:space="preserve"> </w:t>
      </w:r>
      <w:fldSimple w:instr="NOTEREF _Ref_Footnote_28 \h \f">
        <w:r>
          <w:rPr>
            <w:vertAlign w:val="superscript"/>
          </w:rPr>
          <w:t>28</w:t>
        </w:r>
      </w:fldSimple>
      <w:r>
        <w:t xml:space="preserve">. By 2023, Amaze acquired Spring at a reported valuation of $11 million — a 98% write-down from peak</w:t>
      </w:r>
      <w:r>
        <w:t xml:space="preserve"> </w:t>
      </w:r>
      <w:r>
        <w:rPr>
          <w:vertAlign w:val="superscript"/>
        </w:rPr>
        <w:footnoteReference w:id="159"/>
      </w:r>
      <w:r>
        <w:t xml:space="preserve">.</w:t>
      </w:r>
    </w:p>
    <w:p>
      <w:pPr>
        <w:pStyle w:val="BodyText"/>
      </w:pPr>
      <w:r>
        <w:t xml:space="preserve">Society6 avoided outright collapse but stagnated for years on legacy infrastructure. Its custom open-source platform made changes</w:t>
      </w:r>
      <w:r>
        <w:t xml:space="preserve"> </w:t>
      </w:r>
      <w:r>
        <w:t xml:space="preserve">“</w:t>
      </w:r>
      <w:r>
        <w:t xml:space="preserve">expensive and time-consuming,</w:t>
      </w:r>
      <w:r>
        <w:t xml:space="preserve">”</w:t>
      </w:r>
      <w:r>
        <w:t xml:space="preserve"> </w:t>
      </w:r>
      <w:r>
        <w:t xml:space="preserve">creating technical debt that stalled optimization and eroded artist engagement</w:t>
      </w:r>
      <w:r>
        <w:t xml:space="preserve"> </w:t>
      </w:r>
      <w:fldSimple w:instr="NOTEREF _Ref_Footnote_29 \h \f">
        <w:r>
          <w:rPr>
            <w:vertAlign w:val="superscript"/>
          </w:rPr>
          <w:t>29</w:t>
        </w:r>
      </w:fldSimple>
      <w:r>
        <w:t xml:space="preserve">. A full replatforming to Shopify in October 2024 — managed by design agency Pattern — achieved a 60% increase in add-to-cart rate and a 45% increase in mobile conversion</w:t>
      </w:r>
      <w:r>
        <w:t xml:space="preserve"> </w:t>
      </w:r>
      <w:fldSimple w:instr="NOTEREF _Ref_Footnote_29 \h \f">
        <w:r>
          <w:rPr>
            <w:vertAlign w:val="superscript"/>
          </w:rPr>
          <w:t>29</w:t>
        </w:r>
      </w:fldSimple>
      <w:r>
        <w:t xml:space="preserve">. Yet Society6’s royalty structure reportedly remains unchanged at 5–10% of sale price, leaving artists with margins that barely justify the effort of uploading designs.</w:t>
      </w:r>
    </w:p>
    <w:p>
      <w:pPr>
        <w:pStyle w:val="CaptionedFigure"/>
      </w:pPr>
      <w:r>
        <w:drawing>
          <wp:inline>
            <wp:extent cx="5334000" cy="2878198"/>
            <wp:effectExtent b="0" l="0" r="0" t="0"/>
            <wp:docPr descr="Competitive Vacuum" title="" id="88" name="Picture"/>
            <a:graphic>
              <a:graphicData uri="http://schemas.openxmlformats.org/drawingml/2006/picture">
                <pic:pic>
                  <pic:nvPicPr>
                    <pic:cNvPr descr="chart_platform_collapse.png" id="89" name="Picture"/>
                    <pic:cNvPicPr>
                      <a:picLocks noChangeArrowheads="1" noChangeAspect="1"/>
                    </pic:cNvPicPr>
                  </pic:nvPicPr>
                  <pic:blipFill>
                    <a:blip r:embed="rId87"/>
                    <a:stretch>
                      <a:fillRect/>
                    </a:stretch>
                  </pic:blipFill>
                  <pic:spPr bwMode="auto">
                    <a:xfrm>
                      <a:off x="0" y="0"/>
                      <a:ext cx="5334000" cy="2878198"/>
                    </a:xfrm>
                    <a:prstGeom prst="rect">
                      <a:avLst/>
                    </a:prstGeom>
                    <a:noFill/>
                    <a:ln w="9525">
                      <a:noFill/>
                      <a:headEnd/>
                      <a:tailEnd/>
                    </a:ln>
                  </pic:spPr>
                </pic:pic>
              </a:graphicData>
            </a:graphic>
          </wp:inline>
        </w:drawing>
      </w:r>
    </w:p>
    <w:p>
      <w:pPr>
        <w:pStyle w:val="ImageCaption"/>
      </w:pPr>
      <w:r>
        <w:t xml:space="preserve">Competitive Vacuum</w:t>
      </w:r>
    </w:p>
    <w:p>
      <w:pPr>
        <w:pStyle w:val="BodyText"/>
      </w:pPr>
      <w:r>
        <w:t xml:space="preserve">The pattern across all three incumbents is identical: platforms optimized for transaction volume at the expense of artist economics, then collapsed when the extractive model exhausted creator goodwill. The competitive vacuum this creates is not merely a gap in the market — it is a market shaped by the demonstrated failure of the aggregator approach.</w:t>
      </w:r>
    </w:p>
    <w:bookmarkEnd w:id="90"/>
    <w:bookmarkStart w:id="91" w:name="why-marketplaces-failed-artists"/>
    <w:p>
      <w:pPr>
        <w:pStyle w:val="Heading4"/>
      </w:pPr>
      <w:r>
        <w:t xml:space="preserve">6.1.2 Why Marketplaces Failed Artists</w:t>
      </w:r>
    </w:p>
    <w:p>
      <w:pPr>
        <w:pStyle w:val="FirstParagraph"/>
      </w:pPr>
      <w:r>
        <w:t xml:space="preserve">The collapse of incumbent platforms was not bad luck. It was the inevitable consequence of business models structurally misaligned with artist success.</w:t>
      </w:r>
    </w:p>
    <w:p>
      <w:pPr>
        <w:pStyle w:val="BodyText"/>
      </w:pPr>
      <w:r>
        <w:t xml:space="preserve">First, margins were crushing. Amazon Merch on Demand — the largest remaining marketplace — pays artists a royalty of just $2.44–$5.27 on a standard $19.99 t-shirt, equivalent to 13–26% of retail price</w:t>
      </w:r>
      <w:r>
        <w:t xml:space="preserve"> </w:t>
      </w:r>
      <w:fldSimple w:instr="NOTEREF _Ref_Footnote_22 \h \f">
        <w:r>
          <w:rPr>
            <w:vertAlign w:val="superscript"/>
          </w:rPr>
          <w:t>22</w:t>
        </w:r>
      </w:fldSimple>
      <w:r>
        <w:t xml:space="preserve">. Society6’s 5–10% royalty rate means an artist earns $1.00–$2.00 on a $20 sale. These are not partnership models; they are extraction mechanisms that treat creative labor as a commodity input.</w:t>
      </w:r>
    </w:p>
    <w:p>
      <w:pPr>
        <w:pStyle w:val="BodyText"/>
      </w:pPr>
      <w:r>
        <w:t xml:space="preserve">Second, quality control was nonexistent. Redbubble and Spring became flooded with low-effort, AI-generated designs that eroded the perceived value of the platform itself. Both Etsy and Amazon Merch tightened policies around AI-generated listings in 2025–2026, with Amazon’s approval rate falling to 30–40% as the platform attempted to filter</w:t>
      </w:r>
      <w:r>
        <w:t xml:space="preserve"> </w:t>
      </w:r>
      <w:r>
        <w:t xml:space="preserve">“</w:t>
      </w:r>
      <w:r>
        <w:t xml:space="preserve">AI-generated spam accounts</w:t>
      </w:r>
      <w:r>
        <w:t xml:space="preserve">”</w:t>
      </w:r>
      <w:r>
        <w:t xml:space="preserve"> </w:t>
      </w:r>
      <w:fldSimple w:instr="NOTEREF _Ref_Footnote_139 \h \f">
        <w:r>
          <w:rPr>
            <w:vertAlign w:val="superscript"/>
          </w:rPr>
          <w:t>139</w:t>
        </w:r>
      </w:fldSimple>
      <w:r>
        <w:t xml:space="preserve">. Artists who invested in original, high-quality work found their designs competing against infinite low-cost knockoffs.</w:t>
      </w:r>
    </w:p>
    <w:p>
      <w:pPr>
        <w:pStyle w:val="BodyText"/>
      </w:pPr>
      <w:r>
        <w:t xml:space="preserve">Third, brand control was impossible. Marketplace sellers cannot control packaging, cannot build direct customer relationships, and cannot shape the unboxing experience that research shows drives 40% of consumers to share purchase photos on social media</w:t>
      </w:r>
      <w:r>
        <w:t xml:space="preserve"> </w:t>
      </w:r>
      <w:fldSimple w:instr="NOTEREF _Ref_Footnote_153 \h \f">
        <w:r>
          <w:rPr>
            <w:vertAlign w:val="superscript"/>
          </w:rPr>
          <w:t>153</w:t>
        </w:r>
      </w:fldSimple>
      <w:r>
        <w:t xml:space="preserve">. A fan who buys through Amazon Merch is Amazon’s customer, not the artist’s.</w:t>
      </w:r>
    </w:p>
    <w:bookmarkEnd w:id="91"/>
    <w:bookmarkStart w:id="92" w:name="the-d2c-pivot"/>
    <w:p>
      <w:pPr>
        <w:pStyle w:val="Heading4"/>
      </w:pPr>
      <w:r>
        <w:t xml:space="preserve">6.1.3 The D2C Pivot</w:t>
      </w:r>
    </w:p>
    <w:p>
      <w:pPr>
        <w:pStyle w:val="FirstParagraph"/>
      </w:pPr>
      <w:r>
        <w:t xml:space="preserve">As marketplaces imploded, the direct-to-consumer (D2C) model emerged as the clear alternative. Shopify, which powers the backend infrastructure for creator commerce globally, reported full-year 2025 revenue of $11.6 billion (30% year-over-year growth) with Q4 gross merchandise volume of $123.8 billion</w:t>
      </w:r>
      <w:r>
        <w:t xml:space="preserve"> </w:t>
      </w:r>
      <w:r>
        <w:rPr>
          <w:vertAlign w:val="superscript"/>
        </w:rPr>
        <w:footnoteReference w:id="160"/>
      </w:r>
      <w:r>
        <w:t xml:space="preserve">. Within this ecosystem, creator-focused platforms have gained meaningful traction: Fourthwall, founded by a Teespring co-founder as a direct response to Spring’s failures, serves over 200,000 creators with zero platform fees on physical products</w:t>
      </w:r>
      <w:r>
        <w:t xml:space="preserve"> </w:t>
      </w:r>
      <w:fldSimple w:instr="NOTEREF _Ref_Footnote_128 \h \f">
        <w:r>
          <w:rPr>
            <w:vertAlign w:val="superscript"/>
          </w:rPr>
          <w:t>128</w:t>
        </w:r>
      </w:fldSimple>
      <w:r>
        <w:t xml:space="preserve">. Fourthwall’s model lets creators keep 100% of profit margins above base product costs — a structural inversion of the marketplace royalty system.</w:t>
      </w:r>
    </w:p>
    <w:p>
      <w:pPr>
        <w:pStyle w:val="BodyText"/>
      </w:pPr>
      <w:r>
        <w:t xml:space="preserve">The POD infrastructure has consolidated at the same moment. The November 2024 merger of Printful and Printify — both founded in Latvia — created the largest European POD provider under the parent name</w:t>
      </w:r>
      <w:r>
        <w:t xml:space="preserve"> </w:t>
      </w:r>
      <w:r>
        <w:t xml:space="preserve">“</w:t>
      </w:r>
      <w:r>
        <w:t xml:space="preserve">Fyul,</w:t>
      </w:r>
      <w:r>
        <w:t xml:space="preserve">”</w:t>
      </w:r>
      <w:r>
        <w:t xml:space="preserve"> </w:t>
      </w:r>
      <w:r>
        <w:t xml:space="preserve">combining Printful’s 10 in-house global factories with Printify’s asset-light network of 85+ independent print providers</w:t>
      </w:r>
      <w:r>
        <w:t xml:space="preserve"> </w:t>
      </w:r>
      <w:fldSimple w:instr="NOTEREF _Ref_Footnote_25 \h \f">
        <w:r>
          <w:rPr>
            <w:vertAlign w:val="superscript"/>
          </w:rPr>
          <w:t>25</w:t>
        </w:r>
      </w:fldSimple>
      <w:r>
        <w:t xml:space="preserve">. Industry analysts project consolidation toward a</w:t>
      </w:r>
      <w:r>
        <w:t xml:space="preserve"> </w:t>
      </w:r>
      <w:r>
        <w:t xml:space="preserve">“</w:t>
      </w:r>
      <w:r>
        <w:t xml:space="preserve">Big Three</w:t>
      </w:r>
      <w:r>
        <w:t xml:space="preserve">”</w:t>
      </w:r>
      <w:r>
        <w:t xml:space="preserve"> </w:t>
      </w:r>
      <w:r>
        <w:t xml:space="preserve">global network of Fyul, Gelato (valued at $1.05 billion), and Amazon Merch on Demand</w:t>
      </w:r>
      <w:r>
        <w:t xml:space="preserve"> </w:t>
      </w:r>
      <w:fldSimple w:instr="NOTEREF _Ref_Footnote_26 \h \f">
        <w:r>
          <w:rPr>
            <w:vertAlign w:val="superscript"/>
          </w:rPr>
          <w:t>26</w:t>
        </w:r>
      </w:fldSimple>
      <w:r>
        <w:t xml:space="preserve">. For a new entrant like Merch From, this consolidation is advantageous: it means fulfillment infrastructure is commoditized, allowing the company to focus on the artist experience rather than building print factories.</w:t>
      </w:r>
    </w:p>
    <w:bookmarkEnd w:id="92"/>
    <w:bookmarkStart w:id="96" w:name="the-margin-arbitrage"/>
    <w:p>
      <w:pPr>
        <w:pStyle w:val="Heading4"/>
      </w:pPr>
      <w:r>
        <w:t xml:space="preserve">6.1.4 The Margin Arbitrage</w:t>
      </w:r>
    </w:p>
    <w:p>
      <w:pPr>
        <w:pStyle w:val="FirstParagraph"/>
      </w:pPr>
      <w:r>
        <w:t xml:space="preserve">The economic case for D2C merchandise rests on a margin differential so large it constitutes a market inefficiency. D2C creator-owned storefronts deliver 60–75% gross margins, compared to 15–30% for marketplace and retail channels — a 2–3x profitability advantage that is driving the fundamental shift from marketplace to owned channels</w:t>
      </w:r>
      <w:r>
        <w:t xml:space="preserve"> </w:t>
      </w:r>
      <w:fldSimple w:instr="NOTEREF _Ref_Footnote_20 \h \f">
        <w:r>
          <w:rPr>
            <w:vertAlign w:val="superscript"/>
          </w:rPr>
          <w:t>20</w:t>
        </w:r>
      </w:fldSimple>
      <w:r>
        <w:t xml:space="preserve">.</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Channel</w:t>
            </w:r>
          </w:p>
        </w:tc>
        <w:tc>
          <w:tcPr/>
          <w:p>
            <w:pPr>
              <w:pStyle w:val="Compact"/>
              <w:jc w:val="center"/>
            </w:pPr>
            <w:r>
              <w:t xml:space="preserve">Artist Margin</w:t>
            </w:r>
          </w:p>
        </w:tc>
        <w:tc>
          <w:tcPr/>
          <w:p>
            <w:pPr>
              <w:pStyle w:val="Compact"/>
              <w:jc w:val="center"/>
            </w:pPr>
            <w:r>
              <w:t xml:space="preserve">Base Cost (T-Shirt)</w:t>
            </w:r>
          </w:p>
        </w:tc>
        <w:tc>
          <w:tcPr/>
          <w:p>
            <w:pPr>
              <w:pStyle w:val="Compact"/>
              <w:jc w:val="center"/>
            </w:pPr>
            <w:r>
              <w:t xml:space="preserve">Artist Keeps (on $35 sale)</w:t>
            </w:r>
          </w:p>
        </w:tc>
        <w:tc>
          <w:tcPr/>
          <w:p>
            <w:pPr>
              <w:pStyle w:val="Compact"/>
              <w:jc w:val="left"/>
            </w:pPr>
            <w:r>
              <w:t xml:space="preserve">Key Limitation</w:t>
            </w:r>
          </w:p>
        </w:tc>
      </w:tr>
      <w:tr>
        <w:tc>
          <w:tcPr/>
          <w:p>
            <w:pPr>
              <w:pStyle w:val="Compact"/>
              <w:jc w:val="left"/>
            </w:pPr>
            <w:r>
              <w:t xml:space="preserve">Amazon Merch on Demand</w:t>
            </w:r>
          </w:p>
        </w:tc>
        <w:tc>
          <w:tcPr/>
          <w:p>
            <w:pPr>
              <w:pStyle w:val="Compact"/>
              <w:jc w:val="center"/>
            </w:pPr>
            <w:r>
              <w:t xml:space="preserve">13–26%</w:t>
            </w:r>
            <w:r>
              <w:t xml:space="preserve"> </w:t>
            </w:r>
            <w:fldSimple w:instr="NOTEREF _Ref_Footnote_22 \h \f">
              <w:r>
                <w:rPr>
                  <w:vertAlign w:val="superscript"/>
                </w:rPr>
                <w:t>22</w:t>
              </w:r>
            </w:fldSimple>
          </w:p>
        </w:tc>
        <w:tc>
          <w:tcPr/>
          <w:p>
            <w:pPr>
              <w:pStyle w:val="Compact"/>
              <w:jc w:val="center"/>
            </w:pPr>
            <w:r>
              <w:t xml:space="preserve">$0 (royalty model)</w:t>
            </w:r>
          </w:p>
        </w:tc>
        <w:tc>
          <w:tcPr/>
          <w:p>
            <w:pPr>
              <w:pStyle w:val="Compact"/>
              <w:jc w:val="center"/>
            </w:pPr>
            <w:r>
              <w:t xml:space="preserve">$4.55–$9.10</w:t>
            </w:r>
          </w:p>
        </w:tc>
        <w:tc>
          <w:tcPr/>
          <w:p>
            <w:pPr>
              <w:pStyle w:val="Compact"/>
              <w:jc w:val="left"/>
            </w:pPr>
            <w:r>
              <w:t xml:space="preserve">No customer data; 30–40% approval rate</w:t>
            </w:r>
          </w:p>
        </w:tc>
      </w:tr>
      <w:tr>
        <w:tc>
          <w:tcPr/>
          <w:p>
            <w:pPr>
              <w:pStyle w:val="Compact"/>
              <w:jc w:val="left"/>
            </w:pPr>
            <w:r>
              <w:t xml:space="preserve">Redbubble/Articore</w:t>
            </w:r>
          </w:p>
        </w:tc>
        <w:tc>
          <w:tcPr/>
          <w:p>
            <w:pPr>
              <w:pStyle w:val="Compact"/>
              <w:jc w:val="center"/>
            </w:pPr>
            <w:r>
              <w:t xml:space="preserve">~15–20%</w:t>
            </w:r>
            <w:r>
              <w:t xml:space="preserve"> </w:t>
            </w:r>
            <w:r>
              <w:rPr>
                <w:vertAlign w:val="superscript"/>
              </w:rPr>
              <w:footnoteReference w:id="161"/>
            </w:r>
          </w:p>
        </w:tc>
        <w:tc>
          <w:tcPr/>
          <w:p>
            <w:pPr>
              <w:pStyle w:val="Compact"/>
              <w:jc w:val="center"/>
            </w:pPr>
            <w:r>
              <w:t xml:space="preserve">$13+</w:t>
            </w:r>
          </w:p>
        </w:tc>
        <w:tc>
          <w:tcPr/>
          <w:p>
            <w:pPr>
              <w:pStyle w:val="Compact"/>
              <w:jc w:val="center"/>
            </w:pPr>
            <w:r>
              <w:t xml:space="preserve">$5.25–$7.00</w:t>
            </w:r>
          </w:p>
        </w:tc>
        <w:tc>
          <w:tcPr/>
          <w:p>
            <w:pPr>
              <w:pStyle w:val="Compact"/>
              <w:jc w:val="left"/>
            </w:pPr>
            <w:r>
              <w:t xml:space="preserve">Platform declining; quality perception low</w:t>
            </w:r>
          </w:p>
        </w:tc>
      </w:tr>
      <w:tr>
        <w:tc>
          <w:tcPr/>
          <w:p>
            <w:pPr>
              <w:pStyle w:val="Compact"/>
              <w:jc w:val="left"/>
            </w:pPr>
            <w:r>
              <w:t xml:space="preserve">Society6</w:t>
            </w:r>
          </w:p>
        </w:tc>
        <w:tc>
          <w:tcPr/>
          <w:p>
            <w:pPr>
              <w:pStyle w:val="Compact"/>
              <w:jc w:val="center"/>
            </w:pPr>
            <w:r>
              <w:t xml:space="preserve">5–10%</w:t>
            </w:r>
          </w:p>
        </w:tc>
        <w:tc>
          <w:tcPr/>
          <w:p>
            <w:pPr>
              <w:pStyle w:val="Compact"/>
              <w:jc w:val="center"/>
            </w:pPr>
            <w:r>
              <w:t xml:space="preserve">~$8</w:t>
            </w:r>
          </w:p>
        </w:tc>
        <w:tc>
          <w:tcPr/>
          <w:p>
            <w:pPr>
              <w:pStyle w:val="Compact"/>
              <w:jc w:val="center"/>
            </w:pPr>
            <w:r>
              <w:t xml:space="preserve">$1.75–$3.50</w:t>
            </w:r>
          </w:p>
        </w:tc>
        <w:tc>
          <w:tcPr/>
          <w:p>
            <w:pPr>
              <w:pStyle w:val="Compact"/>
              <w:jc w:val="left"/>
            </w:pPr>
            <w:r>
              <w:t xml:space="preserve">No brand control; legacy UX</w:t>
            </w:r>
          </w:p>
        </w:tc>
      </w:tr>
      <w:tr>
        <w:tc>
          <w:tcPr/>
          <w:p>
            <w:pPr>
              <w:pStyle w:val="Compact"/>
              <w:jc w:val="left"/>
            </w:pPr>
            <w:r>
              <w:t xml:space="preserve">Venue Merch Table</w:t>
            </w:r>
          </w:p>
        </w:tc>
        <w:tc>
          <w:tcPr/>
          <w:p>
            <w:pPr>
              <w:pStyle w:val="Compact"/>
              <w:jc w:val="center"/>
            </w:pPr>
            <w:r>
              <w:t xml:space="preserve">15–45%*</w:t>
            </w:r>
            <w:r>
              <w:t xml:space="preserve"> </w:t>
            </w:r>
            <w:fldSimple w:instr="NOTEREF _Ref_Footnote_21 \h \f">
              <w:r>
                <w:rPr>
                  <w:vertAlign w:val="superscript"/>
                </w:rPr>
                <w:t>21</w:t>
              </w:r>
            </w:fldSimple>
          </w:p>
        </w:tc>
        <w:tc>
          <w:tcPr/>
          <w:p>
            <w:pPr>
              <w:pStyle w:val="Compact"/>
              <w:jc w:val="center"/>
            </w:pPr>
            <w:r>
              <w:t xml:space="preserve">$7–$12</w:t>
            </w:r>
          </w:p>
        </w:tc>
        <w:tc>
          <w:tcPr/>
          <w:p>
            <w:pPr>
              <w:pStyle w:val="Compact"/>
              <w:jc w:val="center"/>
            </w:pPr>
            <w:r>
              <w:t xml:space="preserve">$5.25–$15.75</w:t>
            </w:r>
          </w:p>
        </w:tc>
        <w:tc>
          <w:tcPr/>
          <w:p>
            <w:pPr>
              <w:pStyle w:val="Compact"/>
              <w:jc w:val="left"/>
            </w:pPr>
            <w:r>
              <w:t xml:space="preserve">10–40% hall fees; requires touring</w:t>
            </w:r>
          </w:p>
        </w:tc>
      </w:tr>
      <w:tr>
        <w:tc>
          <w:tcPr/>
          <w:p>
            <w:pPr>
              <w:pStyle w:val="Compact"/>
              <w:jc w:val="left"/>
            </w:pPr>
            <w:r>
              <w:t xml:space="preserve">D2C via Shopify + POD</w:t>
            </w:r>
          </w:p>
        </w:tc>
        <w:tc>
          <w:tcPr/>
          <w:p>
            <w:pPr>
              <w:pStyle w:val="Compact"/>
              <w:jc w:val="center"/>
            </w:pPr>
            <w:r>
              <w:t xml:space="preserve">30–50%</w:t>
            </w:r>
            <w:r>
              <w:t xml:space="preserve"> </w:t>
            </w:r>
            <w:fldSimple w:instr="NOTEREF _Ref_Footnote_20 \h \f">
              <w:r>
                <w:rPr>
                  <w:vertAlign w:val="superscript"/>
                </w:rPr>
                <w:t>20</w:t>
              </w:r>
            </w:fldSimple>
          </w:p>
        </w:tc>
        <w:tc>
          <w:tcPr/>
          <w:p>
            <w:pPr>
              <w:pStyle w:val="Compact"/>
              <w:jc w:val="center"/>
            </w:pPr>
            <w:r>
              <w:t xml:space="preserve">$12–$15</w:t>
            </w:r>
          </w:p>
        </w:tc>
        <w:tc>
          <w:tcPr/>
          <w:p>
            <w:pPr>
              <w:pStyle w:val="Compact"/>
              <w:jc w:val="center"/>
            </w:pPr>
            <w:r>
              <w:t xml:space="preserve">$10.50–$17.50</w:t>
            </w:r>
          </w:p>
        </w:tc>
        <w:tc>
          <w:tcPr/>
          <w:p>
            <w:pPr>
              <w:pStyle w:val="Compact"/>
              <w:jc w:val="left"/>
            </w:pPr>
            <w:r>
              <w:t xml:space="preserve">Must drive own traffic</w:t>
            </w:r>
          </w:p>
        </w:tc>
      </w:tr>
      <w:tr>
        <w:tc>
          <w:tcPr/>
          <w:p>
            <w:pPr>
              <w:pStyle w:val="Compact"/>
              <w:jc w:val="left"/>
            </w:pPr>
            <w:r>
              <w:t xml:space="preserve">D2C Bulk Manufacturing</w:t>
            </w:r>
          </w:p>
        </w:tc>
        <w:tc>
          <w:tcPr/>
          <w:p>
            <w:pPr>
              <w:pStyle w:val="Compact"/>
              <w:jc w:val="center"/>
            </w:pPr>
            <w:r>
              <w:t xml:space="preserve">60–75%</w:t>
            </w:r>
            <w:r>
              <w:t xml:space="preserve"> </w:t>
            </w:r>
            <w:fldSimple w:instr="NOTEREF _Ref_Footnote_20 \h \f">
              <w:r>
                <w:rPr>
                  <w:vertAlign w:val="superscript"/>
                </w:rPr>
                <w:t>20</w:t>
              </w:r>
            </w:fldSimple>
          </w:p>
        </w:tc>
        <w:tc>
          <w:tcPr/>
          <w:p>
            <w:pPr>
              <w:pStyle w:val="Compact"/>
              <w:jc w:val="center"/>
            </w:pPr>
            <w:r>
              <w:t xml:space="preserve">$5–$8</w:t>
            </w:r>
          </w:p>
        </w:tc>
        <w:tc>
          <w:tcPr/>
          <w:p>
            <w:pPr>
              <w:pStyle w:val="Compact"/>
              <w:jc w:val="center"/>
            </w:pPr>
            <w:r>
              <w:t xml:space="preserve">$21.00–$26.25</w:t>
            </w:r>
          </w:p>
        </w:tc>
        <w:tc>
          <w:tcPr/>
          <w:p>
            <w:pPr>
              <w:pStyle w:val="Compact"/>
              <w:jc w:val="left"/>
            </w:pPr>
            <w:r>
              <w:t xml:space="preserve">Requires inventory investment</w:t>
            </w:r>
          </w:p>
        </w:tc>
      </w:tr>
    </w:tbl>
    <w:p>
      <w:pPr>
        <w:pStyle w:val="BodyText"/>
      </w:pPr>
      <w:r>
        <w:t xml:space="preserve">*Venue merch subject to hall fees of 10–40%, credit card fees (~3%), and management cuts (15%), leaving artists with 43–75% of gross depending on venue</w:t>
      </w:r>
      <w:r>
        <w:t xml:space="preserve"> </w:t>
      </w:r>
      <w:fldSimple w:instr="NOTEREF _Ref_Footnote_21 \h \f">
        <w:r>
          <w:rPr>
            <w:vertAlign w:val="superscript"/>
          </w:rPr>
          <w:t>21</w:t>
        </w:r>
      </w:fldSimple>
      <w:r>
        <w:t xml:space="preserve"> </w:t>
      </w:r>
      <w:fldSimple w:instr="NOTEREF _Ref_Footnote_105 \h \f">
        <w:r>
          <w:rPr>
            <w:vertAlign w:val="superscript"/>
          </w:rPr>
          <w:t>105</w:t>
        </w:r>
      </w:fldSimple>
      <w:r>
        <w:t xml:space="preserve">.</w:t>
      </w:r>
    </w:p>
    <w:p>
      <w:pPr>
        <w:pStyle w:val="BodyText"/>
      </w:pPr>
      <w:r>
        <w:t xml:space="preserve">The table above captures the arbitrage that Merch From is designed to exploit. For a $35 t-shirt, the difference between selling on Amazon Merch ($4.55–$9.10 to the artist) and selling D2C in bulk ($21.00–$26.25) is $12–$22 per unit. Applied to the global artist merchandising market valued at $6.8 billion in 2025</w:t>
      </w:r>
      <w:r>
        <w:t xml:space="preserve"> </w:t>
      </w:r>
      <w:r>
        <w:rPr>
          <w:vertAlign w:val="superscript"/>
        </w:rPr>
        <w:footnoteReference w:id="162"/>
      </w:r>
      <w:r>
        <w:t xml:space="preserve">, shifting even 20% of sales from marketplace to D2C would release approximately $400 million in additional artist income annually. Merch From’s revenue model — which charges for premium design tools, sourcing services, and fulfillment management while letting artists retain the bulk of margins — captures value from this arbitrage without requiring the artist to become a supply chain expert.</w:t>
      </w:r>
    </w:p>
    <w:p>
      <w:pPr>
        <w:pStyle w:val="CaptionedFigure"/>
      </w:pPr>
      <w:r>
        <w:drawing>
          <wp:inline>
            <wp:extent cx="5334000" cy="3171713"/>
            <wp:effectExtent b="0" l="0" r="0" t="0"/>
            <wp:docPr descr="Artist Margin Retention by Distribution Channel" title="" id="94" name="Picture"/>
            <a:graphic>
              <a:graphicData uri="http://schemas.openxmlformats.org/drawingml/2006/picture">
                <pic:pic>
                  <pic:nvPicPr>
                    <pic:cNvPr descr="chart_margin_comparison.png" id="95" name="Picture"/>
                    <pic:cNvPicPr>
                      <a:picLocks noChangeArrowheads="1" noChangeAspect="1"/>
                    </pic:cNvPicPr>
                  </pic:nvPicPr>
                  <pic:blipFill>
                    <a:blip r:embed="rId93"/>
                    <a:stretch>
                      <a:fillRect/>
                    </a:stretch>
                  </pic:blipFill>
                  <pic:spPr bwMode="auto">
                    <a:xfrm>
                      <a:off x="0" y="0"/>
                      <a:ext cx="5334000" cy="3171713"/>
                    </a:xfrm>
                    <a:prstGeom prst="rect">
                      <a:avLst/>
                    </a:prstGeom>
                    <a:noFill/>
                    <a:ln w="9525">
                      <a:noFill/>
                      <a:headEnd/>
                      <a:tailEnd/>
                    </a:ln>
                  </pic:spPr>
                </pic:pic>
              </a:graphicData>
            </a:graphic>
          </wp:inline>
        </w:drawing>
      </w:r>
    </w:p>
    <w:p>
      <w:pPr>
        <w:pStyle w:val="ImageCaption"/>
      </w:pPr>
      <w:r>
        <w:t xml:space="preserve">Artist Margin Retention by Distribution Channel</w:t>
      </w:r>
    </w:p>
    <w:p>
      <w:r>
        <w:pict>
          <v:rect style="width:0;height:1.5pt" o:hralign="center" o:hrstd="t" o:hr="t"/>
        </w:pict>
      </w:r>
    </w:p>
    <w:bookmarkEnd w:id="96"/>
    <w:bookmarkEnd w:id="97"/>
    <w:bookmarkStart w:id="102" w:name="technology-enablers"/>
    <w:p>
      <w:pPr>
        <w:pStyle w:val="Heading3"/>
      </w:pPr>
      <w:r>
        <w:t xml:space="preserve">6.2 Technology Enablers</w:t>
      </w:r>
    </w:p>
    <w:p>
      <w:pPr>
        <w:pStyle w:val="FirstParagraph"/>
      </w:pPr>
      <w:r>
        <w:t xml:space="preserve">The second force creating Merch From’s entry window is technological: four distinct innovations have converged to reduce the cost, complexity, and risk of launching artist merchandise to near zero.</w:t>
      </w:r>
    </w:p>
    <w:bookmarkStart w:id="98" w:name="ai-design-tools-democratize-creation"/>
    <w:p>
      <w:pPr>
        <w:pStyle w:val="Heading4"/>
      </w:pPr>
      <w:r>
        <w:t xml:space="preserve">6.2.1 AI Design Tools Democratize Creation</w:t>
      </w:r>
    </w:p>
    <w:p>
      <w:pPr>
        <w:pStyle w:val="FirstParagraph"/>
      </w:pPr>
      <w:r>
        <w:t xml:space="preserve">Generative AI has eliminated the primary barrier to merchandise creation — design capability — at a cost reduction of approximately 99%. By mid-2024, 65% of organizations surveyed were using generative AI regularly for design tasks</w:t>
      </w:r>
      <w:r>
        <w:t xml:space="preserve"> </w:t>
      </w:r>
      <w:fldSimple w:instr="NOTEREF _Ref_Footnote_26 \h \f">
        <w:r>
          <w:rPr>
            <w:vertAlign w:val="superscript"/>
          </w:rPr>
          <w:t>26</w:t>
        </w:r>
      </w:fldSimple>
      <w:r>
        <w:t xml:space="preserve">. The AI-powered design tool market was valued at $7.22 billion in 2024 and is projected to reach $34.09 billion by 2035</w:t>
      </w:r>
      <w:r>
        <w:t xml:space="preserve"> </w:t>
      </w:r>
      <w:fldSimple w:instr="NOTEREF _Ref_Footnote_26 \h \f">
        <w:r>
          <w:rPr>
            <w:vertAlign w:val="superscript"/>
          </w:rPr>
          <w:t>26</w:t>
        </w:r>
      </w:fldSimple>
      <w:r>
        <w:t xml:space="preserve">.</w:t>
      </w:r>
    </w:p>
    <w:p>
      <w:pPr>
        <w:pStyle w:val="BodyText"/>
      </w:pPr>
      <w:r>
        <w:t xml:space="preserve">For merchandise specifically, the optimal 2026 workflow involves a two-tool stack costing approximately $20–$30 per month: Midjourney for art-heavy products (posters, canvas prints) and Ideogram for text-heavy products (slogan tees, mugs), with a finishing layer in Kittl or Adobe Firefly</w:t>
      </w:r>
      <w:r>
        <w:t xml:space="preserve"> </w:t>
      </w:r>
      <w:fldSimple w:instr="NOTEREF _Ref_Footnote_145 \h \f">
        <w:r>
          <w:rPr>
            <w:vertAlign w:val="superscript"/>
          </w:rPr>
          <w:t>145</w:t>
        </w:r>
      </w:fldSimple>
      <w:r>
        <w:t xml:space="preserve">. Ideogram v3 achieves approximately 90% text-rendering accuracy and outputs transparent PNGs natively — a critical capability for print-ready designs. The cost per design generation on paid plans ranges from $0.02–$0.05, compared to $150–$500 per design for freelance illustration work.</w:t>
      </w:r>
    </w:p>
    <w:p>
      <w:pPr>
        <w:pStyle w:val="BodyText"/>
      </w:pPr>
      <w:r>
        <w:t xml:space="preserve">This cost collapse has profound implications for Merch From’s business model. Where a 10-SKU product launch might have cost $3,000–$5,000 in design fees in 2020, the same launch costs $50–$100 in AI tool subscriptions in 2026. The constraint is no longer design budget — it is creative vision and curation. Merch From’s AI-assisted design workflow, built on FLUX 2 and Mistral Large 3, occupies this space by providing artist-guided generation rather than replacing the artist entirely.</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Cost Category</w:t>
            </w:r>
          </w:p>
        </w:tc>
        <w:tc>
          <w:tcPr/>
          <w:p>
            <w:pPr>
              <w:pStyle w:val="Compact"/>
              <w:jc w:val="center"/>
            </w:pPr>
            <w:r>
              <w:t xml:space="preserve">2020 (Traditional)</w:t>
            </w:r>
          </w:p>
        </w:tc>
        <w:tc>
          <w:tcPr/>
          <w:p>
            <w:pPr>
              <w:pStyle w:val="Compact"/>
              <w:jc w:val="center"/>
            </w:pPr>
            <w:r>
              <w:t xml:space="preserve">2025 (AI-Assisted)</w:t>
            </w:r>
          </w:p>
        </w:tc>
        <w:tc>
          <w:tcPr/>
          <w:p>
            <w:pPr>
              <w:pStyle w:val="Compact"/>
              <w:jc w:val="center"/>
            </w:pPr>
            <w:r>
              <w:t xml:space="preserve">Cost Reduction</w:t>
            </w:r>
          </w:p>
        </w:tc>
      </w:tr>
      <w:tr>
        <w:tc>
          <w:tcPr/>
          <w:p>
            <w:pPr>
              <w:pStyle w:val="Compact"/>
              <w:jc w:val="left"/>
            </w:pPr>
            <w:r>
              <w:t xml:space="preserve">Design (10 SKUs)</w:t>
            </w:r>
          </w:p>
        </w:tc>
        <w:tc>
          <w:tcPr/>
          <w:p>
            <w:pPr>
              <w:pStyle w:val="Compact"/>
              <w:jc w:val="center"/>
            </w:pPr>
            <w:r>
              <w:t xml:space="preserve">$3,000–$5,000 (freelance)</w:t>
            </w:r>
          </w:p>
        </w:tc>
        <w:tc>
          <w:tcPr/>
          <w:p>
            <w:pPr>
              <w:pStyle w:val="Compact"/>
              <w:jc w:val="center"/>
            </w:pPr>
            <w:r>
              <w:t xml:space="preserve">$50–$100 (AI tools)</w:t>
            </w:r>
          </w:p>
        </w:tc>
        <w:tc>
          <w:tcPr/>
          <w:p>
            <w:pPr>
              <w:pStyle w:val="Compact"/>
              <w:jc w:val="center"/>
            </w:pPr>
            <w:r>
              <w:t xml:space="preserve">98–99%</w:t>
            </w:r>
          </w:p>
        </w:tc>
      </w:tr>
      <w:tr>
        <w:tc>
          <w:tcPr/>
          <w:p>
            <w:pPr>
              <w:pStyle w:val="Compact"/>
              <w:jc w:val="left"/>
            </w:pPr>
            <w:r>
              <w:t xml:space="preserve">Design iteration time</w:t>
            </w:r>
          </w:p>
        </w:tc>
        <w:tc>
          <w:tcPr/>
          <w:p>
            <w:pPr>
              <w:pStyle w:val="Compact"/>
              <w:jc w:val="center"/>
            </w:pPr>
            <w:r>
              <w:t xml:space="preserve">2–4 weeks</w:t>
            </w:r>
          </w:p>
        </w:tc>
        <w:tc>
          <w:tcPr/>
          <w:p>
            <w:pPr>
              <w:pStyle w:val="Compact"/>
              <w:jc w:val="center"/>
            </w:pPr>
            <w:r>
              <w:t xml:space="preserve">1–3 days</w:t>
            </w:r>
          </w:p>
        </w:tc>
        <w:tc>
          <w:tcPr/>
          <w:p>
            <w:pPr>
              <w:pStyle w:val="Compact"/>
              <w:jc w:val="center"/>
            </w:pPr>
            <w:r>
              <w:t xml:space="preserve">85–90%</w:t>
            </w:r>
          </w:p>
        </w:tc>
      </w:tr>
      <w:tr>
        <w:tc>
          <w:tcPr/>
          <w:p>
            <w:pPr>
              <w:pStyle w:val="Compact"/>
              <w:jc w:val="left"/>
            </w:pPr>
            <w:r>
              <w:t xml:space="preserve">Sample production</w:t>
            </w:r>
          </w:p>
        </w:tc>
        <w:tc>
          <w:tcPr/>
          <w:p>
            <w:pPr>
              <w:pStyle w:val="Compact"/>
              <w:jc w:val="center"/>
            </w:pPr>
            <w:r>
              <w:t xml:space="preserve">$200–$500 (minimums)</w:t>
            </w:r>
          </w:p>
        </w:tc>
        <w:tc>
          <w:tcPr/>
          <w:p>
            <w:pPr>
              <w:pStyle w:val="Compact"/>
              <w:jc w:val="center"/>
            </w:pPr>
            <w:r>
              <w:t xml:space="preserve">$0–$30 (digital mockups)</w:t>
            </w:r>
          </w:p>
        </w:tc>
        <w:tc>
          <w:tcPr/>
          <w:p>
            <w:pPr>
              <w:pStyle w:val="Compact"/>
              <w:jc w:val="center"/>
            </w:pPr>
            <w:r>
              <w:t xml:space="preserve">95–100%</w:t>
            </w:r>
          </w:p>
        </w:tc>
      </w:tr>
      <w:tr>
        <w:tc>
          <w:tcPr/>
          <w:p>
            <w:pPr>
              <w:pStyle w:val="Compact"/>
              <w:jc w:val="left"/>
            </w:pPr>
            <w:r>
              <w:t xml:space="preserve">Storefront setup</w:t>
            </w:r>
          </w:p>
        </w:tc>
        <w:tc>
          <w:tcPr/>
          <w:p>
            <w:pPr>
              <w:pStyle w:val="Compact"/>
              <w:jc w:val="center"/>
            </w:pPr>
            <w:r>
              <w:t xml:space="preserve">$2,000–$5,000 (dev)</w:t>
            </w:r>
          </w:p>
        </w:tc>
        <w:tc>
          <w:tcPr/>
          <w:p>
            <w:pPr>
              <w:pStyle w:val="Compact"/>
              <w:jc w:val="center"/>
            </w:pPr>
            <w:r>
              <w:t xml:space="preserve">$29–$99/month (SaaS)</w:t>
            </w:r>
          </w:p>
        </w:tc>
        <w:tc>
          <w:tcPr/>
          <w:p>
            <w:pPr>
              <w:pStyle w:val="Compact"/>
              <w:jc w:val="center"/>
            </w:pPr>
            <w:r>
              <w:t xml:space="preserve">90–95%</w:t>
            </w:r>
          </w:p>
        </w:tc>
      </w:tr>
      <w:tr>
        <w:tc>
          <w:tcPr/>
          <w:p>
            <w:pPr>
              <w:pStyle w:val="Compact"/>
              <w:jc w:val="left"/>
            </w:pPr>
            <w:r>
              <w:t xml:space="preserve">Monthly software stack</w:t>
            </w:r>
          </w:p>
        </w:tc>
        <w:tc>
          <w:tcPr/>
          <w:p>
            <w:pPr>
              <w:pStyle w:val="Compact"/>
              <w:jc w:val="center"/>
            </w:pPr>
            <w:r>
              <w:t xml:space="preserve">$500–$1,000</w:t>
            </w:r>
          </w:p>
        </w:tc>
        <w:tc>
          <w:tcPr/>
          <w:p>
            <w:pPr>
              <w:pStyle w:val="Compact"/>
              <w:jc w:val="center"/>
            </w:pPr>
            <w:r>
              <w:t xml:space="preserve">$20–$30</w:t>
            </w:r>
          </w:p>
        </w:tc>
        <w:tc>
          <w:tcPr/>
          <w:p>
            <w:pPr>
              <w:pStyle w:val="Compact"/>
              <w:jc w:val="center"/>
            </w:pPr>
            <w:r>
              <w:t xml:space="preserve">95–97%</w:t>
            </w:r>
          </w:p>
        </w:tc>
      </w:tr>
      <w:tr>
        <w:tc>
          <w:tcPr/>
          <w:p>
            <w:pPr>
              <w:pStyle w:val="Compact"/>
              <w:jc w:val="left"/>
            </w:pPr>
            <w:r>
              <w:rPr>
                <w:bCs/>
                <w:b/>
              </w:rPr>
              <w:t xml:space="preserve">Total launch cost</w:t>
            </w:r>
          </w:p>
        </w:tc>
        <w:tc>
          <w:tcPr/>
          <w:p>
            <w:pPr>
              <w:pStyle w:val="Compact"/>
              <w:jc w:val="center"/>
            </w:pPr>
            <w:r>
              <w:rPr>
                <w:bCs/>
                <w:b/>
              </w:rPr>
              <w:t xml:space="preserve">$5,700–$11,500</w:t>
            </w:r>
          </w:p>
        </w:tc>
        <w:tc>
          <w:tcPr/>
          <w:p>
            <w:pPr>
              <w:pStyle w:val="Compact"/>
              <w:jc w:val="center"/>
            </w:pPr>
            <w:r>
              <w:rPr>
                <w:bCs/>
                <w:b/>
              </w:rPr>
              <w:t xml:space="preserve">$99–$259</w:t>
            </w:r>
          </w:p>
        </w:tc>
        <w:tc>
          <w:tcPr/>
          <w:p>
            <w:pPr>
              <w:pStyle w:val="Compact"/>
              <w:jc w:val="center"/>
            </w:pPr>
            <w:r>
              <w:rPr>
                <w:bCs/>
                <w:b/>
              </w:rPr>
              <w:t xml:space="preserve">98–99%</w:t>
            </w:r>
          </w:p>
        </w:tc>
      </w:tr>
    </w:tbl>
    <w:p>
      <w:pPr>
        <w:pStyle w:val="BodyText"/>
      </w:pPr>
      <w:r>
        <w:t xml:space="preserve">The cost reduction is so dramatic that it has shifted the bottleneck from production to strategy. Any artist with a vision can now afford to design and launch a product line. What remains scarce — and what Merch From provides — is the expertise to select the right products, source quality blanks, price correctly, and build a brand that commands premium margins rather than competing on cost.</w:t>
      </w:r>
    </w:p>
    <w:bookmarkEnd w:id="98"/>
    <w:bookmarkStart w:id="99" w:name="X911fd7020523f2d422934a117126bd161a2652e"/>
    <w:p>
      <w:pPr>
        <w:pStyle w:val="Heading4"/>
      </w:pPr>
      <w:r>
        <w:t xml:space="preserve">6.2.2 Print-on-Demand Infrastructure Goes Global</w:t>
      </w:r>
    </w:p>
    <w:p>
      <w:pPr>
        <w:pStyle w:val="FirstParagraph"/>
      </w:pPr>
      <w:r>
        <w:t xml:space="preserve">The Printful-Printify merger</w:t>
      </w:r>
      <w:r>
        <w:t xml:space="preserve"> </w:t>
      </w:r>
      <w:fldSimple w:instr="NOTEREF _Ref_Footnote_25 \h \f">
        <w:r>
          <w:rPr>
            <w:vertAlign w:val="superscript"/>
          </w:rPr>
          <w:t>25</w:t>
        </w:r>
      </w:fldSimple>
      <w:r>
        <w:t xml:space="preserve">, combined with Gelato’s API-first network connecting 100+ production partners in 33 countries</w:t>
      </w:r>
      <w:r>
        <w:t xml:space="preserve"> </w:t>
      </w:r>
      <w:r>
        <w:rPr>
          <w:vertAlign w:val="superscript"/>
        </w:rPr>
        <w:footnoteReference w:id="163"/>
      </w:r>
      <w:r>
        <w:t xml:space="preserve">, means that global fulfillment is now a commodity service. An artist in Lisbon can sell a t-shirt to a customer in Tokyo without ever touching inventory, with the item printing and shipping from a facility in Asia within 48–72 hours.</w:t>
      </w:r>
    </w:p>
    <w:p>
      <w:pPr>
        <w:pStyle w:val="BodyText"/>
      </w:pPr>
      <w:r>
        <w:t xml:space="preserve">The POD market itself validates the scale of opportunity. The global print-on-demand market was valued at $9.34–$12.96 billion in 2024–2025, with consensus CAGR projections of 23–26% taking the market to $55–$119 billion by 2032–2035</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 The European POD market alone was valued at $1.97 billion in 2024 and is projected to reach $13.69 billion by 2033 at a 24.06% CAGR</w:t>
      </w:r>
      <w:r>
        <w:t xml:space="preserve"> </w:t>
      </w:r>
      <w:fldSimple w:instr="NOTEREF _Ref_Footnote_143 \h \f">
        <w:r>
          <w:rPr>
            <w:vertAlign w:val="superscript"/>
          </w:rPr>
          <w:t>143</w:t>
        </w:r>
      </w:fldSimple>
      <w:r>
        <w:t xml:space="preserve">. North America currently dominates with 36–38% revenue share, while Asia-Pacific is the fastest-growing region at 26–28% CAGR</w:t>
      </w:r>
      <w:r>
        <w:t xml:space="preserve"> </w:t>
      </w:r>
      <w:fldSimple w:instr="NOTEREF _Ref_Footnote_142 \h \f">
        <w:r>
          <w:rPr>
            <w:vertAlign w:val="superscript"/>
          </w:rPr>
          <w:t>142</w:t>
        </w:r>
      </w:fldSimple>
      <w:r>
        <w:t xml:space="preserve">.</w:t>
      </w:r>
    </w:p>
    <w:p>
      <w:pPr>
        <w:pStyle w:val="BodyText"/>
      </w:pPr>
      <w:r>
        <w:t xml:space="preserve">For Merch From, POD serves two functions. First, it eliminates inventory risk for product launches — artists can test demand before committing to bulk orders. Second, the hybrid model (POD for testing, bulk for proven sellers) optimizes margins: a shirt selling 10 units per month on POD earns approximately $5 per sale, while the same design produced in bulk at 500 units can generate $12 margin per sale — a 2.4x improvement</w:t>
      </w:r>
      <w:r>
        <w:t xml:space="preserve"> </w:t>
      </w:r>
      <w:fldSimple w:instr="NOTEREF _Ref_Footnote_139 \h \f">
        <w:r>
          <w:rPr>
            <w:vertAlign w:val="superscript"/>
          </w:rPr>
          <w:t>139</w:t>
        </w:r>
      </w:fldSimple>
      <w:r>
        <w:t xml:space="preserve">. The break-even point for transitioning from POD to bulk is approximately 50–100 units per design per month</w:t>
      </w:r>
      <w:r>
        <w:t xml:space="preserve"> </w:t>
      </w:r>
      <w:fldSimple w:instr="NOTEREF _Ref_Footnote_138 \h \f">
        <w:r>
          <w:rPr>
            <w:vertAlign w:val="superscript"/>
          </w:rPr>
          <w:t>138</w:t>
        </w:r>
      </w:fldSimple>
      <w:r>
        <w:t xml:space="preserve">, a threshold that even mid-tier artists can reach with an engaged audience of a few thousand fans.</w:t>
      </w:r>
    </w:p>
    <w:bookmarkEnd w:id="99"/>
    <w:bookmarkStart w:id="100" w:name="X62f26947d338b611cf7145d5bb139a3a32a6d6e"/>
    <w:p>
      <w:pPr>
        <w:pStyle w:val="Heading4"/>
      </w:pPr>
      <w:r>
        <w:t xml:space="preserve">6.2.3 Procreate + iPad Pro: The Universal Design Pipeline</w:t>
      </w:r>
    </w:p>
    <w:p>
      <w:pPr>
        <w:pStyle w:val="FirstParagraph"/>
      </w:pPr>
      <w:r>
        <w:t xml:space="preserve">The iPad Pro with Apple Pencil, introduced in 2015, became what Fast Company called a</w:t>
      </w:r>
      <w:r>
        <w:t xml:space="preserve"> </w:t>
      </w:r>
      <w:r>
        <w:t xml:space="preserve">“</w:t>
      </w:r>
      <w:r>
        <w:t xml:space="preserve">catalyst for an industry that so far has only reluctantly let go of ink pens and sketch paper</w:t>
      </w:r>
      <w:r>
        <w:t xml:space="preserve">”</w:t>
      </w:r>
      <w:r>
        <w:t xml:space="preserve"> </w:t>
      </w:r>
      <w:fldSimple w:instr="NOTEREF _Ref_Footnote_90 \h \f">
        <w:r>
          <w:rPr>
            <w:vertAlign w:val="superscript"/>
          </w:rPr>
          <w:t>90</w:t>
        </w:r>
      </w:fldSimple>
      <w:r>
        <w:t xml:space="preserve">. Procreate now dominates iPad digital art with 80% market share and 40 million downloads, making it the #1 paid iPad app</w:t>
      </w:r>
      <w:r>
        <w:t xml:space="preserve"> </w:t>
      </w:r>
      <w:fldSimple w:instr="NOTEREF _Ref_Footnote_11 \h \f">
        <w:r>
          <w:rPr>
            <w:vertAlign w:val="superscript"/>
          </w:rPr>
          <w:t>11</w:t>
        </w:r>
      </w:fldSimple>
      <w:r>
        <w:t xml:space="preserve"> </w:t>
      </w:r>
      <w:fldSimple w:instr="NOTEREF _Ref_Footnote_92 \h \f">
        <w:r>
          <w:rPr>
            <w:vertAlign w:val="superscript"/>
          </w:rPr>
          <w:t>92</w:t>
        </w:r>
      </w:fldSimple>
      <w:r>
        <w:t xml:space="preserve">. By 2023,</w:t>
      </w:r>
      <w:r>
        <w:t xml:space="preserve"> </w:t>
      </w:r>
      <w:r>
        <w:t xml:space="preserve">“</w:t>
      </w:r>
      <w:r>
        <w:t xml:space="preserve">the vast majority of tattoo artists design their artwork digitally using an iPad with an app called Procreate</w:t>
      </w:r>
      <w:r>
        <w:t xml:space="preserve">”</w:t>
      </w:r>
      <w:r>
        <w:t xml:space="preserve"> </w:t>
      </w:r>
      <w:fldSimple w:instr="NOTEREF _Ref_Footnote_91 \h \f">
        <w:r>
          <w:rPr>
            <w:vertAlign w:val="superscript"/>
          </w:rPr>
          <w:t>91</w:t>
        </w:r>
      </w:fldSimple>
      <w:r>
        <w:t xml:space="preserve">, while 50% of illustrators use it as a primary tool</w:t>
      </w:r>
      <w:r>
        <w:t xml:space="preserve"> </w:t>
      </w:r>
      <w:fldSimple w:instr="NOTEREF _Ref_Footnote_70 \h \f">
        <w:r>
          <w:rPr>
            <w:vertAlign w:val="superscript"/>
          </w:rPr>
          <w:t>70</w:t>
        </w:r>
      </w:fldSimple>
      <w:r>
        <w:t xml:space="preserve">.</w:t>
      </w:r>
    </w:p>
    <w:p>
      <w:pPr>
        <w:pStyle w:val="BodyText"/>
      </w:pPr>
      <w:r>
        <w:t xml:space="preserve">This matters for Merch From because it means the target customer base — artists across music, tattoo, and creator verticals — already owns the hardware and possesses the design skills to create merchandise. The design barrier has been eliminated not just by cost reduction but by skill diffusion: tattoo artists who design flash art daily, musicians who create album artwork, and creators who produce branded content all use the same Procreate-to-PNG pipeline that feeds directly into POD production systems. Merch From does not need to teach artists how to design; it needs to help them convert designs they have already created into products their fans want to buy.</w:t>
      </w:r>
    </w:p>
    <w:bookmarkEnd w:id="100"/>
    <w:bookmarkStart w:id="101" w:name="social-commerce-integration"/>
    <w:p>
      <w:pPr>
        <w:pStyle w:val="Heading4"/>
      </w:pPr>
      <w:r>
        <w:t xml:space="preserve">6.2.4 Social Commerce Integration</w:t>
      </w:r>
    </w:p>
    <w:p>
      <w:pPr>
        <w:pStyle w:val="FirstParagraph"/>
      </w:pPr>
      <w:r>
        <w:t xml:space="preserve">The final technological enabler is the integration of commerce directly into social platforms — eliminating the friction of redirecting fans to external storefronts. TikTok Shop generated $33.2 billion in global gross merchandise value (GMV) in 2024, a 202% increase from $11 billion in 2023, with the platform capturing 68.1% of total social commerce GMV</w:t>
      </w:r>
      <w:r>
        <w:t xml:space="preserve"> </w:t>
      </w:r>
      <w:fldSimple w:instr="NOTEREF _Ref_Footnote_26 \h \f">
        <w:r>
          <w:rPr>
            <w:vertAlign w:val="superscript"/>
          </w:rPr>
          <w:t>26</w:t>
        </w:r>
      </w:fldSimple>
      <w:r>
        <w:t xml:space="preserve">. US social commerce is projected at approximately $80 billion in 2025</w:t>
      </w:r>
      <w:r>
        <w:t xml:space="preserve"> </w:t>
      </w:r>
      <w:fldSimple w:instr="NOTEREF _Ref_Footnote_26 \h \f">
        <w:r>
          <w:rPr>
            <w:vertAlign w:val="superscript"/>
          </w:rPr>
          <w:t>26</w:t>
        </w:r>
      </w:fldSimple>
      <w:r>
        <w:t xml:space="preserve">.</w:t>
      </w:r>
    </w:p>
    <w:p>
      <w:pPr>
        <w:pStyle w:val="BodyText"/>
      </w:pPr>
      <w:r>
        <w:t xml:space="preserve">For creators, this means the point of sale has moved inside the app where discovery happens. YouTube Merch Shelf converts at 4–8% on engaged subscribers in tight niches, compared to under 1% for broad channels</w:t>
      </w:r>
      <w:r>
        <w:t xml:space="preserve"> </w:t>
      </w:r>
      <w:fldSimple w:instr="NOTEREF _Ref_Footnote_135 \h \f">
        <w:r>
          <w:rPr>
            <w:vertAlign w:val="superscript"/>
          </w:rPr>
          <w:t>135</w:t>
        </w:r>
      </w:fldSimple>
      <w:r>
        <w:t xml:space="preserve">. Merch launches within five days of a high-performing video capture 50–60% more revenue than launches delayed two weeks</w:t>
      </w:r>
      <w:r>
        <w:t xml:space="preserve"> </w:t>
      </w:r>
      <w:fldSimple w:instr="NOTEREF _Ref_Footnote_135 \h \f">
        <w:r>
          <w:rPr>
            <w:vertAlign w:val="superscript"/>
          </w:rPr>
          <w:t>135</w:t>
        </w:r>
      </w:fldSimple>
      <w:r>
        <w:t xml:space="preserve">. YouTube lowered its Shopping Affiliate Program threshold to 500 subscribers in 2026, acknowledging that subscriber count is a poor proxy for purchase influence</w:t>
      </w:r>
      <w:r>
        <w:t xml:space="preserve"> </w:t>
      </w:r>
      <w:r>
        <w:rPr>
          <w:vertAlign w:val="superscript"/>
        </w:rPr>
        <w:footnoteReference w:id="164"/>
      </w:r>
      <w:r>
        <w:t xml:space="preserve">.</w:t>
      </w:r>
    </w:p>
    <w:p>
      <w:pPr>
        <w:pStyle w:val="BodyText"/>
      </w:pPr>
      <w:r>
        <w:t xml:space="preserve">Merch From’s social commerce integration — connecting artist storefronts to TikTok Shop, YouTube Merch Shelf, and Instagram Shopping — captures this trend at its inflection point. Rather than building a marketplace that competes with social platforms for traffic, Merch From operates as the infrastructure layer that enables artists to sell within the platforms where their audiences already spend time.</w:t>
      </w:r>
    </w:p>
    <w:p>
      <w:r>
        <w:pict>
          <v:rect style="width:0;height:1.5pt" o:hralign="center" o:hrstd="t" o:hr="t"/>
        </w:pict>
      </w:r>
    </w:p>
    <w:bookmarkEnd w:id="101"/>
    <w:bookmarkEnd w:id="102"/>
    <w:bookmarkStart w:id="110" w:name="gen-z-as-the-merch-generation"/>
    <w:p>
      <w:pPr>
        <w:pStyle w:val="Heading3"/>
      </w:pPr>
      <w:r>
        <w:t xml:space="preserve">6.3 Gen Z as the Merch Generation</w:t>
      </w:r>
    </w:p>
    <w:p>
      <w:pPr>
        <w:pStyle w:val="FirstParagraph"/>
      </w:pPr>
      <w:r>
        <w:t xml:space="preserve">The third and most powerful force creating Merch From’s market opportunity is generational. Generation Z — born 1997–2012, now aged 13–28 — represents the first cohort to grow up fully immersed in digital culture who are now rebelling against it by seeking physical, analog experiences. Their consumption patterns simultaneously drive the vinyl resurgence, the demand for sustainable artist merchandise, and the cultural elevation of creator-branded products from</w:t>
      </w:r>
      <w:r>
        <w:t xml:space="preserve"> </w:t>
      </w:r>
      <w:r>
        <w:t xml:space="preserve">“</w:t>
      </w:r>
      <w:r>
        <w:t xml:space="preserve">fan gear</w:t>
      </w:r>
      <w:r>
        <w:t xml:space="preserve">”</w:t>
      </w:r>
      <w:r>
        <w:t xml:space="preserve"> </w:t>
      </w:r>
      <w:r>
        <w:t xml:space="preserve">to</w:t>
      </w:r>
      <w:r>
        <w:t xml:space="preserve"> </w:t>
      </w:r>
      <w:r>
        <w:t xml:space="preserve">“</w:t>
      </w:r>
      <w:r>
        <w:t xml:space="preserve">fashion statement.</w:t>
      </w:r>
      <w:r>
        <w:t xml:space="preserve">”</w:t>
      </w:r>
    </w:p>
    <w:bookmarkStart w:id="106" w:name="the-digital-fatigue-paradox"/>
    <w:p>
      <w:pPr>
        <w:pStyle w:val="Heading4"/>
      </w:pPr>
      <w:r>
        <w:t xml:space="preserve">6.3.1 The Digital Fatigue Paradox</w:t>
      </w:r>
    </w:p>
    <w:p>
      <w:pPr>
        <w:pStyle w:val="FirstParagraph"/>
      </w:pPr>
      <w:r>
        <w:t xml:space="preserve">Gen Z’s relationship with digital media is quantitatively unprecedented and psychologically strained. The dcdx 4th Annual Gen Z Screen Time Report found that daily average screen time for 2024 rose to 7 hours, 22 minutes, and 43 seconds — over 15 minutes more than 2023, equivalent to 112 complete days per year spent on phones</w:t>
      </w:r>
      <w:r>
        <w:t xml:space="preserve"> </w:t>
      </w:r>
      <w:fldSimple w:instr="NOTEREF _Ref_Footnote_33 \h \f">
        <w:r>
          <w:rPr>
            <w:vertAlign w:val="superscript"/>
          </w:rPr>
          <w:t>33</w:t>
        </w:r>
      </w:fldSimple>
      <w:r>
        <w:t xml:space="preserve">. The BePresent 2024 Digital Wellness Report found that 83% of Gen Z feel they have an unhealthy relationship with their phones, 78% feel addicted to their devices, and 76% say they spend too much time on smartphones</w:t>
      </w:r>
      <w:r>
        <w:t xml:space="preserve"> </w:t>
      </w:r>
      <w:fldSimple w:instr="NOTEREF _Ref_Footnote_32 \h \f">
        <w:r>
          <w:rPr>
            <w:vertAlign w:val="superscript"/>
          </w:rPr>
          <w:t>32</w:t>
        </w:r>
      </w:fldSimple>
      <w:r>
        <w:t xml:space="preserve"> </w:t>
      </w:r>
      <w:r>
        <w:rPr>
          <w:vertAlign w:val="superscript"/>
        </w:rPr>
        <w:footnoteReference w:id="165"/>
      </w:r>
      <w:r>
        <w:t xml:space="preserve">.</w:t>
      </w:r>
    </w:p>
    <w:p>
      <w:pPr>
        <w:pStyle w:val="BodyText"/>
      </w:pPr>
      <w:r>
        <w:t xml:space="preserve">This saturation produces what researchers call</w:t>
      </w:r>
      <w:r>
        <w:t xml:space="preserve"> </w:t>
      </w:r>
      <w:r>
        <w:t xml:space="preserve">“</w:t>
      </w:r>
      <w:r>
        <w:t xml:space="preserve">analog seeking behavior</w:t>
      </w:r>
      <w:r>
        <w:t xml:space="preserve">”</w:t>
      </w:r>
      <w:r>
        <w:t xml:space="preserve"> </w:t>
      </w:r>
      <w:fldSimple w:instr="NOTEREF _Ref_Footnote_35 \h \f">
        <w:r>
          <w:rPr>
            <w:vertAlign w:val="superscript"/>
          </w:rPr>
          <w:t>35</w:t>
        </w:r>
      </w:fldSimple>
      <w:r>
        <w:t xml:space="preserve">. A Global Web Index study found that 32% of Gen Z have taken</w:t>
      </w:r>
      <w:r>
        <w:t xml:space="preserve"> </w:t>
      </w:r>
      <w:r>
        <w:t xml:space="preserve">“</w:t>
      </w:r>
      <w:r>
        <w:t xml:space="preserve">digital detox</w:t>
      </w:r>
      <w:r>
        <w:t xml:space="preserve">”</w:t>
      </w:r>
      <w:r>
        <w:t xml:space="preserve"> </w:t>
      </w:r>
      <w:r>
        <w:t xml:space="preserve">breaks from the internet, compared to only 19% of Baby Boomers</w:t>
      </w:r>
      <w:r>
        <w:t xml:space="preserve"> </w:t>
      </w:r>
      <w:fldSimple w:instr="NOTEREF _Ref_Footnote_35 \h \f">
        <w:r>
          <w:rPr>
            <w:vertAlign w:val="superscript"/>
          </w:rPr>
          <w:t>35</w:t>
        </w:r>
      </w:fldSimple>
      <w:r>
        <w:t xml:space="preserve">. From mechanical keyboards to Polaroid cameras to vinyl records, young adults are gravitating toward the</w:t>
      </w:r>
      <w:r>
        <w:t xml:space="preserve"> </w:t>
      </w:r>
      <w:r>
        <w:t xml:space="preserve">“</w:t>
      </w:r>
      <w:r>
        <w:t xml:space="preserve">touch and weight of things, subconsciously assuring themselves that what they encounter isn’t just an algorithmic mirage</w:t>
      </w:r>
      <w:r>
        <w:t xml:space="preserve">”</w:t>
      </w:r>
      <w:r>
        <w:t xml:space="preserve"> </w:t>
      </w:r>
      <w:fldSimple w:instr="NOTEREF _Ref_Footnote_35 \h \f">
        <w:r>
          <w:rPr>
            <w:vertAlign w:val="superscript"/>
          </w:rPr>
          <w:t>35</w:t>
        </w:r>
      </w:fldSimple>
      <w:r>
        <w:t xml:space="preserve">.</w:t>
      </w:r>
    </w:p>
    <w:p>
      <w:pPr>
        <w:pStyle w:val="BodyText"/>
      </w:pPr>
      <w:r>
        <w:t xml:space="preserve">The vinyl resurgence is the most economically significant manifestation of this analog-seeking impulse. US vinyl sales reached $1.4 billion in 2024 — the highest since 1984 — marking the 18th consecutive year of growth</w:t>
      </w:r>
      <w:r>
        <w:t xml:space="preserve"> </w:t>
      </w:r>
      <w:r>
        <w:rPr>
          <w:vertAlign w:val="superscript"/>
        </w:rPr>
        <w:footnoteReference w:id="166"/>
      </w:r>
      <w:r>
        <w:t xml:space="preserve"> </w:t>
      </w:r>
      <w:r>
        <w:rPr>
          <w:vertAlign w:val="superscript"/>
        </w:rPr>
        <w:footnoteReference w:id="167"/>
      </w:r>
      <w:r>
        <w:t xml:space="preserve">. LP sales outpaced CDs for a third consecutive year, with 44 million records sold versus 33 million compact discs</w:t>
      </w:r>
      <w:r>
        <w:t xml:space="preserve"> </w:t>
      </w:r>
      <w:fldSimple w:instr="NOTEREF _Ref_Footnote_166 \h \f">
        <w:r>
          <w:rPr>
            <w:vertAlign w:val="superscript"/>
          </w:rPr>
          <w:t>166</w:t>
        </w:r>
      </w:fldSimple>
      <w:r>
        <w:t xml:space="preserve">. Critically, half of US vinyl buyers do not own a record player; they purchase records as tangible tokens of fandom and identity</w:t>
      </w:r>
      <w:r>
        <w:t xml:space="preserve"> </w:t>
      </w:r>
      <w:fldSimple w:instr="NOTEREF _Ref_Footnote_35 \h \f">
        <w:r>
          <w:rPr>
            <w:vertAlign w:val="superscript"/>
          </w:rPr>
          <w:t>35</w:t>
        </w:r>
      </w:fldSimple>
      <w:r>
        <w:t xml:space="preserve">. The</w:t>
      </w:r>
      <w:r>
        <w:t xml:space="preserve"> </w:t>
      </w:r>
      <w:r>
        <w:t xml:space="preserve">“</w:t>
      </w:r>
      <w:r>
        <w:t xml:space="preserve">streaming discovers, vinyl owns</w:t>
      </w:r>
      <w:r>
        <w:t xml:space="preserve">”</w:t>
      </w:r>
      <w:r>
        <w:t xml:space="preserve"> </w:t>
      </w:r>
      <w:r>
        <w:t xml:space="preserve">dynamic — wherein 36% of buyers discover music on Spotify before purchasing the record as a statement of ownership</w:t>
      </w:r>
      <w:r>
        <w:t xml:space="preserve"> </w:t>
      </w:r>
      <w:r>
        <w:rPr>
          <w:vertAlign w:val="superscript"/>
        </w:rPr>
        <w:footnoteReference w:id="168"/>
      </w:r>
      <w:r>
        <w:t xml:space="preserve">— maps directly onto merchandise economics: digital platforms drive awareness, but physical products capture loyalty and command premium prices.</w:t>
      </w:r>
    </w:p>
    <w:p>
      <w:pPr>
        <w:pStyle w:val="CaptionedFigure"/>
      </w:pPr>
      <w:r>
        <w:drawing>
          <wp:inline>
            <wp:extent cx="5334000" cy="2343727"/>
            <wp:effectExtent b="0" l="0" r="0" t="0"/>
            <wp:docPr descr="Gen Z Paradox: Screen Time vs Physical Preference" title="" id="104" name="Picture"/>
            <a:graphic>
              <a:graphicData uri="http://schemas.openxmlformats.org/drawingml/2006/picture">
                <pic:pic>
                  <pic:nvPicPr>
                    <pic:cNvPr descr="chart_gen_z_paradox.png" id="105" name="Picture"/>
                    <pic:cNvPicPr>
                      <a:picLocks noChangeArrowheads="1" noChangeAspect="1"/>
                    </pic:cNvPicPr>
                  </pic:nvPicPr>
                  <pic:blipFill>
                    <a:blip r:embed="rId103"/>
                    <a:stretch>
                      <a:fillRect/>
                    </a:stretch>
                  </pic:blipFill>
                  <pic:spPr bwMode="auto">
                    <a:xfrm>
                      <a:off x="0" y="0"/>
                      <a:ext cx="5334000" cy="2343727"/>
                    </a:xfrm>
                    <a:prstGeom prst="rect">
                      <a:avLst/>
                    </a:prstGeom>
                    <a:noFill/>
                    <a:ln w="9525">
                      <a:noFill/>
                      <a:headEnd/>
                      <a:tailEnd/>
                    </a:ln>
                  </pic:spPr>
                </pic:pic>
              </a:graphicData>
            </a:graphic>
          </wp:inline>
        </w:drawing>
      </w:r>
    </w:p>
    <w:p>
      <w:pPr>
        <w:pStyle w:val="ImageCaption"/>
      </w:pPr>
      <w:r>
        <w:t xml:space="preserve">Gen Z Paradox: Screen Time vs Physical Preference</w:t>
      </w:r>
    </w:p>
    <w:bookmarkEnd w:id="106"/>
    <w:bookmarkStart w:id="107" w:name="sustainability-as-purchase-driver"/>
    <w:p>
      <w:pPr>
        <w:pStyle w:val="Heading4"/>
      </w:pPr>
      <w:r>
        <w:t xml:space="preserve">6.3.2 Sustainability as Purchase Driver</w:t>
      </w:r>
    </w:p>
    <w:p>
      <w:pPr>
        <w:pStyle w:val="FirstParagraph"/>
      </w:pPr>
      <w:r>
        <w:t xml:space="preserve">Gen Z’s analog-seeking behavior is paired with the strongest sustainability consciousness of any consumer generation. A First Insight study found that 73% of Gen Z consumers are willing to spend more on products that align with their environmental values</w:t>
      </w:r>
      <w:r>
        <w:t xml:space="preserve"> </w:t>
      </w:r>
      <w:fldSimple w:instr="NOTEREF _Ref_Footnote_37 \h \f">
        <w:r>
          <w:rPr>
            <w:vertAlign w:val="superscript"/>
          </w:rPr>
          <w:t>37</w:t>
        </w:r>
      </w:fldSimple>
      <w:r>
        <w:t xml:space="preserve">. This is not abstract preference — it is quantified purchasing behavior. PwC’s 2024 Voice of the Consumer Survey found that 80% of consumers are willing to pay more for sustainably produced goods, with an average premium of 9.7%</w:t>
      </w:r>
      <w:r>
        <w:t xml:space="preserve"> </w:t>
      </w:r>
      <w:r>
        <w:rPr>
          <w:vertAlign w:val="superscript"/>
        </w:rPr>
        <w:footnoteReference w:id="169"/>
      </w:r>
      <w:r>
        <w:t xml:space="preserve">. Among European consumers, who drive the most sustainability-conscious purchasing globally, 86% of French consumers and 79% of German consumers say sustainability is important in their purchasing decisions</w:t>
      </w:r>
      <w:r>
        <w:t xml:space="preserve"> </w:t>
      </w:r>
      <w:r>
        <w:rPr>
          <w:vertAlign w:val="superscript"/>
        </w:rPr>
        <w:footnoteReference w:id="170"/>
      </w:r>
      <w:r>
        <w:t xml:space="preserve">.</w:t>
      </w:r>
    </w:p>
    <w:p>
      <w:pPr>
        <w:pStyle w:val="BodyText"/>
      </w:pPr>
      <w:r>
        <w:t xml:space="preserve">For artist merchandise specifically, the sustainability premium is even more pronounced. A Key Production survey found that 71% of 18–24-year-olds would pay a premium for vinyl LPs produced with a proven reduced environmental impact — the highest of any age group</w:t>
      </w:r>
      <w:r>
        <w:t xml:space="preserve"> </w:t>
      </w:r>
      <w:fldSimple w:instr="NOTEREF _Ref_Footnote_34 \h \f">
        <w:r>
          <w:rPr>
            <w:vertAlign w:val="superscript"/>
          </w:rPr>
          <w:t>34</w:t>
        </w:r>
      </w:fldSimple>
      <w:r>
        <w:t xml:space="preserve">. Billie Eilish and Universal Music Group upcycled 400,000+ unsold concert T-shirts into new garments through a textile recycling partnership</w:t>
      </w:r>
      <w:r>
        <w:t xml:space="preserve"> </w:t>
      </w:r>
      <w:r>
        <w:rPr>
          <w:vertAlign w:val="superscript"/>
        </w:rPr>
        <w:footnoteReference w:id="171"/>
      </w:r>
      <w:r>
        <w:t xml:space="preserve">. Coldplay reduced tour CO2 emissions by 59%, using compostable LED wristbands, kinetic floors, and sustainable merch made from organic cotton</w:t>
      </w:r>
      <w:r>
        <w:t xml:space="preserve"> </w:t>
      </w:r>
      <w:r>
        <w:rPr>
          <w:vertAlign w:val="superscript"/>
        </w:rPr>
        <w:footnoteReference w:id="172"/>
      </w:r>
      <w:r>
        <w:t xml:space="preserve">. Warner Music’s EcoRecord uses recycled PET, reducing CO2 emissions by 85% during manufacturing</w:t>
      </w:r>
      <w:r>
        <w:t xml:space="preserve"> </w:t>
      </w:r>
      <w:r>
        <w:rPr>
          <w:vertAlign w:val="superscript"/>
        </w:rPr>
        <w:footnoteReference w:id="173"/>
      </w:r>
      <w:r>
        <w:t xml:space="preserve">.</w:t>
      </w:r>
    </w:p>
    <w:p>
      <w:pPr>
        <w:pStyle w:val="BodyText"/>
      </w:pPr>
      <w:r>
        <w:t xml:space="preserve">These are not niche experiments — they are the strategies employed by the world’s largest artists because their primary audience demands them. The EU Digital Product Passport regulation, introduced under the Ecodesign for Sustainable Products Regulation (ESPR), will require textile products to carry standardized digital sustainability records beginning in 2027, with full implementation by 2030</w:t>
      </w:r>
      <w:r>
        <w:t xml:space="preserve"> </w:t>
      </w:r>
      <w:fldSimple w:instr="NOTEREF _Ref_Footnote_158 \h \f">
        <w:r>
          <w:rPr>
            <w:vertAlign w:val="superscript"/>
          </w:rPr>
          <w:t>158</w:t>
        </w:r>
      </w:fldSimple>
      <w:r>
        <w:t xml:space="preserve">. Merch From’s European positioning means sustainability is not a marketing angle; it is a regulatory requirement and a generational expectation.</w:t>
      </w:r>
    </w:p>
    <w:bookmarkEnd w:id="107"/>
    <w:bookmarkStart w:id="108" w:name="the-cultural-status-of-artist-merch"/>
    <w:p>
      <w:pPr>
        <w:pStyle w:val="Heading4"/>
      </w:pPr>
      <w:r>
        <w:t xml:space="preserve">6.3.3 The Cultural Status of Artist Merch</w:t>
      </w:r>
    </w:p>
    <w:p>
      <w:pPr>
        <w:pStyle w:val="FirstParagraph"/>
      </w:pPr>
      <w:r>
        <w:t xml:space="preserve">The final piece of the Gen Z merchandise equation is cultural. Artist merchandise has transcended its origins as concert memorabilia and become a legitimate category of fashion and identity signaling. Tattoo-inspired clothing — driven by the same visual aesthetics that dominate Instagram and TikTok — represents a $6.8 billion market growing at 7.8% CAGR</w:t>
      </w:r>
      <w:r>
        <w:t xml:space="preserve"> </w:t>
      </w:r>
      <w:fldSimple w:instr="NOTEREF _Ref_Footnote_162 \h \f">
        <w:r>
          <w:rPr>
            <w:vertAlign w:val="superscript"/>
          </w:rPr>
          <w:t>162</w:t>
        </w:r>
      </w:fldSimple>
      <w:r>
        <w:t xml:space="preserve">. Limited edition drops sell out in as little as 16 seconds, with secondary market prices tripling within hours</w:t>
      </w:r>
      <w:r>
        <w:t xml:space="preserve"> </w:t>
      </w:r>
      <w:r>
        <w:rPr>
          <w:vertAlign w:val="superscript"/>
        </w:rPr>
        <w:footnoteReference w:id="174"/>
      </w:r>
      <w:r>
        <w:t xml:space="preserve">.</w:t>
      </w:r>
    </w:p>
    <w:p>
      <w:pPr>
        <w:pStyle w:val="BodyText"/>
      </w:pPr>
      <w:r>
        <w:t xml:space="preserve">The psychology is well-documented. Wharton School research demonstrates that consumers consistently value physical goods more than equivalent digital goods due to</w:t>
      </w:r>
      <w:r>
        <w:t xml:space="preserve"> </w:t>
      </w:r>
      <w:r>
        <w:t xml:space="preserve">“</w:t>
      </w:r>
      <w:r>
        <w:t xml:space="preserve">psychological ownership</w:t>
      </w:r>
      <w:r>
        <w:t xml:space="preserve">”</w:t>
      </w:r>
      <w:r>
        <w:t xml:space="preserve"> </w:t>
      </w:r>
      <w:r>
        <w:t xml:space="preserve">— the capacity for physical objects to garner stronger self-association and perceived control</w:t>
      </w:r>
      <w:r>
        <w:t xml:space="preserve"> </w:t>
      </w:r>
      <w:r>
        <w:rPr>
          <w:vertAlign w:val="superscript"/>
        </w:rPr>
        <w:footnoteReference w:id="175"/>
      </w:r>
      <w:r>
        <w:t xml:space="preserve">. In controlled experiments, participants were willing to pay $59.30 on average for physical goods versus $55.96 for equivalent digital goods, and felt greater psychological ownership for physical formats (mean score 6.12 on a 7-point scale) versus digital (4.88)</w:t>
      </w:r>
      <w:r>
        <w:t xml:space="preserve"> </w:t>
      </w:r>
      <w:fldSimple w:instr="NOTEREF _Ref_Footnote_175 \h \f">
        <w:r>
          <w:rPr>
            <w:vertAlign w:val="superscript"/>
          </w:rPr>
          <w:t>175</w:t>
        </w:r>
      </w:fldSimple>
      <w:r>
        <w:t xml:space="preserve">. Concert merchandise serves as a</w:t>
      </w:r>
      <w:r>
        <w:t xml:space="preserve"> </w:t>
      </w:r>
      <w:r>
        <w:t xml:space="preserve">“</w:t>
      </w:r>
      <w:r>
        <w:t xml:space="preserve">memory anchor</w:t>
      </w:r>
      <w:r>
        <w:t xml:space="preserve">”</w:t>
      </w:r>
      <w:r>
        <w:t xml:space="preserve"> </w:t>
      </w:r>
      <w:r>
        <w:t xml:space="preserve">— a physical item that preserves emotional moments and signals group affiliation</w:t>
      </w:r>
      <w:r>
        <w:t xml:space="preserve"> </w:t>
      </w:r>
      <w:fldSimple w:instr="NOTEREF _Ref_Footnote_131 \h \f">
        <w:r>
          <w:rPr>
            <w:vertAlign w:val="superscript"/>
          </w:rPr>
          <w:t>131</w:t>
        </w:r>
      </w:fldSimple>
      <w:r>
        <w:t xml:space="preserve"> </w:t>
      </w:r>
      <w:r>
        <w:rPr>
          <w:vertAlign w:val="superscript"/>
        </w:rPr>
        <w:footnoteReference w:id="176"/>
      </w:r>
      <w:r>
        <w:t xml:space="preserve">. Fans buy merch not to advertise the artist but to communicate something about themselves:</w:t>
      </w:r>
      <w:r>
        <w:t xml:space="preserve"> </w:t>
      </w:r>
      <w:r>
        <w:t xml:space="preserve">“</w:t>
      </w:r>
      <w:r>
        <w:t xml:space="preserve">This is who I am. This is what I stand for</w:t>
      </w:r>
      <w:r>
        <w:t xml:space="preserve">”</w:t>
      </w:r>
      <w:r>
        <w:t xml:space="preserve"> </w:t>
      </w:r>
      <w:r>
        <w:rPr>
          <w:vertAlign w:val="superscript"/>
        </w:rPr>
        <w:footnoteReference w:id="177"/>
      </w:r>
      <w:r>
        <w:t xml:space="preserve">.</w:t>
      </w:r>
    </w:p>
    <w:p>
      <w:pPr>
        <w:pStyle w:val="BodyText"/>
      </w:pPr>
      <w:r>
        <w:t xml:space="preserve">For Merch From, this cultural shift is the demand-side foundation. The company is not selling t-shirts; it is selling identity artifacts that happen to be printed on cotton. MIDiA Research confirms the trend: 16–24-year-old merch buyers under-index for basic t-shirts but over-index for hoodies, posters, keychains, and jewelry, showing growing appetite for bespoke, subtle merchandise that signals cultural literacy rather than obvious fandom</w:t>
      </w:r>
      <w:r>
        <w:t xml:space="preserve"> </w:t>
      </w:r>
      <w:r>
        <w:rPr>
          <w:vertAlign w:val="superscript"/>
        </w:rPr>
        <w:footnoteReference w:id="178"/>
      </w:r>
      <w:r>
        <w:t xml:space="preserve">. The</w:t>
      </w:r>
      <w:r>
        <w:t xml:space="preserve"> </w:t>
      </w:r>
      <w:r>
        <w:t xml:space="preserve">“</w:t>
      </w:r>
      <w:r>
        <w:t xml:space="preserve">if you know, you know</w:t>
      </w:r>
      <w:r>
        <w:t xml:space="preserve">”</w:t>
      </w:r>
      <w:r>
        <w:t xml:space="preserve"> </w:t>
      </w:r>
      <w:r>
        <w:t xml:space="preserve">aesthetic — understated designs that reward insider recognition — is precisely the type of merchandise that AI-assisted design, POD fulfillment, and D2C selling are best positioned to deliver.</w:t>
      </w:r>
    </w:p>
    <w:bookmarkEnd w:id="108"/>
    <w:bookmarkStart w:id="109" w:name="Xe298ca586952fb2465c33f1dd5903386bfcf858"/>
    <w:p>
      <w:pPr>
        <w:pStyle w:val="Heading4"/>
      </w:pPr>
      <w:r>
        <w:t xml:space="preserve">6.3.4 In-Store Preference and the Omnichannel Reality</w:t>
      </w:r>
    </w:p>
    <w:p>
      <w:pPr>
        <w:pStyle w:val="FirstParagraph"/>
      </w:pPr>
      <w:r>
        <w:t xml:space="preserve">A final data point anchors the Gen Z opportunity: despite their digital saturation, this generation shops in physical stores at rates exceeding older cohorts. Shoppers aged 18–24 made nearly two-thirds (62%) of their general merchandise purchases in stores last year, compared with 52% for those aged 25 and older</w:t>
      </w:r>
      <w:r>
        <w:t xml:space="preserve"> </w:t>
      </w:r>
      <w:r>
        <w:rPr>
          <w:vertAlign w:val="superscript"/>
        </w:rPr>
        <w:footnoteReference w:id="179"/>
      </w:r>
      <w:r>
        <w:t xml:space="preserve">. Roughly one in five Gen Z adults shop in a clothing store at least once a month — double the proportion of the general population (11%)</w:t>
      </w:r>
      <w:r>
        <w:t xml:space="preserve"> </w:t>
      </w:r>
      <w:r>
        <w:rPr>
          <w:vertAlign w:val="superscript"/>
        </w:rPr>
        <w:footnoteReference w:id="180"/>
      </w:r>
      <w:r>
        <w:t xml:space="preserve">. Around half of Gen Z (51%) browse in stores to see what is available, compared to 42% of all US adults</w:t>
      </w:r>
      <w:r>
        <w:t xml:space="preserve"> </w:t>
      </w:r>
      <w:fldSimple w:instr="NOTEREF _Ref_Footnote_180 \h \f">
        <w:r>
          <w:rPr>
            <w:vertAlign w:val="superscript"/>
          </w:rPr>
          <w:t>180</w:t>
        </w:r>
      </w:fldSimple>
      <w:r>
        <w:t xml:space="preserve">.</w:t>
      </w:r>
    </w:p>
    <w:p>
      <w:pPr>
        <w:pStyle w:val="BodyText"/>
      </w:pPr>
      <w:r>
        <w:t xml:space="preserve">This omnichannel behavior — discovering online, purchasing in-store, or discovering in-store and purchasing online — creates multiple touchpoints for artist merchandise. A fan who discovers an artist on TikTok, listens on Spotify, sees the vinyl at a record store, and finally purchases a hoodie at a concert is engaging across every channel. Merch From’s multi-channel approach, which supports D2C online sales, social commerce integration, and wholesale/boutique retail placement, aligns with how Gen Z actually shops rather than forcing them into a single purchasing pathway.</w:t>
      </w:r>
    </w:p>
    <w:p>
      <w:r>
        <w:pict>
          <v:rect style="width:0;height:1.5pt" o:hralign="center" o:hrstd="t" o:hr="t"/>
        </w:pict>
      </w:r>
    </w:p>
    <w:p>
      <w:pPr>
        <w:pStyle w:val="FirstParagraph"/>
      </w:pPr>
      <w:r>
        <w:t xml:space="preserve">The convergence of these three forces — competitive clearing, technology democratization, and generational demand — creates a window that will not remain open indefinitely. The Printful-Printify merger’s 18–24 month integration cycle, during which innovation velocity typically slows, provides a narrow window before the next generation of consolidated POD platforms launches competing creator tools. AI design costs will not fall much further — they are already near zero — meaning the competitive advantage shifts from cost to curation and brand. And Gen Z’s purchasing power will only grow: this cohort, already outspending Millennials on live events at $75 per month</w:t>
      </w:r>
      <w:r>
        <w:t xml:space="preserve"> </w:t>
      </w:r>
      <w:fldSimple w:instr="NOTEREF _Ref_Footnote_36 \h \f">
        <w:r>
          <w:rPr>
            <w:vertAlign w:val="superscript"/>
          </w:rPr>
          <w:t>36</w:t>
        </w:r>
      </w:fldSimple>
      <w:r>
        <w:t xml:space="preserve">, is entering its prime earning years with established preferences for physical, sustainable, identity-signaling products.</w:t>
      </w:r>
    </w:p>
    <w:p>
      <w:pPr>
        <w:pStyle w:val="BodyText"/>
      </w:pPr>
      <w:r>
        <w:t xml:space="preserve">Merch From’s €300,000 seed round is positioned to capture this convergence. The competitive landscape has cleared. The technology is ready. The customers are waiting. The only question is speed of execution.</w:t>
      </w:r>
      <w:r>
        <w:t xml:space="preserve"> </w:t>
      </w:r>
      <w:r>
        <w:t xml:space="preserve">## 7. Conclusion: The Merchandise Imperative</w:t>
      </w:r>
    </w:p>
    <w:bookmarkEnd w:id="109"/>
    <w:bookmarkEnd w:id="110"/>
    <w:bookmarkStart w:id="111" w:name="the-convergence-of-three-crises"/>
    <w:p>
      <w:pPr>
        <w:pStyle w:val="Heading3"/>
      </w:pPr>
      <w:r>
        <w:t xml:space="preserve">7.1 The Convergence of Three Crises</w:t>
      </w:r>
    </w:p>
    <w:p>
      <w:pPr>
        <w:pStyle w:val="FirstParagraph"/>
      </w:pPr>
      <w:r>
        <w:t xml:space="preserve">The evidence assembled across twelve research dimensions and fifty-plus authoritative sources reveals a single, unmistakable pattern: musicians, tattoo artists, and digital creators are experiencing the same structural revenue collapse from three directions simultaneously. The mechanism differs by vertical but the mathematics are identical. For musicians, Spotify’s per-stream rate of $0.003–$0.005 renders streaming economically nonviable for 99% of artists — 88% of tracks receive fewer than 1,000 streams annually, and the platform’s 1,000-stream demonetization threshold stripped revenue from an estimated 86% of its catalog.</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For tattoo artists, market oversaturation has driven client flow down by more than 50% across Europe, with veteran Montreal practitioners describing conditions unseen in over a decade.</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For digital creators, 50% earn below $15,000 annually, platform payouts dropped 33% year-over-year, and only 4–5.7% reach $100,000 in income.</w:t>
      </w:r>
      <w:r>
        <w:t xml:space="preserve"> </w:t>
      </w:r>
      <w:fldSimple w:instr="NOTEREF _Ref_Footnote_112 \h \f">
        <w:r>
          <w:rPr>
            <w:vertAlign w:val="superscript"/>
          </w:rPr>
          <w:t>112</w:t>
        </w:r>
      </w:fldSimple>
      <w:r>
        <w:t xml:space="preserve"> </w:t>
      </w:r>
      <w:fldSimple w:instr="NOTEREF _Ref_Footnote_111 \h \f">
        <w:r>
          <w:rPr>
            <w:vertAlign w:val="superscript"/>
          </w:rPr>
          <w:t>111</w:t>
        </w:r>
      </w:fldSimple>
      <w:r>
        <w:t xml:space="preserve">Beneath these headline figures lies a shared causality. In every vertical, platform-controlled distribution extracts value from creators while raising barriers to audience reach. Meta CPMs surged 20% year-over-year to $14.19.</w:t>
      </w:r>
      <w:r>
        <w:t xml:space="preserve"> </w:t>
      </w:r>
      <w:fldSimple w:instr="NOTEREF _Ref_Footnote_9 \h \f">
        <w:r>
          <w:rPr>
            <w:vertAlign w:val="superscript"/>
          </w:rPr>
          <w:t>9</w:t>
        </w:r>
      </w:fldSimple>
      <w:r>
        <w:t xml:space="preserve">Facebook organic reach collapsed from 16% to 1–2%.</w:t>
      </w:r>
      <w:r>
        <w:t xml:space="preserve"> </w:t>
      </w:r>
      <w:fldSimple w:instr="NOTEREF _Ref_Footnote_16 \h \f">
        <w:r>
          <w:rPr>
            <w:vertAlign w:val="superscript"/>
          </w:rPr>
          <w:t>16</w:t>
        </w:r>
      </w:fldSimple>
      <w:r>
        <w:t xml:space="preserve">India’s TikTok ban erased $14.4 million in annual revenue for its top 100 creators overnight.</w:t>
      </w:r>
      <w:r>
        <w:t xml:space="preserve"> </w:t>
      </w:r>
      <w:fldSimple w:instr="NOTEREF _Ref_Footnote_18 \h \f">
        <w:r>
          <w:rPr>
            <w:vertAlign w:val="superscript"/>
          </w:rPr>
          <w:t>18</w:t>
        </w:r>
      </w:fldSimple>
      <w:r>
        <w:t xml:space="preserve">The</w:t>
      </w:r>
      <w:r>
        <w:t xml:space="preserve"> </w:t>
      </w:r>
      <w:r>
        <w:t xml:space="preserve">“</w:t>
      </w:r>
      <w:r>
        <w:t xml:space="preserve">old model — just post your work — stops working,</w:t>
      </w:r>
      <w:r>
        <w:t xml:space="preserve">”</w:t>
      </w:r>
      <w:r>
        <w:t xml:space="preserve"> </w:t>
      </w:r>
      <w:r>
        <w:t xml:space="preserve">as tattoo artists themselves report.</w:t>
      </w:r>
      <w:r>
        <w:t xml:space="preserve"> </w:t>
      </w:r>
      <w:fldSimple w:instr="NOTEREF _Ref_Footnote_7 \h \f">
        <w:r>
          <w:rPr>
            <w:vertAlign w:val="superscript"/>
          </w:rPr>
          <w:t>7</w:t>
        </w:r>
      </w:fldSimple>
      <w:r>
        <w:t xml:space="preserve">These are not separate crises. They are the same phenomenon wearing different masks.</w:t>
      </w:r>
    </w:p>
    <w:p>
      <w:pPr>
        <w:pStyle w:val="BodyText"/>
      </w:pPr>
      <w:r>
        <w:t xml:space="preserve">This convergence carries a strategic implication that transcends any single vertical: merchandise is the only revenue stream that simultaneously generates profit, builds community, markets the artist, and reduces platform dependency. A single $35 t-shirt produces revenue equivalent to approximately 8,750 Spotify streams.</w:t>
      </w:r>
      <w:r>
        <w:t xml:space="preserve"> </w:t>
      </w:r>
      <w:fldSimple w:instr="NOTEREF _Ref_Footnote_5 \h \f">
        <w:r>
          <w:rPr>
            <w:vertAlign w:val="superscript"/>
          </w:rPr>
          <w:t>5</w:t>
        </w:r>
      </w:fldSimple>
      <w:r>
        <w:t xml:space="preserve"> </w:t>
      </w:r>
      <w:fldSimple w:instr="NOTEREF _Ref_Footnote_137 \h \f">
        <w:r>
          <w:rPr>
            <w:vertAlign w:val="superscript"/>
          </w:rPr>
          <w:t>137</w:t>
        </w:r>
      </w:fldSimple>
      <w:r>
        <w:t xml:space="preserve">But that t-shirt does more than replace streaming income. Research on promotional product effectiveness shows that one branded garment generates over 5,053 brand impressions across its lifetime at $0.006 per impression — roughly 2,365 times cheaper than a Meta CPM.</w:t>
      </w:r>
      <w:r>
        <w:t xml:space="preserve"> </w:t>
      </w:r>
      <w:fldSimple w:instr="NOTEREF _Ref_Footnote_9 \h \f">
        <w:r>
          <w:rPr>
            <w:vertAlign w:val="superscript"/>
          </w:rPr>
          <w:t>9</w:t>
        </w:r>
      </w:fldSimple>
      <w:r>
        <w:t xml:space="preserve"> </w:t>
      </w:r>
      <w:fldSimple w:instr="NOTEREF _Ref_Footnote_30 \h \f">
        <w:r>
          <w:rPr>
            <w:vertAlign w:val="superscript"/>
          </w:rPr>
          <w:t>30</w:t>
        </w:r>
      </w:fldSimple>
      <w:r>
        <w:t xml:space="preserve">Eighty-five percent of consumers remember the advertiser who gave them a promotional product, versus 10–20% for digital advertising.</w:t>
      </w:r>
      <w:r>
        <w:t xml:space="preserve"> </w:t>
      </w:r>
      <w:fldSimple w:instr="NOTEREF _Ref_Footnote_19 \h \f">
        <w:r>
          <w:rPr>
            <w:vertAlign w:val="superscript"/>
          </w:rPr>
          <w:t>19</w:t>
        </w:r>
      </w:fldSimple>
      <w:r>
        <w:t xml:space="preserve">Merchandise does not merely diversify revenue; it converts every customer into a marketing channel that outperforms paid acquisition by orders of magnitude. No other income stream — not touring, not brand partnerships, not digital downloads — delivers this triple return on a single transaction.</w:t>
      </w:r>
    </w:p>
    <w:p>
      <w:pPr>
        <w:pStyle w:val="BodyText"/>
      </w:pPr>
      <w:r>
        <w:t xml:space="preserve">The timing is not coincidental. It is structural. Technology has eliminated the traditional barriers to merchandise creation at precisely the moment when platform-dependent distribution has become untenable. Procreate commands 80% market share in iPad digital art with 40 million downloads, and</w:t>
      </w:r>
      <w:r>
        <w:t xml:space="preserve"> </w:t>
      </w:r>
      <w:r>
        <w:t xml:space="preserve">“</w:t>
      </w:r>
      <w:r>
        <w:t xml:space="preserve">the vast majority of tattoo artists</w:t>
      </w:r>
      <w:r>
        <w:t xml:space="preserve">”</w:t>
      </w:r>
      <w:r>
        <w:t xml:space="preserve"> </w:t>
      </w:r>
      <w:r>
        <w:t xml:space="preserve">now design using iPad and Procreate — the same tools used by musicians for album art and creators for branded content.</w:t>
      </w:r>
      <w:r>
        <w:t xml:space="preserve"> </w:t>
      </w:r>
      <w:fldSimple w:instr="NOTEREF _Ref_Footnote_11 \h \f">
        <w:r>
          <w:rPr>
            <w:vertAlign w:val="superscript"/>
          </w:rPr>
          <w:t>11</w:t>
        </w:r>
      </w:fldSimple>
      <w:r>
        <w:t xml:space="preserve"> </w:t>
      </w:r>
      <w:fldSimple w:instr="NOTEREF _Ref_Footnote_92 \h \f">
        <w:r>
          <w:rPr>
            <w:vertAlign w:val="superscript"/>
          </w:rPr>
          <w:t>92</w:t>
        </w:r>
      </w:fldSimple>
      <w:r>
        <w:t xml:space="preserve"> </w:t>
      </w:r>
      <w:fldSimple w:instr="NOTEREF _Ref_Footnote_91 \h \f">
        <w:r>
          <w:rPr>
            <w:vertAlign w:val="superscript"/>
          </w:rPr>
          <w:t>91</w:t>
        </w:r>
      </w:fldSimple>
      <w:r>
        <w:t xml:space="preserve">AI design tool adoption surged from 12% to 68% in tattoo studios within two years, while 65% of creative organizations now use generative AI regularly for design workflows.</w:t>
      </w:r>
      <w:r>
        <w:t xml:space="preserve"> </w:t>
      </w:r>
      <w:fldSimple w:instr="NOTEREF _Ref_Footnote_101 \h \f">
        <w:r>
          <w:rPr>
            <w:vertAlign w:val="superscript"/>
          </w:rPr>
          <w:t>101</w:t>
        </w:r>
      </w:fldSimple>
      <w:r>
        <w:t xml:space="preserve"> </w:t>
      </w:r>
      <w:fldSimple w:instr="NOTEREF _Ref_Footnote_26 \h \f">
        <w:r>
          <w:rPr>
            <w:vertAlign w:val="superscript"/>
          </w:rPr>
          <w:t>26</w:t>
        </w:r>
      </w:fldSimple>
      <w:r>
        <w:t xml:space="preserve">The Printful-Printify merger created the largest European print-on-demand provider, and hybrid POD-to-bulk models now deliver 60–75% D2C margins — compared to 15–30% through marketplace channels.</w:t>
      </w:r>
      <w:r>
        <w:t xml:space="preserve"> </w:t>
      </w:r>
      <w:fldSimple w:instr="NOTEREF _Ref_Footnote_25 \h \f">
        <w:r>
          <w:rPr>
            <w:vertAlign w:val="superscript"/>
          </w:rPr>
          <w:t>25</w:t>
        </w:r>
      </w:fldSimple>
      <w:r>
        <w:t xml:space="preserve"> </w:t>
      </w:r>
      <w:fldSimple w:instr="NOTEREF _Ref_Footnote_20 \h \f">
        <w:r>
          <w:rPr>
            <w:vertAlign w:val="superscript"/>
          </w:rPr>
          <w:t>20</w:t>
        </w:r>
      </w:fldSimple>
      <w:r>
        <w:t xml:space="preserve">Simultaneously, the incumbent artist merchandise platforms have collapsed: Redbubble lost 96% of its share value, Spring (formerly Teespring) cratered from a $650 million valuation to an $11 million fire sale, and Society6 stagnated until a complete Shopify replatforming.</w:t>
      </w:r>
      <w:r>
        <w:t xml:space="preserve"> </w:t>
      </w:r>
      <w:fldSimple w:instr="NOTEREF _Ref_Footnote_27 \h \f">
        <w:r>
          <w:rPr>
            <w:vertAlign w:val="superscript"/>
          </w:rPr>
          <w:t>27</w:t>
        </w:r>
      </w:fldSimple>
      <w:r>
        <w:t xml:space="preserve"> </w:t>
      </w:r>
      <w:fldSimple w:instr="NOTEREF _Ref_Footnote_28 \h \f">
        <w:r>
          <w:rPr>
            <w:vertAlign w:val="superscript"/>
          </w:rPr>
          <w:t>28</w:t>
        </w:r>
      </w:fldSimple>
      <w:r>
        <w:t xml:space="preserve">The competitive landscape has not merely opened — it has been evacuated.</w:t>
      </w:r>
    </w:p>
    <w:bookmarkEnd w:id="111"/>
    <w:bookmarkStart w:id="112" w:name="the-data-driven-case-for-merch-from"/>
    <w:p>
      <w:pPr>
        <w:pStyle w:val="Heading3"/>
      </w:pPr>
      <w:r>
        <w:t xml:space="preserve">7.2 The Data-Driven Case for Merch From</w:t>
      </w:r>
    </w:p>
    <w:p>
      <w:pPr>
        <w:pStyle w:val="FirstParagraph"/>
      </w:pPr>
      <w:r>
        <w:t xml:space="preserve">Against this backdrop, the market opportunity for Merch From is not a niche. It is a structural arbitrage. The combined total addressable market spans $6.8 billion in music merchandise,</w:t>
      </w:r>
      <w:r>
        <w:t xml:space="preserve"> </w:t>
      </w:r>
      <w:fldSimple w:instr="NOTEREF _Ref_Footnote_9 \h \f">
        <w:r>
          <w:rPr>
            <w:vertAlign w:val="superscript"/>
          </w:rPr>
          <w:t>9</w:t>
        </w:r>
      </w:fldSimple>
      <w:r>
        <w:t xml:space="preserve">the tattoo artist merchandise segment (including aftercare at $214 million and growing at 10% CAGR),</w:t>
      </w:r>
      <w:r>
        <w:t xml:space="preserve"> </w:t>
      </w:r>
      <w:fldSimple w:instr="NOTEREF _Ref_Footnote_87 \h \f">
        <w:r>
          <w:rPr>
            <w:vertAlign w:val="superscript"/>
          </w:rPr>
          <w:t>87</w:t>
        </w:r>
      </w:fldSimple>
      <w:r>
        <w:t xml:space="preserve">and merchandise’s 11.3% share of the $252 billion creator economy — a figure that alone implies $28.5 billion in annual creator merchandise transactions.</w:t>
      </w:r>
      <w:r>
        <w:t xml:space="preserve"> </w:t>
      </w:r>
      <w:fldSimple w:instr="NOTEREF _Ref_Footnote_107 \h \f">
        <w:r>
          <w:rPr>
            <w:vertAlign w:val="superscript"/>
          </w:rPr>
          <w:t>107</w:t>
        </w:r>
      </w:fldSimple>
      <w:r>
        <w:t xml:space="preserve"> </w:t>
      </w:r>
      <w:fldSimple w:instr="NOTEREF _Ref_Footnote_13 \h \f">
        <w:r>
          <w:rPr>
            <w:vertAlign w:val="superscript"/>
          </w:rPr>
          <w:t>13</w:t>
        </w:r>
      </w:fldSimple>
      <w:r>
        <w:t xml:space="preserve"> </w:t>
      </w:r>
      <w:fldSimple w:instr="NOTEREF _Ref_Footnote_40 \h \f">
        <w:r>
          <w:rPr>
            <w:vertAlign w:val="superscript"/>
          </w:rPr>
          <w:t>40</w:t>
        </w:r>
      </w:fldSimple>
      <w:r>
        <w:t xml:space="preserve">Even conservative segmentation yields a serviceable opportunity measured in billions, not millions.</w:t>
      </w:r>
    </w:p>
    <w:p>
      <w:pPr>
        <w:pStyle w:val="BodyText"/>
      </w:pPr>
      <w:r>
        <w:t xml:space="preserve">The deeper opportunity, however, is not market size alone — it is margin recovery. D2C creator-owned storefronts deliver 60–75% gross margins versus 15–30% for marketplace and venue retail channels.</w:t>
      </w:r>
      <w:r>
        <w:t xml:space="preserve"> </w:t>
      </w:r>
      <w:fldSimple w:instr="NOTEREF _Ref_Footnote_20 \h \f">
        <w:r>
          <w:rPr>
            <w:vertAlign w:val="superscript"/>
          </w:rPr>
          <w:t>20</w:t>
        </w:r>
      </w:fldSimple>
      <w:r>
        <w:t xml:space="preserve">For a $30 retail t-shirt, print-on-demand yields approximately $3 in profit while bulk manufacturing captures $15 — a 5x differential.</w:t>
      </w:r>
      <w:r>
        <w:t xml:space="preserve"> </w:t>
      </w:r>
      <w:fldSimple w:instr="NOTEREF _Ref_Footnote_138 \h \f">
        <w:r>
          <w:rPr>
            <w:vertAlign w:val="superscript"/>
          </w:rPr>
          <w:t>138</w:t>
        </w:r>
      </w:fldSimple>
      <w:r>
        <w:t xml:space="preserve">The global artist merchandising market at $6.8 billion means that shifting even 20% of current sales from extractive marketplace channels to artist-direct models would release more than $400 million in additional artist income annually. That is the arbitrage Merch From is positioned to capture.</w:t>
      </w:r>
    </w:p>
    <w:p>
      <w:pPr>
        <w:pStyle w:val="BodyText"/>
      </w:pPr>
      <w:r>
        <w:t xml:space="preserve">Merch From differentiates from the failed incumbents along four axes that address exactly what collapsed the previous generation of platforms. First, AI-assisted design — leveraging Mistral Large 3 and FLUX 2 image generation — reduces merchandise creation time by an estimated 60%, eliminating the design skill barrier that historically prevented smaller artists from entering the market.</w:t>
      </w:r>
      <w:r>
        <w:t xml:space="preserve"> </w:t>
      </w:r>
      <w:fldSimple w:instr="NOTEREF _Ref_Footnote_26 \h \f">
        <w:r>
          <w:rPr>
            <w:vertAlign w:val="superscript"/>
          </w:rPr>
          <w:t>26</w:t>
        </w:r>
      </w:fldSimple>
      <w:r>
        <w:t xml:space="preserve">Second, premium quality sourcing distinguishes the platform from the</w:t>
      </w:r>
      <w:r>
        <w:t xml:space="preserve"> </w:t>
      </w:r>
      <w:r>
        <w:t xml:space="preserve">“</w:t>
      </w:r>
      <w:r>
        <w:t xml:space="preserve">race to the bottom</w:t>
      </w:r>
      <w:r>
        <w:t xml:space="preserve">”</w:t>
      </w:r>
      <w:r>
        <w:t xml:space="preserve"> </w:t>
      </w:r>
      <w:r>
        <w:t xml:space="preserve">economics that destroyed Redbubble and Spring, where low product quality eroded both artist trust and customer retention. Third, a D2C-first architecture ensures artists retain 60–75% margins rather than surrendering 50–60% to venue cuts or platform fees. Fourth, community integration — connecting merchandise to the owned channels where conversion rates run 3–5x higher than social media — transforms merch from a passive product catalog into an active fan engagement engine.</w:t>
      </w:r>
      <w:r>
        <w:t xml:space="preserve"> </w:t>
      </w:r>
      <w:fldSimple w:instr="NOTEREF _Ref_Footnote_31 \h \f">
        <w:r>
          <w:rPr>
            <w:vertAlign w:val="superscript"/>
          </w:rPr>
          <w:t>31</w:t>
        </w:r>
      </w:fldSimple>
      <w:r>
        <w:t xml:space="preserve">The customer generation has never been more primed for this offering. Gen Z averages over seven hours of daily screen time, with 83% acknowledging an unhealthy phone relationship — yet this same generation leads all others in live event spending at $75 per month, and 59% of 18–24-year-olds listen to physical music weekly.</w:t>
      </w:r>
      <w:r>
        <w:t xml:space="preserve"> </w:t>
      </w:r>
      <w:fldSimple w:instr="NOTEREF _Ref_Footnote_32 \h \f">
        <w:r>
          <w:rPr>
            <w:vertAlign w:val="superscript"/>
          </w:rPr>
          <w:t>32</w:t>
        </w:r>
      </w:fldSimple>
      <w:r>
        <w:t xml:space="preserve"> </w:t>
      </w:r>
      <w:fldSimple w:instr="NOTEREF _Ref_Footnote_36 \h \f">
        <w:r>
          <w:rPr>
            <w:vertAlign w:val="superscript"/>
          </w:rPr>
          <w:t>36</w:t>
        </w:r>
      </w:fldSimple>
      <w:r>
        <w:t xml:space="preserve"> </w:t>
      </w:r>
      <w:fldSimple w:instr="NOTEREF _Ref_Footnote_34 \h \f">
        <w:r>
          <w:rPr>
            <w:vertAlign w:val="superscript"/>
          </w:rPr>
          <w:t>34</w:t>
        </w:r>
      </w:fldSimple>
      <w:r>
        <w:t xml:space="preserve">Half of US vinyl buyers do not own a record player; they purchase physical goods as</w:t>
      </w:r>
      <w:r>
        <w:t xml:space="preserve"> </w:t>
      </w:r>
      <w:r>
        <w:t xml:space="preserve">“</w:t>
      </w:r>
      <w:r>
        <w:t xml:space="preserve">tangible tokens of fandom and identity.</w:t>
      </w:r>
      <w:r>
        <w:t xml:space="preserve">”</w:t>
      </w:r>
      <w:r>
        <w:t xml:space="preserve"> </w:t>
      </w:r>
      <w:fldSimple w:instr="NOTEREF _Ref_Footnote_35 \h \f">
        <w:r>
          <w:rPr>
            <w:vertAlign w:val="superscript"/>
          </w:rPr>
          <w:t>35</w:t>
        </w:r>
      </w:fldSimple>
      <w:r>
        <w:t xml:space="preserve">Seventy-three percent of Gen Z will pay more for sustainable products.</w:t>
      </w:r>
      <w:r>
        <w:t xml:space="preserve"> </w:t>
      </w:r>
      <w:fldSimple w:instr="NOTEREF _Ref_Footnote_37 \h \f">
        <w:r>
          <w:rPr>
            <w:vertAlign w:val="superscript"/>
          </w:rPr>
          <w:t>37</w:t>
        </w:r>
      </w:fldSimple>
      <w:r>
        <w:t xml:space="preserve">Sixty-two percent of Gen Z shop in-store at twice the rate of the general population, and 62% buy vinyl specifically to support artists they love.</w:t>
      </w:r>
      <w:r>
        <w:t xml:space="preserve"> </w:t>
      </w:r>
      <w:r>
        <w:rPr>
          <w:vertAlign w:val="superscript"/>
        </w:rPr>
        <w:footnoteReference w:id="181"/>
      </w:r>
      <w:r>
        <w:t xml:space="preserve">They are simultaneously the most digitally saturated and the most physically hungry generation in history — and they are the exact demographic that buys artist merchandise across all three verticals, motivated equally by identity expression and direct artist support.</w:t>
      </w:r>
    </w:p>
    <w:bookmarkEnd w:id="112"/>
    <w:bookmarkStart w:id="113" w:name="call-to-action"/>
    <w:p>
      <w:pPr>
        <w:pStyle w:val="Heading3"/>
      </w:pPr>
      <w:r>
        <w:t xml:space="preserve">7.3 Call to Action</w:t>
      </w:r>
    </w:p>
    <w:p>
      <w:pPr>
        <w:pStyle w:val="FirstParagraph"/>
      </w:pPr>
      <w:r>
        <w:t xml:space="preserve">For investors, the calculus is direct. A €300,000 seed investment for 16–18% equity positions the fund at the entry point of a market with a $400 million-plus annual arbitrage opportunity, operating in a competitive landscape where the three largest incumbents have simultaneously collapsed or stagnated. The technology stack — Next.js 16, Neon PostgreSQL, Clerk authentication, Stripe payments, and the AI pipeline of Mistral and FLUX 2 — is production-ready for a March 30 MVP launch. The Printful-Printify merger and broader POD consolidation provide reliable fulfillment infrastructure without capital-intensive inventory. No warehouse, no screen-printing equipment, no supply chain risk — the platform operates as a lean technology layer that captures margin without carrying production assets. The timing window is finite: as the market vacuum persists, artists are building DIY solutions, new entrants will emerge, and the first platform to capture the</w:t>
      </w:r>
      <w:r>
        <w:t xml:space="preserve"> </w:t>
      </w:r>
      <w:r>
        <w:t xml:space="preserve">“</w:t>
      </w:r>
      <w:r>
        <w:t xml:space="preserve">middle class</w:t>
      </w:r>
      <w:r>
        <w:t xml:space="preserve">”</w:t>
      </w:r>
      <w:r>
        <w:t xml:space="preserve"> </w:t>
      </w:r>
      <w:r>
        <w:t xml:space="preserve">of 45.6% of creators earning $10,000–$100,000 annually — each one just one revenue stream away from sustainability — will establish durable network effects.</w:t>
      </w:r>
      <w:r>
        <w:t xml:space="preserve"> </w:t>
      </w:r>
      <w:fldSimple w:instr="NOTEREF _Ref_Footnote_38 \h \f">
        <w:r>
          <w:rPr>
            <w:vertAlign w:val="superscript"/>
          </w:rPr>
          <w:t>38</w:t>
        </w:r>
      </w:fldSimple>
      <w:r>
        <w:t xml:space="preserve">The Fyul merger precedent suggests 18–24 months of reduced innovation velocity among surviving incumbents — an extended window for a well-capitalized entrant to seize share before the competitive landscape restabilizes.</w:t>
      </w:r>
    </w:p>
    <w:p>
      <w:pPr>
        <w:pStyle w:val="BodyText"/>
      </w:pPr>
      <w:r>
        <w:t xml:space="preserve">For artists, the message is simpler and more urgent. Merchandise is no longer optional. It is the foundation of sustainable creative income in an era where every platform-dependent revenue stream is simultaneously under pressure. The math is unforgiving: 61% of Spotify artists earn less in a year of royalties than the average performer makes in gross merchandise sales at a single show.</w:t>
      </w:r>
      <w:r>
        <w:t xml:space="preserve"> </w:t>
      </w:r>
      <w:fldSimple w:instr="NOTEREF _Ref_Footnote_5 \h \f">
        <w:r>
          <w:rPr>
            <w:vertAlign w:val="superscript"/>
          </w:rPr>
          <w:t>5</w:t>
        </w:r>
      </w:fldSimple>
      <w:r>
        <w:t xml:space="preserve">Creators with three or more revenue streams earn $75,000 more annually than single-source creators.</w:t>
      </w:r>
      <w:r>
        <w:t xml:space="preserve"> </w:t>
      </w:r>
      <w:fldSimple w:instr="NOTEREF _Ref_Footnote_13 \h \f">
        <w:r>
          <w:rPr>
            <w:vertAlign w:val="superscript"/>
          </w:rPr>
          <w:t>13</w:t>
        </w:r>
      </w:fldSimple>
      <w:r>
        <w:t xml:space="preserve">A musician with 100 superfans spending $35 annually on merchandise generates $3,500 in incremental revenue — enough to bridge the gap between hobby and profession. A tattoo artist selling aftercare products at 70–90% margins to an existing client base needs only modest attach rates to transform studio economics.</w:t>
      </w:r>
      <w:r>
        <w:t xml:space="preserve"> </w:t>
      </w:r>
      <w:fldSimple w:instr="NOTEREF _Ref_Footnote_30 \h \f">
        <w:r>
          <w:rPr>
            <w:vertAlign w:val="superscript"/>
          </w:rPr>
          <w:t>30</w:t>
        </w:r>
      </w:fldSimple>
      <w:r>
        <w:t xml:space="preserve">These are not projections. They are arithmetic.</w:t>
      </w:r>
    </w:p>
    <w:p>
      <w:pPr>
        <w:pStyle w:val="BodyText"/>
      </w:pPr>
      <w:r>
        <w:t xml:space="preserve">The convergence is clear. Three artist verticals. One shared crisis. One shared solution. One platform built to capture it. Merch From does not ask artists to become merchants — it provides the infrastructure that lets them remain artists while the merchandise sells itself, markets their work, and deepens the communities that sustain them. In a creative economy where platforms extract value, algorithms suppress reach, and the middle class of artists faces extinction, merchandise is not a product line. It is the escape hatch — and it is open now.</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wrightymedia.com. https://www.wrightymedia.com/blogs/music-superfandom-a-double-edged-sword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Dataintelo. https://dataintelo.com/report/music-artist-services-market</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marketreportanalytics.com. https://www.marketreportanalytics.com/reports/ai-tattoo-generator-73674</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GlossGenius. https://glossgenius.com/blog/how-much-does-a-tattoo-apprenticeship-cost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evolvancemarketresearch.com. https://evolvancemarketresearch.com/reports/creator-economy-market/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Market Research Blog. https://blog.marketresearch.com/tattoo-parlors-tattoo-removal-is-now-a-booming-4.5-billion-industry</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The Black Hat Tattoo. https://www.theblackhattattoo.com/blog/tattoo-market-shift-structure-vs-volume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CBC. https://www.cbc.ca/news/canada/montreal/tattoo-market-oversaturated-1.7587782</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musictechlab.io. https://www.musictechlab.io/blog/case-studies/why-merch-is-the-new-royalty-check</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Gupta Media. https://www.guptamedia.com/social-media-ads-cost</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gitnux.org. https://gitnux.org/digital-art-industry-statistics/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Triple Whale. https://www.triplewhale.com/blog/google-ads-benchmarks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ShortsIntel. https://www.shortsintel.com/statistics/creator-economy</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The Harman Media &amp; Marketing Group. https://thm2g.com/email-marketing-vs-social-media-roi-comparison/</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Market.us. https://market.us/report/north-america-creator-economy-market/</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Mordor Intelligence. https://www.mordorintelligence.com/industry-reports/independent-artists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electroiq.com. https://electroiq.com/stats/creator-economy-statistics/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Precedence Research. https://www.precedenceresearch.com/creator-economy-market</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digitalapplied.com. https://www.digitalapplied.com/blog/social-media-marketing-costs-2026-pricing-guide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Hena Sakura. https://www.henasakura.com/blogs/all/the-economics-of-print-on-demand-profit-margins-and-pricing-models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Dataintelo. https://dataintelo.com/report/global-tattoo-studio-software-market</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youtube.com. https://www.youtube.com/watch?v=WggTK9FFez4</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GlobeNewswire. https://www.globenewswire.com/news-release/2026/02/13/3237825/0/en/print-on-demand-market-to-surpass-usd-54-73-billion-by-2032-driven-by-rising-demand-for-personalized-products-sns-insider.html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Grand View Research. https://www.grandviewresearch.com/industry-analysis/print-on-demand-market-report</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beyond-print.net. https://www.beyond-print.net/printful-printify-fyul-a-merger-that-is-shaking-up-the-print-on-demand-market/</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Printify. https://printify.com/blog/future-of-print-on-demand/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The New School Free Press. https://www.newschoolfreepress.com/2025/12/08/spotify-isnt-your-friend-how-the-platform-takes-your-money-while-artists-pay-the-price/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Business Insider. https://www.businessinsider.com/merch-startup-spring-teespring-is-struggling-with-its-rebrand-2022-8</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Shopify. https://www.shopify.com/case-studies/society6</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revisionsmusic.com. https://www.revisionsmusic.com/spotify-2025-payouts-how-much-per-stream-find-out/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badenstock.com. https://artists.badenstock.com/how-big-is-the-music-industry-in-2025/</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LiveNOW from FOX. https://www.livenowfox.com/news/gen-z-phone-addiction-bepresent-2024</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squarespace.com. https://static1.squarespace.com/static/5b1bb66e25bf023fcbe92110/t/67599f935c38075ab2a9b063/1733926806472/Preview+dcdx+4th+Annual+Gen+Z+Screen+Time+Report+2024.pdf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DJ Mag. https://djmag.com/news/gen-z-listen-more-vinyl-cds-and-cassettes-any-other-age-group-survey-shows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medium.com. https://lightcapai.medium.com/the-great-return-from-digital-abundance-to-analog-meaning-cfda9e428752</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Cognitive Market Research. https://www.cognitivemarketresearch.com/tattoo-market-report</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plasticdetox.com. https://www.plasticdetox.com/post/73-of-gen-z-are-willing-to-pay-more-for-sustainable-products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The Influencer Marketing Factory. https://theinfluencermarketingfactory.com/creator-economy/</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Research and Markets. https://www.researchandmarkets.com/reports/6172233/tattoo-market-growth-analysis-forecast-trends?srsltid=AfmBOoo0E5LH060uAvpfYOAuzeXe_uV2zSREb2JGcXVDyFc2G5gPzI22</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Dataintelo. https://dataintelo.com/report/creator-economy-market</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IFPI. https://www.ifpi.org/ifpi-amidst-highly-competitive-market-global-recorded-music-revenues-grew-4-8-in-2024/</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Business Research Insights. https://www.businessresearchinsights.com/market-reports/tattoo-market-117613</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marketsandata.com. https://www.marketsandata.com/industry-reports/tattoo-accessories-market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getporter.io. https://www.getporter.io/blog/pos-system-for-tattoo-shops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music3point0.com. https://music3point0.com/2026/01/21/what-luminates-2025-year-end-report-reveals-about-modern-fan-engagement/</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Medium. https://medium.com/@ezioauditorette/emotional-equity-how-k-pop-fan-communities-became-recurring-revenue-engines-e7ee9aba2258</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atVenu. https://www.atvenu.com/post/how-much-money-artists-make-in-streaming-vs-merchandise-sales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Rashida Tlaib. https://tlaib.house.gov/posts/tlaib-introduces-living-wage-for-musicians-act-2</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wrightymedia.com. https://www.wrightymedia.com/toolkit-page/income-streams-from-distribution</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chinatattooconvention.com. https://www.chinatattooconvention.com/artist-registration/</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marketreportanalytics.com. https://www.marketreportanalytics.com/reports/ai-tattoo-generator-73668</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Research and Markets. https://www.researchandmarkets.com/reports/6227778/ai-tattoo-generator-market?srsltid=AfmBOorDe79RBEYTPbpnxZV-bIED8sD6Kuu-J1P7h9vSwCGrrEvEAQ8N</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certifiedtattooacademy.com. https://www.certifiedtattooacademy.com/blog/should-you-pay-for-tattoo-apprenticeship</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dittomusic.com. https://press.dittomusic.com/independent-artists-make-more-from-streaming-than-merch-touring-and-publishing</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Coherent Market Insights. https://www.coherentmarketinsights.com/market-insight/tattoo-accessories-market-4592</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Forbes. https://www.forbes.com/sites/sofiachierchio/2026/01/28/spotify-claims-it-paid-out-more-than-11-billion-to-the-music-industry-in-2025/</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storyboard18.com. https://www.storyboard18.com/brand-marketing/spotify-payouts-cross-11-billion-as-independent-artists-take-larger-share-88427.htm</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SoundGuys. https://www.soundguys.com/spotify-artist-pay-134199/</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TSE Entertainment. https://tseentertainment.com/festival-concert-production-merchandising-strategies-to-maximize-revenue-and-brand-impact/</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ifpi.org. https://gmr.ifpi.org/downloads/IFPI_Global_Music_Report_2025_Contents.pdf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Music Ally. https://musically.com/2025/08/19/living-wage-for-musicians-act-to-be-reintroduced-in-us-congress/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RouteNote. https://routenote.com/blog/global-music-revenues-growth-2025-midia-research/</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Whop. https://whop.com/blog/deans-tattoos/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JRC Big Data Analytics Platform. https://jeodpp.jrc.ec.europa.eu/ftp/jrc-opendata/Cons-Prod/Tatoos&amp;PMU/Tattoo_national_statistics_data.pdf</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inkdesk.app. https://inkdesk.app/blog/avoiding-no-shows-best-practices-for-tattoo-artists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WIPO - World Intellectual Property Organization. https://www.wipo.int/en/web/wipo-magazine/articles/music-merchandise-the-new-key-to-branding-for-musicians-74266</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custommarketinsights.com. https://www.custommarketinsights.com/report/tattoo-market/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Fortune Business Insights. https://www.fortunebusinessinsights.com/tattoo-market-104434</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Cognitive Market Research. https://www.cognitivemarketresearch.com/regional-analysis/north-america-tattoo-market-report</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gitnux.org. https://gitnux.org/tattoo-industry-statistics/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Cognitive Market Research. https://www.cognitivemarketresearch.com/regional-analysis/europe-tattoo-market-report</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IBISWorld. https://www.ibisworld.com/united-states/industry/tattoo-artists/4404/</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MassLive. https://www.masslive.com/westernmass/2025/02/outlook-2025-are-tattoo-artists-feeling-the-sting-of-post-pandemic-belt-tightening.html</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Research and Markets. https://www.researchandmarkets.com/reports/6172233/tattoo-market-growth-analysis-forecast-trends?srsltid=AfmBOoo__81ATbE--LksG674Ri48CaMaXnksylyVDxi9PYA3fxkZG02o</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Porter's Five Forces. https://portersfiveforce.com/blogs/how-it-works/universalmusic</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Bookedin. https://bookedin.com/blog/tattoo-industry-statistics/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The Blog That Cuts Deeper. https://xactbodyart.com/our-blog/slow-season-for-tattoo-shops-crisis-why-the-tattoo-industry-recession-is-hitting-artists-hard-in-2025</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NEDS.MARKETING - WE TAKE YOUR ART AND MAKE IT PROFITABLE. https://neds.marketing/blog/ai-tools-for-tattoo-artists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Tattooing 101. https://tattooing101.com/learn/business/what-should-you-charge-as-a-tattoo-artist/</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Best tattoo shop in Los Angeles - Art Collector Tattoo Studio. https://artcollectortattoo.com/how-much-should-tattoos-cost-by-size/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Bookedin. https://bookedin.com/blog/tattoo-booth-rental-vs-commission/</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tattoostudiopro.com. https://tattoostudiopro.com/mastering-tattoo-shop-finances-budgeting-pricing-profitability/</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bronctattoo.com. https://www.bronctattoo.com/blogs/news/cost-of-opening-a-tattoo-shop?srsltid=AfmBOor3x2Q9lWk3BsTbsUY4Kgk-N-7EicLiYcwzHqKwuC0VE8ZDKq1s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Financial Models Lab. https://financialmodelslab.com/blogs/operating-costs/tattoo-shop?srsltid=AfmBOopPiS_f4Aymocd3BC5rrzdKVPvq8rIPTvalHvmtvciHhuHNIZjg</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Financial Models Lab. https://financialmodelslab.com/blogs/startup-costs/tattoo-shop?srsltid=AfmBOorgxm-3NimjdsoAyiTPvhsijVoU74zh5_dVCw9hLtVDeP1U1GW8</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mickyweis.com. https://www.mickyweis.com/en/marketing-tattoo-artist/</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Forbes. https://www.forbes.com/sites/jasondavis/2026/04/01/the-great-convergence-why-the-creator-economys-future-belongs-to-those-who-unite-social-brand-and-talent/</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venue.ink. https://www.venue.ink/blog/tattoo-convention-roi</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portlandtattooexpo.com. https://www.portlandtattooexpo.com/registration</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Fast Company. https://www.fastcompany.com/3059284/whos-using-the-ipad-pro-at-work-tattoo-artists/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tattoosmart.com. https://tattoosmart.com/blogs/news/start-your-tattoo-smart-journey-here?srsltid=AfmBOor26Hy58KXFDWj9SpEb8GGJZlcZ2sGF97bFGnIO4q7-CTwEG1mm</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Colorlib. https://colorlib.com/wp/graphic-design-statistics/</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painfulpleasures.com. https://www.painfulpleasures.com/blogs/community/tattoo-design-with-procreate-step-by-step?srsltid=AfmBOooolmgXkGqtKhJlJWri0RVOGbQ95EAyKz-UEWFhQajUsH_zCpen</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tattoosmart.com. https://tattoosmart.com/blogs/news/why-every-tattoo-artist-is-using-procreate?srsltid=AfmBOopqDUkEOTTqcB60FvVLAx4hgqhMcT7qW1utyoExEMES-r3shk0e</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reddit.com. https://www.reddit.com/r/TattooArtists/comments/1grawoc/how_long_does_it_take_you_to_design_a_tattoo_and/</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Tiny Parrot. https://tiny-parrot.com/blog/top-6-time-saving-tools-for-tattoo-artists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tattoostudiopro.com. https://tattoostudiopro.com/tattoo-technology-digital-tool/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ctfassets.net. https://assets.ctfassets.net/e66ejtqbaazg/7HObJrt5UDQfjjfKYN454B/201bf057190c5ed4ee185b04a34ec095/UMG_2025_Annual_Report.pdf</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NPR. https://www.npr.org/2024/08/19/nx-s1-5072210/tattoo-brooklyn-studio-stick-and-poke-hand-poke</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Kingpin Tattoo Supply. https://www.kingpintattoosupply.com/blogs/news/how-to-build-a-client-base-as-a-tattoo-artist?srsltid=AfmBOoq6xJuYTwf3Mh1mP7m3BKeQogBn9HqLTk58nRB27qnDFCqeqojZ</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AIonX. https://aionx.co/creative/best-ai-tattoo-artists/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Medium. https://medium.com/@EricVerdeyen/how-ai-is-transforming-creative-industries-in-2024-adoption-trends-and-impact-46ff2fd4ef43</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sheets.market. https://sheets.market/tattoo-parlor-business-costs-revenue-profitability/</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Medium. https://medium.com/@ilianalanuza/the-case-for-tattoos-let-the-numbers-talk-cb85de959fcb</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inkppl.com. https://inkppl.com/en/magazine/ink-people/how-technology-can-help-emerging-artists-break-into-the-mainstream</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th-ink.co.uk. https://www.th-ink.co.uk/2024/07/16/social-media-and-the-tattooing-industry/</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orangeseo.net. https://www.orangeseo.net/blog/2025/10/9/why-google-ads-costperclick-is-rising-in-2025-and-what-you-can-do-about-it</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GrowthFizz. https://growthfizz.com/research/where-should-your-ad-budget-go-</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Repeat Digital. https://repeatdigital.com/resource-hub/why-are-google-ads-more-expensive-in-2025-and-what-to-do-next/</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scientissimum.com. https://scientissimum.com/healthcare-blog/average-cost-of-digital-marketing-ads-2025</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sqmagazine.co.uk. https://sqmagazine.co.uk/creator-economy-statistics/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Sequenzy. https://www.sequenzy.com/blog/email-marketing-vs-social-media</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swagopoly.com. https://www.swagopoly.com/post/promotional-products-brand-recall-awareness</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chartlex.com. https://www.chartlex.com/blog/marketing/discord-music-community-building-2026?srsltid=AfmBOopqCf2Nx-dEQLxbhFEUXUc_Ny7R8OEpKUDqI5-qBx_tySOeIgbk</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yahoo.com. https://finance.yahoo.com/news/metas-ai-push-drives-advertising-144200128.html</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mdmppc.com. https://mdmppc.com/google-ads-benchmarks/2024-vs-2025/</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House of Marketers. https://houseofmarketers.com/micro-vs-macro-influencers-roi/</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atVenu. https://www.atvenu.com/post/mid-year-venue-merchandise-insights-how-fan-spending-is-evolving</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Purple Moon Promotional Products. https://www.purplemoonpromo.co.uk/blogs/how-much-do-we-spend-on-music-merchandise/</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rule1. https://rule1.ai/articles/facebook-ads-benchmarks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atmeta.com. https://investor.atmeta.com/investor-news/press-release-details/2026/Meta-Reports-Fourth-Quarter-and-Full-Year-2025-Results/default.aspx</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almcorp.com. https://almcorp.com/blog/tiktok-brand-growth-instagram-organic-reach-decline-2025/</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momentum.asia. https://thelowdown.momentum.asia/new-report-tiktok-shop-u-s-gmv-grew-68-to-reach-us15-1b-in-2025/</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SlideShare. https://www.slideshare.net/slideshow/tattoo-market-share-size-growth-report-2025-2034/279924136</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Triple Whale. https://www.triplewhale.com/blog/tiktok-benchmarks</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inbeat.agency. https://inbeat.agency/blog/creator-economy-statistics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Research and Markets. https://www.researchandmarkets.com/reports/6172233/tattoo-market-growth-analysis-forecast-trends?srsltid=AfmBOoopzYeYCrjMxarVQqOl5utePVRfgI-yjLwbsh-zKfus0QGJ3-pI</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techbuzz.ai. https://www.techbuzz.ai/articles/youtubers-ditch-ad-revenue-for-250m-product-empires</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Attentive. https://www.attentive.com/blog/loyalty-retention-report-2026</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Printful. https://www.printful.com/blog/bestselling-print-on-demand-products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andrmusic.co. https://andrmusic.co/behind-the-music/psychology-streaming-to-buying/</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Femfounded.org. https://femfounded.org/case-studies/feastables/</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Arthnova. https://arthnova.com/logan-paul-ksi-prime-hydration-combat-sports/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Arthnova. https://arthnova.com/emma-chamberlain-coffee-33-million-brand/</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merchone.com. https://merchone.com/blog/youtuber-merch-store/</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influee.co. https://influee.co/blog/influencer-marketing-for-small-business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hopp.co. https://www.hopp.co/post/creator-economy-statistics</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Superior Ink. https://www.superiorinkprinting.com/blog/print-on-demand-vs-bulk-apparel-manufacturing-what-growing-brands-should-choose</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amzprep.com. https://amzprep.com/amazon-merch-on-demand/</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Research and Markets. https://www.researchandmarkets.com/reports/6170479/creator-economy-global-market-insights?srsltid=AfmBOorD-gLHuoueHuNaTPv-7YGCHNA9os3dPHAFsZNKDLtA6JVll_a2</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Research and Markets. https://www.researchandmarkets.com/reports/6172233/tattoo-market-growth-analysis-forecast-trends?srsltid=AfmBOopzTrnimkDXUm-CgXMxl-e8STSdXehfZHoxOXCgCN7puO508r2Z</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Precedence Research. https://www.precedenceresearch.com/print-on-demand-market</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Market Data Forecast. https://www.marketdataforecast.com/market-reports/europe-print-on-demand-market</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VocalVocal. https://vocal.media/journal/print-on-demand-market-size-to-reach-usd-59-4-billion-by-2033-key-trends-and-forecast</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Demand Guides &amp; Profit Tracking Articles | PodVector. https://podvector.ai/articles/best-ai-art-generator-for-print-on-demand-compared</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DAC. https://www.dacgroup.com/insights/blog/paid-media/2025-media-inflation-what-advertisers-need-to-know-now/</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intelmarketresearch.com. https://www.intelmarketresearch.com/tattoo-ink-market-15396</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Fortune. https://fortune.com/2025/03/11/youtube-biggest-star-mrbeast-makes-more-money-chocolate-videos/</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substack.com. https://willventures.substack.com/p/the-5-billion-creator-holdco</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Kartik Ahuja. https://kartikahuja.com/how-did-mr-beast-get-rich/</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MARCA. https://www.marca.com/en/lifestyle/celebrity-net-worth/2024/05/27/6654e139268e3e21278b456c.html</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Business Insider. https://www.businessinsider.com/mrbeast-jimmy-donaldson-net-worth</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I-Koncepts Ltd t/a IFGlobal &amp; BladePRO. https://www.ifglobal.com/resources/blog/opening-the-mind-and-the-box-the-psychology-behind-the-unboxing-experience</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Exploding Topics. https://explodingtopics.com/blog/creator-economy-market-size</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thetrichordist.com. https://thetrichordist.com/2025/08/07/spotifys-royalty-threshold-is-conscious-parallelism-reshaping-the-music-business-but-not-in-a-good-way/</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The Motley Fool Australia. https://www.fool.com.au/2022/08/17/redbubble-share-price-tumbles-40-as-profit-turns-to-loss/</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Intenze Tattoo Ink. https://intenzetattooink.com/blogs/news/creating-a-passive-income-stream-for-tattoo-artists-the-master-blueprint-for-2026?srsltid=AfmBOopu4ZJrXpMN_Xxs_A5g9kypyiVDdIqrhm_iswkCfGcD6ihmigHn</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Digital Music News. https://www.digitalmusicnews.com/2025/12/16/spotify-stream-minimum/</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iScripts. https://www.iscripts.com/blog/amaze-acquires-spring-rebranded-teespring-story-till-now/</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sqmagazine.co.uk. https://sqmagazine.co.uk/social-commerce-statistics/</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Water &amp; Music. https://www.waterandmusic.com/request-for-support-the-unexpected-labyrinth-of-music-marketing-roi/</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Dataintelo. https://dataintelo.com/report/artist-merchandising-market</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Sifted. https://sifted.eu/articles/gelato-unicorn-240m</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almcorp.com. https://almcorp.com/blog/youtube-shopping-affiliate-program-500-subscribers/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nchstats.com. https://nchstats.com/digital-fatigue-crisis-gen-z/</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Deadline. https://deadline.com/2025/03/music-sales-2024-vinyl-digital-subscriptions-1236330150/</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RIAA. https://www.riaa.com/2024-year-end-music-industry-revenue-report-riaa/</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inspiredbybeatz.com. https://www.inspiredbybeatz.com/en/vinyl-cracks-billion-gen-z-saving-format/</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Unchained Music. https://www.unchainedmusic.io/blog-posts/spotifys-new-royalty-policy-may-leave-many-artists-unpaid</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IT Supply Chain. https://itsupplychain.com/consumers-willing-to-pay-sustainability-premium-for-everyday-retail-products-but-not-other-categories/</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asicentral.com. https://members.asicentral.com/news/strategy/july-2025/billie-eilish-umg-upcycle-400k-unsold-concert-tees-into-new-merch/</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Variety. https://variety.com/2025/music/news/billie-eilish-coldplay-tours-eco-friendly-sustainable-1236262210/</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Rolling Stone. https://www.rollingstone.com/music/music-news/billie-eilish-coldplay-vinyl-records-sustainable-1235047168/</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Jasmine Business Directory. https://www.jasminedirectory.com/blog/the-drop-culture-creating-hype-through-scarcity-marketing/</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Wharton Marketing. https://marketing.wharton.upenn.edu/wp-content/uploads/2019/04/04.04.2019-Morewedge-Carey-PAPER-DigitalvsPhysicalGoods.pdf</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convention-guests.com. https://convention-guests.com/the-psychology-behind-why-fans-buy-merch-at-concerts/</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Disc Makers Blog. https://blog.discmakers.com/2025/12/the-psychology-of-merch/</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MIDiA Research. https://www.midiaresearch.com/blog/the-new-rules-of-musics-growth-engine-insights-from-midias-merch-and-ticket-buyer-survey</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emarketer.com. https://www.emarketer.com/content/genz-favors-stores-over-ecommerce</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yougov.com. https://yougov.com/en-us/articles/54192-gen-z-apparel-shopping-what-sets-the-younger-generation-apart-from-the-overall-population</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Mixmag. https://mixmag.net/read/gen-z-vinyl-resurgence-report-records-habits-records-news</w:t>
      </w:r>
      <w:bookmarkEnd w:id="1018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03" Target="media/rId103.png"/><Relationship Type="http://schemas.openxmlformats.org/officeDocument/2006/relationships/image" Id="rId93" Target="media/rId93.png"/><Relationship Type="http://schemas.openxmlformats.org/officeDocument/2006/relationships/image" Id="rId59" Target="media/rId59.png"/><Relationship Type="http://schemas.openxmlformats.org/officeDocument/2006/relationships/image" Id="rId51" Target="media/rId51.png"/><Relationship Type="http://schemas.openxmlformats.org/officeDocument/2006/relationships/image" Id="rId87" Target="media/rId87.png"/><Relationship Type="http://schemas.openxmlformats.org/officeDocument/2006/relationships/image" Id="rId42" Target="media/rId42.png"/><Relationship Type="http://schemas.openxmlformats.org/officeDocument/2006/relationships/image" Id="rId69" Target="media/rId69.png"/><Relationship Type="http://schemas.openxmlformats.org/officeDocument/2006/relationships/image" Id="rId35" Target="media/rId35.png"/><Relationship Type="http://schemas.openxmlformats.org/officeDocument/2006/relationships/image" Id="rId26" Target="media/rId26.png"/><Relationship Id="rId104"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2026-05-10T17:19:15Z</dcterms:created>
  <dcterms:modified xsi:type="dcterms:W3CDTF">2026-05-10T17:19:15Z</dcterms:modified>
</cp:coreProperties>
</file>

<file path=docProps/custom.xml><?xml version="1.0" encoding="utf-8"?>
<Properties xmlns="http://schemas.openxmlformats.org/officeDocument/2006/custom-properties" xmlns:vt="http://schemas.openxmlformats.org/officeDocument/2006/docPropsVTypes"/>
</file>