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28.png" ContentType="image/png"/>
  <Override PartName="/word/media/rId60.png" ContentType="image/png"/>
  <Override PartName="/word/media/rId39.png" ContentType="image/png"/>
  <Override PartName="/word/media/rId78.png" ContentType="image/png"/>
  <Override PartName="/word/media/rId20.png" ContentType="image/png"/>
  <Override PartName="/word/media/rId45.png" ContentType="image/png"/>
  <Override PartName="/word/media/rId85.png" ContentType="image/png"/>
  <Override PartName="/word/media/rId51.png" ContentType="image/png"/>
  <Override PartName="/word/media/rId66.png" ContentType="image/png"/>
  <Override PartName="/word/media/rId7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Creator Merchandise Market: A Comprehensive Research Report</w:t>
      </w:r>
    </w:p>
    <w:p>
      <w:pPr>
        <w:pStyle w:val="Author"/>
      </w:pPr>
      <w:r>
        <w:t xml:space="preserve">Deep Research Analysis</w:t>
      </w:r>
    </w:p>
    <w:p>
      <w:pPr>
        <w:pStyle w:val="Date"/>
      </w:pPr>
      <w:r>
        <w:t xml:space="preserve">May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4" w:name="Xe0ee1f703c86a72a26ba107a147e70149769d4f"/>
    <w:p>
      <w:pPr>
        <w:pStyle w:val="Heading1"/>
      </w:pPr>
      <w:r>
        <w:t xml:space="preserve">The Creator Merchandise Market: A Comprehensive Research Report</w:t>
      </w:r>
    </w:p>
    <w:bookmarkStart w:id="23" w:name="Xfdc120ff823cf52d23c4801b6945c06912a613f"/>
    <w:p>
      <w:pPr>
        <w:pStyle w:val="Heading2"/>
      </w:pPr>
      <w:r>
        <w:t xml:space="preserve">Artists, Musicians &amp; Creators — Market Dynamics, Revenue Models, and Strategic Insights</w:t>
      </w:r>
    </w:p>
    <w:p>
      <w:pPr>
        <w:pStyle w:val="FirstParagraph"/>
      </w:pPr>
      <w:r>
        <w:rPr>
          <w:bCs/>
          <w:b/>
        </w:rPr>
        <w:t xml:space="preserve">Report Date:</w:t>
      </w:r>
      <w:r>
        <w:t xml:space="preserve"> </w:t>
      </w:r>
      <w:r>
        <w:t xml:space="preserve">May 2026</w:t>
      </w:r>
      <w:r>
        <w:t xml:space="preserve"> </w:t>
      </w:r>
      <w:r>
        <w:rPr>
          <w:bCs/>
          <w:b/>
        </w:rPr>
        <w:t xml:space="preserve">Research Period:</w:t>
      </w:r>
      <w:r>
        <w:t xml:space="preserve"> </w:t>
      </w:r>
      <w:r>
        <w:t xml:space="preserve">January 2024 – May 2026</w:t>
      </w:r>
      <w:r>
        <w:t xml:space="preserve"> </w:t>
      </w:r>
      <w:r>
        <w:rPr>
          <w:bCs/>
          <w:b/>
        </w:rPr>
        <w:t xml:space="preserve">Sources:</w:t>
      </w:r>
      <w:r>
        <w:t xml:space="preserve"> </w:t>
      </w:r>
      <w:r>
        <w:t xml:space="preserve">300+ primary and secondary sources</w:t>
      </w:r>
      <w:r>
        <w:t xml:space="preserve"> </w:t>
      </w:r>
      <w:r>
        <w:rPr>
          <w:bCs/>
          <w:b/>
        </w:rPr>
        <w:t xml:space="preserve">Research Methodology:</w:t>
      </w:r>
      <w:r>
        <w:t xml:space="preserve"> </w:t>
      </w:r>
      <w:r>
        <w:t xml:space="preserve">Multi-dimensional deep research with cross-verification</w:t>
      </w:r>
    </w:p>
    <w:p>
      <w:r>
        <w:pict>
          <v:rect style="width:0;height:1.5pt" o:hralign="center" o:hrstd="t" o:hr="t"/>
        </w:pict>
      </w:r>
    </w:p>
    <w:p>
      <w:pPr>
        <w:pStyle w:val="CaptionedFigure"/>
      </w:pPr>
      <w:r>
        <w:drawing>
          <wp:inline>
            <wp:extent cx="5334000" cy="3411144"/>
            <wp:effectExtent b="0" l="0" r="0" t="0"/>
            <wp:docPr descr="Market Infographic" title="" id="21" name="Picture"/>
            <a:graphic>
              <a:graphicData uri="http://schemas.openxmlformats.org/drawingml/2006/picture">
                <pic:pic>
                  <pic:nvPicPr>
                    <pic:cNvPr descr="/mnt/agents/output/charts/market_infographic_summary.png" id="22" name="Picture"/>
                    <pic:cNvPicPr>
                      <a:picLocks noChangeArrowheads="1" noChangeAspect="1"/>
                    </pic:cNvPicPr>
                  </pic:nvPicPr>
                  <pic:blipFill>
                    <a:blip r:embed="rId20"/>
                    <a:stretch>
                      <a:fillRect/>
                    </a:stretch>
                  </pic:blipFill>
                  <pic:spPr bwMode="auto">
                    <a:xfrm>
                      <a:off x="0" y="0"/>
                      <a:ext cx="5334000" cy="3411144"/>
                    </a:xfrm>
                    <a:prstGeom prst="rect">
                      <a:avLst/>
                    </a:prstGeom>
                    <a:noFill/>
                    <a:ln w="9525">
                      <a:noFill/>
                      <a:headEnd/>
                      <a:tailEnd/>
                    </a:ln>
                  </pic:spPr>
                </pic:pic>
              </a:graphicData>
            </a:graphic>
          </wp:inline>
        </w:drawing>
      </w:r>
    </w:p>
    <w:p>
      <w:pPr>
        <w:pStyle w:val="ImageCaption"/>
      </w:pPr>
      <w:r>
        <w:t xml:space="preserve">Market Infographic</w:t>
      </w:r>
    </w:p>
    <w:p>
      <w:r>
        <w:pict>
          <v:rect style="width:0;height:1.5pt" o:hralign="center" o:hrstd="t" o:hr="t"/>
        </w:pict>
      </w:r>
    </w:p>
    <w:bookmarkEnd w:id="23"/>
    <w:bookmarkStart w:id="24" w:name="table-of-contents"/>
    <w:p>
      <w:pPr>
        <w:pStyle w:val="Heading2"/>
      </w:pPr>
      <w:r>
        <w:t xml:space="preserve">Table of Contents</w:t>
      </w:r>
    </w:p>
    <w:p>
      <w:pPr>
        <w:numPr>
          <w:ilvl w:val="0"/>
          <w:numId w:val="1001"/>
        </w:numPr>
        <w:pStyle w:val="Compact"/>
      </w:pPr>
      <w:hyperlink w:anchor="X102b2e9de4183984340b81b0bb402a984d3925a">
        <w:r>
          <w:rPr>
            <w:rStyle w:val="Hyperlink"/>
          </w:rPr>
          <w:t xml:space="preserve">Executive Summary</w:t>
        </w:r>
      </w:hyperlink>
    </w:p>
    <w:p>
      <w:pPr>
        <w:numPr>
          <w:ilvl w:val="0"/>
          <w:numId w:val="1001"/>
        </w:numPr>
        <w:pStyle w:val="Compact"/>
      </w:pPr>
      <w:hyperlink w:anchor="Xe03278da565274d64d6b03ccc9dd31842e59cd4">
        <w:r>
          <w:rPr>
            <w:rStyle w:val="Hyperlink"/>
          </w:rPr>
          <w:t xml:space="preserve">Market Overview &amp; Size</w:t>
        </w:r>
      </w:hyperlink>
    </w:p>
    <w:p>
      <w:pPr>
        <w:numPr>
          <w:ilvl w:val="0"/>
          <w:numId w:val="1001"/>
        </w:numPr>
        <w:pStyle w:val="Compact"/>
      </w:pPr>
      <w:hyperlink w:anchor="X6745978c64dcd7183f3bfc421e6debca0370f6b">
        <w:r>
          <w:rPr>
            <w:rStyle w:val="Hyperlink"/>
          </w:rPr>
          <w:t xml:space="preserve">Market Segmentation</w:t>
        </w:r>
      </w:hyperlink>
    </w:p>
    <w:p>
      <w:pPr>
        <w:numPr>
          <w:ilvl w:val="0"/>
          <w:numId w:val="1001"/>
        </w:numPr>
        <w:pStyle w:val="Compact"/>
      </w:pPr>
      <w:hyperlink w:anchor="X2b72c72170d44b6b73b1ad4fb7b74e20e07070c">
        <w:r>
          <w:rPr>
            <w:rStyle w:val="Hyperlink"/>
          </w:rPr>
          <w:t xml:space="preserve">Platform Ecosystem</w:t>
        </w:r>
      </w:hyperlink>
    </w:p>
    <w:p>
      <w:pPr>
        <w:numPr>
          <w:ilvl w:val="0"/>
          <w:numId w:val="1001"/>
        </w:numPr>
        <w:pStyle w:val="Compact"/>
      </w:pPr>
      <w:hyperlink w:anchor="Xe0824dd2c4ead8eff5d9522e37cb8ad16328343">
        <w:r>
          <w:rPr>
            <w:rStyle w:val="Hyperlink"/>
          </w:rPr>
          <w:t xml:space="preserve">Revenue Models &amp; Economics</w:t>
        </w:r>
      </w:hyperlink>
    </w:p>
    <w:p>
      <w:pPr>
        <w:numPr>
          <w:ilvl w:val="0"/>
          <w:numId w:val="1001"/>
        </w:numPr>
        <w:pStyle w:val="Compact"/>
      </w:pPr>
      <w:hyperlink w:anchor="Xc7a7189f272a635b92546e32da1bbe66ca5b962">
        <w:r>
          <w:rPr>
            <w:rStyle w:val="Hyperlink"/>
          </w:rPr>
          <w:t xml:space="preserve">Consumer Behavior &amp; Fan Psychology</w:t>
        </w:r>
      </w:hyperlink>
    </w:p>
    <w:p>
      <w:pPr>
        <w:numPr>
          <w:ilvl w:val="0"/>
          <w:numId w:val="1001"/>
        </w:numPr>
        <w:pStyle w:val="Compact"/>
      </w:pPr>
      <w:hyperlink w:anchor="X324354e2f6024a80e315e8e3b2775a7398059b8">
        <w:r>
          <w:rPr>
            <w:rStyle w:val="Hyperlink"/>
          </w:rPr>
          <w:t xml:space="preserve">Music Industry Merchandise</w:t>
        </w:r>
      </w:hyperlink>
    </w:p>
    <w:p>
      <w:pPr>
        <w:numPr>
          <w:ilvl w:val="0"/>
          <w:numId w:val="1001"/>
        </w:numPr>
        <w:pStyle w:val="Compact"/>
      </w:pPr>
      <w:hyperlink w:anchor="X29e22e8562b622ce28fe6f3de68ff50e7342841">
        <w:r>
          <w:rPr>
            <w:rStyle w:val="Hyperlink"/>
          </w:rPr>
          <w:t xml:space="preserve">K-Pop Merchandise Ecosystem</w:t>
        </w:r>
      </w:hyperlink>
    </w:p>
    <w:p>
      <w:pPr>
        <w:numPr>
          <w:ilvl w:val="0"/>
          <w:numId w:val="1001"/>
        </w:numPr>
        <w:pStyle w:val="Compact"/>
      </w:pPr>
      <w:hyperlink w:anchor="Xb1e01b16f2bb8f40edf87ce09871129935effca">
        <w:r>
          <w:rPr>
            <w:rStyle w:val="Hyperlink"/>
          </w:rPr>
          <w:t xml:space="preserve">Visual Artists &amp; Digital Creators</w:t>
        </w:r>
      </w:hyperlink>
    </w:p>
    <w:p>
      <w:pPr>
        <w:numPr>
          <w:ilvl w:val="0"/>
          <w:numId w:val="1001"/>
        </w:numPr>
        <w:pStyle w:val="Compact"/>
      </w:pPr>
      <w:hyperlink w:anchor="X9911f9f0eb1d09f3c3abe6ce205dcc1e83a56d1">
        <w:r>
          <w:rPr>
            <w:rStyle w:val="Hyperlink"/>
          </w:rPr>
          <w:t xml:space="preserve">Social Commerce &amp; Discovery</w:t>
        </w:r>
      </w:hyperlink>
    </w:p>
    <w:p>
      <w:pPr>
        <w:numPr>
          <w:ilvl w:val="0"/>
          <w:numId w:val="1001"/>
        </w:numPr>
        <w:pStyle w:val="Compact"/>
      </w:pPr>
      <w:hyperlink w:anchor="X2eff4b40795b08c9fed7d6b68cbd61b34667f71">
        <w:r>
          <w:rPr>
            <w:rStyle w:val="Hyperlink"/>
          </w:rPr>
          <w:t xml:space="preserve">Emerging Technologies</w:t>
        </w:r>
      </w:hyperlink>
    </w:p>
    <w:p>
      <w:pPr>
        <w:numPr>
          <w:ilvl w:val="0"/>
          <w:numId w:val="1001"/>
        </w:numPr>
        <w:pStyle w:val="Compact"/>
      </w:pPr>
      <w:hyperlink w:anchor="X1c4fdef79d365a4294fb65dd2e1ea0ac3303bcb">
        <w:r>
          <w:rPr>
            <w:rStyle w:val="Hyperlink"/>
          </w:rPr>
          <w:t xml:space="preserve">Sustainability &amp; Ethics</w:t>
        </w:r>
      </w:hyperlink>
    </w:p>
    <w:p>
      <w:pPr>
        <w:numPr>
          <w:ilvl w:val="0"/>
          <w:numId w:val="1001"/>
        </w:numPr>
        <w:pStyle w:val="Compact"/>
      </w:pPr>
      <w:hyperlink w:anchor="X1cb495a042bf04291d4c2b53223956e55587416">
        <w:r>
          <w:rPr>
            <w:rStyle w:val="Hyperlink"/>
          </w:rPr>
          <w:t xml:space="preserve">Regional Dynamics</w:t>
        </w:r>
      </w:hyperlink>
    </w:p>
    <w:p>
      <w:pPr>
        <w:numPr>
          <w:ilvl w:val="0"/>
          <w:numId w:val="1001"/>
        </w:numPr>
        <w:pStyle w:val="Compact"/>
      </w:pPr>
      <w:hyperlink w:anchor="X526e94d43f59c5f7d56700a15b35ddbb6f5ac5a">
        <w:r>
          <w:rPr>
            <w:rStyle w:val="Hyperlink"/>
          </w:rPr>
          <w:t xml:space="preserve">Challenges &amp; Risks</w:t>
        </w:r>
      </w:hyperlink>
    </w:p>
    <w:p>
      <w:pPr>
        <w:numPr>
          <w:ilvl w:val="0"/>
          <w:numId w:val="1001"/>
        </w:numPr>
        <w:pStyle w:val="Compact"/>
      </w:pPr>
      <w:hyperlink w:anchor="X6c033f4397b1cbb401f60b43d2ef664bc9aa52c">
        <w:r>
          <w:rPr>
            <w:rStyle w:val="Hyperlink"/>
          </w:rPr>
          <w:t xml:space="preserve">Future Outlook &amp; Predictions</w:t>
        </w:r>
      </w:hyperlink>
    </w:p>
    <w:p>
      <w:pPr>
        <w:numPr>
          <w:ilvl w:val="0"/>
          <w:numId w:val="1001"/>
        </w:numPr>
        <w:pStyle w:val="Compact"/>
      </w:pPr>
      <w:hyperlink w:anchor="Xf327e469879f788f43414fbf41a2ababecc3a4b">
        <w:r>
          <w:rPr>
            <w:rStyle w:val="Hyperlink"/>
          </w:rPr>
          <w:t xml:space="preserve">Strategic Cross-Dimensional Insights</w:t>
        </w:r>
      </w:hyperlink>
    </w:p>
    <w:p>
      <w:pPr>
        <w:numPr>
          <w:ilvl w:val="0"/>
          <w:numId w:val="1001"/>
        </w:numPr>
        <w:pStyle w:val="Compact"/>
      </w:pPr>
      <w:hyperlink w:anchor="Xbb6198e669d987492a4e2a483d07f4110c2658f">
        <w:r>
          <w:rPr>
            <w:rStyle w:val="Hyperlink"/>
          </w:rPr>
          <w:t xml:space="preserve">Conclusion</w:t>
        </w:r>
      </w:hyperlink>
    </w:p>
    <w:p>
      <w:r>
        <w:pict>
          <v:rect style="width:0;height:1.5pt" o:hralign="center" o:hrstd="t" o:hr="t"/>
        </w:pict>
      </w:r>
    </w:p>
    <w:bookmarkEnd w:id="24"/>
    <w:bookmarkStart w:id="27" w:name="executive-summary"/>
    <w:p>
      <w:pPr>
        <w:pStyle w:val="Heading2"/>
      </w:pPr>
      <w:r>
        <w:t xml:space="preserve">1. Executive Summary</w:t>
      </w:r>
    </w:p>
    <w:p>
      <w:pPr>
        <w:pStyle w:val="FirstParagraph"/>
      </w:pPr>
      <w:r>
        <w:t xml:space="preserve">The global creator merchandise market represents one of the fastest-growing segments of the broader creator economy, valued at approximately</w:t>
      </w:r>
      <w:r>
        <w:t xml:space="preserve"> </w:t>
      </w:r>
      <w:r>
        <w:rPr>
          <w:bCs/>
          <w:b/>
        </w:rPr>
        <w:t xml:space="preserve">$6.8 billion in 2025</w:t>
      </w:r>
      <w:r>
        <w:t xml:space="preserve"> </w:t>
      </w:r>
      <w:r>
        <w:t xml:space="preserve">and projected to reach</w:t>
      </w:r>
      <w:r>
        <w:t xml:space="preserve"> </w:t>
      </w:r>
      <w:r>
        <w:rPr>
          <w:bCs/>
          <w:b/>
        </w:rPr>
        <w:t xml:space="preserve">$13.4 billion by 2034</w:t>
      </w:r>
      <w:r>
        <w:t xml:space="preserve"> </w:t>
      </w:r>
      <w:r>
        <w:t xml:space="preserve">at a compound annual growth rate (CAGR) of 7.8%. When including physical music formats (particularly vinyl records, which function as collectible merchandise), the market expands to roughly</w:t>
      </w:r>
      <w:r>
        <w:t xml:space="preserve"> </w:t>
      </w:r>
      <w:r>
        <w:rPr>
          <w:bCs/>
          <w:b/>
        </w:rPr>
        <w:t xml:space="preserve">$13-14 billion</w:t>
      </w:r>
      <w:r>
        <w:t xml:space="preserve"> </w:t>
      </w:r>
      <w:r>
        <w:t xml:space="preserve">— a figure that underscores the deep integration of physical goods into creator monetization strategies.</w:t>
      </w:r>
    </w:p>
    <w:bookmarkStart w:id="25" w:name="key-findings-at-a-glance"/>
    <w:p>
      <w:pPr>
        <w:pStyle w:val="Heading3"/>
      </w:pPr>
      <w:r>
        <w:t xml:space="preserve">Key Findings at a Glance</w:t>
      </w:r>
    </w:p>
    <w:tbl>
      <w:tblPr>
        <w:tblStyle w:val="Table"/>
        <w:tblW w:type="pct" w:w="5000"/>
        <w:tblLook w:firstRow="1" w:lastRow="0" w:firstColumn="0" w:lastColumn="0" w:noHBand="0" w:noVBand="0" w:val="0020"/>
      </w:tblPr>
      <w:tblGrid>
        <w:gridCol w:w="2754"/>
        <w:gridCol w:w="2410"/>
        <w:gridCol w:w="2754"/>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Artist Merchandise Market (2025)</w:t>
            </w:r>
          </w:p>
        </w:tc>
        <w:tc>
          <w:tcPr/>
          <w:p>
            <w:pPr>
              <w:pStyle w:val="Compact"/>
              <w:jc w:val="left"/>
            </w:pPr>
            <w:r>
              <w:t xml:space="preserve">$6.8 billion</w:t>
            </w:r>
          </w:p>
        </w:tc>
        <w:tc>
          <w:tcPr/>
          <w:p>
            <w:pPr>
              <w:pStyle w:val="Compact"/>
              <w:jc w:val="left"/>
            </w:pPr>
            <w:r>
              <w:t xml:space="preserve">Dataintelo, Grand View Research</w:t>
            </w:r>
          </w:p>
        </w:tc>
      </w:tr>
      <w:tr>
        <w:tc>
          <w:tcPr/>
          <w:p>
            <w:pPr>
              <w:pStyle w:val="Compact"/>
              <w:jc w:val="left"/>
            </w:pPr>
            <w:r>
              <w:t xml:space="preserve">Projected Market (2034)</w:t>
            </w:r>
          </w:p>
        </w:tc>
        <w:tc>
          <w:tcPr/>
          <w:p>
            <w:pPr>
              <w:pStyle w:val="Compact"/>
              <w:jc w:val="left"/>
            </w:pPr>
            <w:r>
              <w:t xml:space="preserve">$13.4 billion</w:t>
            </w:r>
          </w:p>
        </w:tc>
        <w:tc>
          <w:tcPr/>
          <w:p>
            <w:pPr>
              <w:pStyle w:val="Compact"/>
              <w:jc w:val="left"/>
            </w:pPr>
            <w:r>
              <w:t xml:space="preserve">Industry consensus</w:t>
            </w:r>
          </w:p>
        </w:tc>
      </w:tr>
      <w:tr>
        <w:tc>
          <w:tcPr/>
          <w:p>
            <w:pPr>
              <w:pStyle w:val="Compact"/>
              <w:jc w:val="left"/>
            </w:pPr>
            <w:r>
              <w:t xml:space="preserve">Creator Economy (parent market)</w:t>
            </w:r>
          </w:p>
        </w:tc>
        <w:tc>
          <w:tcPr/>
          <w:p>
            <w:pPr>
              <w:pStyle w:val="Compact"/>
              <w:jc w:val="left"/>
            </w:pPr>
            <w:r>
              <w:t xml:space="preserve">$191-252 billion</w:t>
            </w:r>
          </w:p>
        </w:tc>
        <w:tc>
          <w:tcPr/>
          <w:p>
            <w:pPr>
              <w:pStyle w:val="Compact"/>
              <w:jc w:val="left"/>
            </w:pPr>
            <w:r>
              <w:t xml:space="preserve">Goldman Sachs, Grand View Research</w:t>
            </w:r>
          </w:p>
        </w:tc>
      </w:tr>
      <w:tr>
        <w:tc>
          <w:tcPr/>
          <w:p>
            <w:pPr>
              <w:pStyle w:val="Compact"/>
              <w:jc w:val="left"/>
            </w:pPr>
            <w:r>
              <w:t xml:space="preserve">Global Creators</w:t>
            </w:r>
          </w:p>
        </w:tc>
        <w:tc>
          <w:tcPr/>
          <w:p>
            <w:pPr>
              <w:pStyle w:val="Compact"/>
              <w:jc w:val="left"/>
            </w:pPr>
            <w:r>
              <w:t xml:space="preserve">207+ million</w:t>
            </w:r>
          </w:p>
        </w:tc>
        <w:tc>
          <w:tcPr/>
          <w:p>
            <w:pPr>
              <w:pStyle w:val="Compact"/>
              <w:jc w:val="left"/>
            </w:pPr>
            <w:r>
              <w:t xml:space="preserve">DemandSage, inBeat Agency</w:t>
            </w:r>
          </w:p>
        </w:tc>
      </w:tr>
      <w:tr>
        <w:tc>
          <w:tcPr/>
          <w:p>
            <w:pPr>
              <w:pStyle w:val="Compact"/>
              <w:jc w:val="left"/>
            </w:pPr>
            <w:r>
              <w:t xml:space="preserve">Concert Merch Spend per Fan (2025)</w:t>
            </w:r>
          </w:p>
        </w:tc>
        <w:tc>
          <w:tcPr/>
          <w:p>
            <w:pPr>
              <w:pStyle w:val="Compact"/>
              <w:jc w:val="left"/>
            </w:pPr>
            <w:r>
              <w:t xml:space="preserve">$67.53 (+9% YoY)</w:t>
            </w:r>
          </w:p>
        </w:tc>
        <w:tc>
          <w:tcPr/>
          <w:p>
            <w:pPr>
              <w:pStyle w:val="Compact"/>
              <w:jc w:val="left"/>
            </w:pPr>
            <w:r>
              <w:t xml:space="preserve">atVenu</w:t>
            </w:r>
          </w:p>
        </w:tc>
      </w:tr>
      <w:tr>
        <w:tc>
          <w:tcPr/>
          <w:p>
            <w:pPr>
              <w:pStyle w:val="Compact"/>
              <w:jc w:val="left"/>
            </w:pPr>
            <w:r>
              <w:t xml:space="preserve">D2C Online Channel Share</w:t>
            </w:r>
          </w:p>
        </w:tc>
        <w:tc>
          <w:tcPr/>
          <w:p>
            <w:pPr>
              <w:pStyle w:val="Compact"/>
              <w:jc w:val="left"/>
            </w:pPr>
            <w:r>
              <w:t xml:space="preserve">41.3%</w:t>
            </w:r>
          </w:p>
        </w:tc>
        <w:tc>
          <w:tcPr/>
          <w:p>
            <w:pPr>
              <w:pStyle w:val="Compact"/>
              <w:jc w:val="left"/>
            </w:pPr>
            <w:r>
              <w:t xml:space="preserve">Market research consensus</w:t>
            </w:r>
          </w:p>
        </w:tc>
      </w:tr>
      <w:tr>
        <w:tc>
          <w:tcPr/>
          <w:p>
            <w:pPr>
              <w:pStyle w:val="Compact"/>
              <w:jc w:val="left"/>
            </w:pPr>
            <w:r>
              <w:t xml:space="preserve">K-Pop Fan Spend per Head</w:t>
            </w:r>
          </w:p>
        </w:tc>
        <w:tc>
          <w:tcPr/>
          <w:p>
            <w:pPr>
              <w:pStyle w:val="Compact"/>
              <w:jc w:val="left"/>
            </w:pPr>
            <w:r>
              <w:t xml:space="preserve">$48.32 (+61% YoY)</w:t>
            </w:r>
          </w:p>
        </w:tc>
        <w:tc>
          <w:tcPr/>
          <w:p>
            <w:pPr>
              <w:pStyle w:val="Compact"/>
              <w:jc w:val="left"/>
            </w:pPr>
            <w:r>
              <w:t xml:space="preserve">atVenu</w:t>
            </w:r>
          </w:p>
        </w:tc>
      </w:tr>
      <w:tr>
        <w:tc>
          <w:tcPr/>
          <w:p>
            <w:pPr>
              <w:pStyle w:val="Compact"/>
              <w:jc w:val="left"/>
            </w:pPr>
            <w:r>
              <w:t xml:space="preserve">Print-on-Demand Market</w:t>
            </w:r>
          </w:p>
        </w:tc>
        <w:tc>
          <w:tcPr/>
          <w:p>
            <w:pPr>
              <w:pStyle w:val="Compact"/>
              <w:jc w:val="left"/>
            </w:pPr>
            <w:r>
              <w:t xml:space="preserve">$10.78 billion (2025)</w:t>
            </w:r>
          </w:p>
        </w:tc>
        <w:tc>
          <w:tcPr/>
          <w:p>
            <w:pPr>
              <w:pStyle w:val="Compact"/>
              <w:jc w:val="left"/>
            </w:pPr>
            <w:r>
              <w:t xml:space="preserve">Grand View Research</w:t>
            </w:r>
          </w:p>
        </w:tc>
      </w:tr>
      <w:tr>
        <w:tc>
          <w:tcPr/>
          <w:p>
            <w:pPr>
              <w:pStyle w:val="Compact"/>
              <w:jc w:val="left"/>
            </w:pPr>
            <w:r>
              <w:t xml:space="preserve">Top 100 Tours Revenue (2024)</w:t>
            </w:r>
          </w:p>
        </w:tc>
        <w:tc>
          <w:tcPr/>
          <w:p>
            <w:pPr>
              <w:pStyle w:val="Compact"/>
              <w:jc w:val="left"/>
            </w:pPr>
            <w:r>
              <w:t xml:space="preserve">$9.5 billion</w:t>
            </w:r>
          </w:p>
        </w:tc>
        <w:tc>
          <w:tcPr/>
          <w:p>
            <w:pPr>
              <w:pStyle w:val="Compact"/>
              <w:jc w:val="left"/>
            </w:pPr>
            <w:r>
              <w:t xml:space="preserve">Pollstar</w:t>
            </w:r>
          </w:p>
        </w:tc>
      </w:tr>
    </w:tbl>
    <w:p>
      <w:pPr>
        <w:pStyle w:val="BodyText"/>
      </w:pPr>
      <w:r>
        <w:t xml:space="preserve">The market is undergoing a fundamental transformation driven by five converging forces: (1) the</w:t>
      </w:r>
      <w:r>
        <w:t xml:space="preserve"> </w:t>
      </w:r>
      <w:r>
        <w:rPr>
          <w:bCs/>
          <w:b/>
        </w:rPr>
        <w:t xml:space="preserve">D2C e-commerce revolution</w:t>
      </w:r>
      <w:r>
        <w:t xml:space="preserve"> </w:t>
      </w:r>
      <w:r>
        <w:t xml:space="preserve">that enables creators to retain 60-75% of revenue versus 15-30% through traditional retail; (2) the</w:t>
      </w:r>
      <w:r>
        <w:t xml:space="preserve"> </w:t>
      </w:r>
      <w:r>
        <w:rPr>
          <w:bCs/>
          <w:b/>
        </w:rPr>
        <w:t xml:space="preserve">live event supercycle</w:t>
      </w:r>
      <w:r>
        <w:t xml:space="preserve"> </w:t>
      </w:r>
      <w:r>
        <w:t xml:space="preserve">that has produced record-breaking touring revenues post-pandemic; (3)</w:t>
      </w:r>
      <w:r>
        <w:t xml:space="preserve"> </w:t>
      </w:r>
      <w:r>
        <w:rPr>
          <w:bCs/>
          <w:b/>
        </w:rPr>
        <w:t xml:space="preserve">K-pop’s global merchandise model</w:t>
      </w:r>
      <w:r>
        <w:t xml:space="preserve"> </w:t>
      </w:r>
      <w:r>
        <w:t xml:space="preserve">that demonstrates per-head spend 5x above industry averages; (4) the</w:t>
      </w:r>
      <w:r>
        <w:t xml:space="preserve"> </w:t>
      </w:r>
      <w:r>
        <w:rPr>
          <w:bCs/>
          <w:b/>
        </w:rPr>
        <w:t xml:space="preserve">print-on-demand infrastructure</w:t>
      </w:r>
      <w:r>
        <w:t xml:space="preserve"> </w:t>
      </w:r>
      <w:r>
        <w:t xml:space="preserve">democratizing merch creation for creators at all levels; and (5)</w:t>
      </w:r>
      <w:r>
        <w:t xml:space="preserve"> </w:t>
      </w:r>
      <w:r>
        <w:rPr>
          <w:bCs/>
          <w:b/>
        </w:rPr>
        <w:t xml:space="preserve">social commerce</w:t>
      </w:r>
      <w:r>
        <w:t xml:space="preserve"> </w:t>
      </w:r>
      <w:r>
        <w:t xml:space="preserve">on TikTok Shop and Instagram that compresses discovery-to-purchase funnels to near-zero friction.</w:t>
      </w:r>
    </w:p>
    <w:p>
      <w:pPr>
        <w:pStyle w:val="BodyText"/>
      </w:pPr>
      <w:r>
        <w:t xml:space="preserve">However, these growth drivers coexist with significant headwinds: margin compression across all value chain nodes (UMG/Bravado EBITDA margins fell from 5.1% to 2.0%), rising venue merch cuts (20-30% standard, up to 45%), platform consolidation that threatens creator pricing power (Printful-Printify merger), counterfeit trade reaching $467 billion globally, and the existential regulatory risk facing TikTok Shop — the fastest-growing creator commerce channel.</w:t>
      </w:r>
    </w:p>
    <w:bookmarkEnd w:id="25"/>
    <w:bookmarkStart w:id="26" w:name="the-bottom-line"/>
    <w:p>
      <w:pPr>
        <w:pStyle w:val="Heading3"/>
      </w:pPr>
      <w:r>
        <w:t xml:space="preserve">The Bottom Line</w:t>
      </w:r>
    </w:p>
    <w:p>
      <w:pPr>
        <w:pStyle w:val="FirstParagraph"/>
      </w:pPr>
      <w:r>
        <w:t xml:space="preserve">For artists, musicians, and creators, merchandise has evolved from an ancillary revenue stream into a</w:t>
      </w:r>
      <w:r>
        <w:t xml:space="preserve"> </w:t>
      </w:r>
      <w:r>
        <w:rPr>
          <w:bCs/>
          <w:b/>
        </w:rPr>
        <w:t xml:space="preserve">primary commercial pillar</w:t>
      </w:r>
      <w:r>
        <w:t xml:space="preserve">. The data is unambiguous: the average artist makes</w:t>
      </w:r>
      <w:r>
        <w:t xml:space="preserve"> </w:t>
      </w:r>
      <w:r>
        <w:rPr>
          <w:bCs/>
          <w:b/>
        </w:rPr>
        <w:t xml:space="preserve">8x more per show in gross merchandise sales</w:t>
      </w:r>
      <w:r>
        <w:t xml:space="preserve"> </w:t>
      </w:r>
      <w:r>
        <w:t xml:space="preserve">than from a year’s worth of streaming royalties. One t-shirt sale ($35) generates the equivalent revenue of</w:t>
      </w:r>
      <w:r>
        <w:t xml:space="preserve"> </w:t>
      </w:r>
      <w:r>
        <w:rPr>
          <w:bCs/>
          <w:b/>
        </w:rPr>
        <w:t xml:space="preserve">8,750 Spotify streams</w:t>
      </w:r>
      <w:r>
        <w:t xml:space="preserve">. For independent artists, D2C merchandise yields a</w:t>
      </w:r>
      <w:r>
        <w:t xml:space="preserve"> </w:t>
      </w:r>
      <w:r>
        <w:rPr>
          <w:bCs/>
          <w:b/>
        </w:rPr>
        <w:t xml:space="preserve">60-70% income advantage</w:t>
      </w:r>
      <w:r>
        <w:t xml:space="preserve"> </w:t>
      </w:r>
      <w:r>
        <w:t xml:space="preserve">over signed artists trapped in 360 deals that capture 20-50% of merch revenue. The strategic imperative for creators is clear: build direct-to-fan infrastructure now, diversify across platforms to mitigate dependency risk, and invest in community-driven merch that creates authentic emotional connections — because identity-based merchandise is counterfeit-proof in a way that generic branded apparel is not.</w:t>
      </w:r>
    </w:p>
    <w:p>
      <w:r>
        <w:pict>
          <v:rect style="width:0;height:1.5pt" o:hralign="center" o:hrstd="t" o:hr="t"/>
        </w:pict>
      </w:r>
    </w:p>
    <w:bookmarkEnd w:id="26"/>
    <w:bookmarkEnd w:id="27"/>
    <w:bookmarkStart w:id="34" w:name="market-overview-size"/>
    <w:p>
      <w:pPr>
        <w:pStyle w:val="Heading2"/>
      </w:pPr>
      <w:r>
        <w:t xml:space="preserve">2. Market Overview &amp; Size</w:t>
      </w:r>
    </w:p>
    <w:bookmarkStart w:id="31" w:name="global-market-sizing"/>
    <w:p>
      <w:pPr>
        <w:pStyle w:val="Heading3"/>
      </w:pPr>
      <w:r>
        <w:t xml:space="preserve">2.1 Global Market Sizing</w:t>
      </w:r>
    </w:p>
    <w:p>
      <w:pPr>
        <w:pStyle w:val="CaptionedFigure"/>
      </w:pPr>
      <w:r>
        <w:drawing>
          <wp:inline>
            <wp:extent cx="5334000" cy="3086566"/>
            <wp:effectExtent b="0" l="0" r="0" t="0"/>
            <wp:docPr descr="Creator Economy Market Size" title="" id="29" name="Picture"/>
            <a:graphic>
              <a:graphicData uri="http://schemas.openxmlformats.org/drawingml/2006/picture">
                <pic:pic>
                  <pic:nvPicPr>
                    <pic:cNvPr descr="/mnt/agents/output/charts/creator_economy_market_size.png" id="30" name="Picture"/>
                    <pic:cNvPicPr>
                      <a:picLocks noChangeArrowheads="1" noChangeAspect="1"/>
                    </pic:cNvPicPr>
                  </pic:nvPicPr>
                  <pic:blipFill>
                    <a:blip r:embed="rId28"/>
                    <a:stretch>
                      <a:fillRect/>
                    </a:stretch>
                  </pic:blipFill>
                  <pic:spPr bwMode="auto">
                    <a:xfrm>
                      <a:off x="0" y="0"/>
                      <a:ext cx="5334000" cy="3086566"/>
                    </a:xfrm>
                    <a:prstGeom prst="rect">
                      <a:avLst/>
                    </a:prstGeom>
                    <a:noFill/>
                    <a:ln w="9525">
                      <a:noFill/>
                      <a:headEnd/>
                      <a:tailEnd/>
                    </a:ln>
                  </pic:spPr>
                </pic:pic>
              </a:graphicData>
            </a:graphic>
          </wp:inline>
        </w:drawing>
      </w:r>
    </w:p>
    <w:p>
      <w:pPr>
        <w:pStyle w:val="ImageCaption"/>
      </w:pPr>
      <w:r>
        <w:t xml:space="preserve">Creator Economy Market Size</w:t>
      </w:r>
    </w:p>
    <w:p>
      <w:pPr>
        <w:pStyle w:val="BodyText"/>
      </w:pPr>
      <w:r>
        <w:t xml:space="preserve">The creator merchandise market operates within the broader creator economy ecosystem, which was valued at</w:t>
      </w:r>
      <w:r>
        <w:t xml:space="preserve"> </w:t>
      </w:r>
      <w:r>
        <w:rPr>
          <w:bCs/>
          <w:b/>
        </w:rPr>
        <w:t xml:space="preserve">$191-252 billion in 2024-2025</w:t>
      </w:r>
      <w:r>
        <w:t xml:space="preserve"> </w:t>
      </w:r>
      <w:r>
        <w:t xml:space="preserve">depending on the research firm and methodology employed. Goldman Sachs takes the most conservative near-term view, estimating the economy could roughly double to</w:t>
      </w:r>
      <w:r>
        <w:t xml:space="preserve"> </w:t>
      </w:r>
      <w:r>
        <w:rPr>
          <w:bCs/>
          <w:b/>
        </w:rPr>
        <w:t xml:space="preserve">$480 billion by 2027</w:t>
      </w:r>
      <w:r>
        <w:t xml:space="preserve">, while Grand View Research projects</w:t>
      </w:r>
      <w:r>
        <w:t xml:space="preserve"> </w:t>
      </w:r>
      <w:r>
        <w:rPr>
          <w:bCs/>
          <w:b/>
        </w:rPr>
        <w:t xml:space="preserve">$1.35 trillion by 2033</w:t>
      </w:r>
      <w:r>
        <w:t xml:space="preserve"> </w:t>
      </w:r>
      <w:r>
        <w:t xml:space="preserve">at a 23.3% CAGR. The variance between these estimates reflects different definitional scopes — some firms count only platform payouts and brand deals, while others include creator-built businesses, merchandise, SaaS tools, and e-commerce.</w:t>
      </w:r>
    </w:p>
    <w:p>
      <w:pPr>
        <w:pStyle w:val="BodyText"/>
      </w:pPr>
      <w:r>
        <w:rPr>
          <w:bCs/>
          <w:b/>
        </w:rPr>
        <w:t xml:space="preserve">Artist Merchandising Market:</w:t>
      </w:r>
      <w:r>
        <w:t xml:space="preserve"> </w:t>
      </w:r>
      <w:r>
        <w:t xml:space="preserve">The narrow definition of the artist merchandising market (apparel, accessories, posters, collectibles, excluding physical music) was valued at approximately</w:t>
      </w:r>
      <w:r>
        <w:t xml:space="preserve"> </w:t>
      </w:r>
      <w:r>
        <w:rPr>
          <w:bCs/>
          <w:b/>
        </w:rPr>
        <w:t xml:space="preserve">$6.8 billion in 2025</w:t>
      </w:r>
      <w:r>
        <w:t xml:space="preserve">, with projections reaching</w:t>
      </w:r>
      <w:r>
        <w:t xml:space="preserve"> </w:t>
      </w:r>
      <w:r>
        <w:rPr>
          <w:bCs/>
          <w:b/>
        </w:rPr>
        <w:t xml:space="preserve">$13.4 billion by 2034</w:t>
      </w:r>
      <w:r>
        <w:t xml:space="preserve"> </w:t>
      </w:r>
      <w:r>
        <w:t xml:space="preserve">at a 7.8% CAGR. An alternative estimate from MarketIntelo places the 2024 figure at $6.1 billion — the ~10% discrepancy likely reflects different definitional boundaries regarding whether licensing, VIP experiences, and fan club subscriptions are included.</w:t>
      </w:r>
    </w:p>
    <w:p>
      <w:pPr>
        <w:pStyle w:val="BodyText"/>
      </w:pPr>
      <w:r>
        <w:t xml:space="preserve">When physical music formats are included (particularly vinyl records, which function as collectible merchandise), the market expands significantly. MIDiA Research estimates a broader market of</w:t>
      </w:r>
      <w:r>
        <w:t xml:space="preserve"> </w:t>
      </w:r>
      <w:r>
        <w:rPr>
          <w:bCs/>
          <w:b/>
        </w:rPr>
        <w:t xml:space="preserve">$13.4 billion in 2023</w:t>
      </w:r>
      <w:r>
        <w:t xml:space="preserve">, forecasting</w:t>
      </w:r>
      <w:r>
        <w:t xml:space="preserve"> </w:t>
      </w:r>
      <w:r>
        <w:rPr>
          <w:bCs/>
          <w:b/>
        </w:rPr>
        <w:t xml:space="preserve">$16.3 billion by 2030</w:t>
      </w:r>
      <w:r>
        <w:t xml:space="preserve">. The $6 billion delta between narrow and broad definitions is explained by physical music purchases — vinyl and CDs — which many consumers buy as collectible merchandise rather than for playback.</w:t>
      </w:r>
    </w:p>
    <w:bookmarkEnd w:id="31"/>
    <w:bookmarkStart w:id="32" w:name="growth-drivers-ranked-by-impact"/>
    <w:p>
      <w:pPr>
        <w:pStyle w:val="Heading3"/>
      </w:pPr>
      <w:r>
        <w:t xml:space="preserve">2.2 Growth Drivers Ranked by Impact</w:t>
      </w:r>
    </w:p>
    <w:p>
      <w:pPr>
        <w:pStyle w:val="FirstParagraph"/>
      </w:pPr>
      <w:r>
        <w:t xml:space="preserve">Through multi-dimensional analysis, the following growth drivers have been identified and ranked by their measurable impact on market expansion:</w:t>
      </w:r>
    </w:p>
    <w:p>
      <w:pPr>
        <w:pStyle w:val="BodyText"/>
      </w:pPr>
      <w:r>
        <w:rPr>
          <w:bCs/>
          <w:b/>
        </w:rPr>
        <w:t xml:space="preserve">1. Live Event Recovery and Touring Supercycle ($19 billion Live Nation revenue)</w:t>
      </w:r>
      <w:r>
        <w:t xml:space="preserve"> </w:t>
      </w:r>
      <w:r>
        <w:t xml:space="preserve">The post-pandemic recovery of live entertainment has been the single most impactful driver. Global live music revenue surpassed</w:t>
      </w:r>
      <w:r>
        <w:t xml:space="preserve"> </w:t>
      </w:r>
      <w:r>
        <w:rPr>
          <w:bCs/>
          <w:b/>
        </w:rPr>
        <w:t xml:space="preserve">$30 billion in 2024</w:t>
      </w:r>
      <w:r>
        <w:t xml:space="preserve">, with on-site merchandise sales representing an increasingly material share of total concert economics. Live Nation reported</w:t>
      </w:r>
      <w:r>
        <w:t xml:space="preserve"> </w:t>
      </w:r>
      <w:r>
        <w:rPr>
          <w:bCs/>
          <w:b/>
        </w:rPr>
        <w:t xml:space="preserve">159 million fans</w:t>
      </w:r>
      <w:r>
        <w:t xml:space="preserve"> </w:t>
      </w:r>
      <w:r>
        <w:t xml:space="preserve">attended events in 2025 across 55,000+ shows. The top 100 worldwide tours grossed a record</w:t>
      </w:r>
      <w:r>
        <w:t xml:space="preserve"> </w:t>
      </w:r>
      <w:r>
        <w:rPr>
          <w:bCs/>
          <w:b/>
        </w:rPr>
        <w:t xml:space="preserve">$9.5 billion in 2024</w:t>
      </w:r>
      <w:r>
        <w:t xml:space="preserve">, up 3.6% from 2023.</w:t>
      </w:r>
    </w:p>
    <w:p>
      <w:pPr>
        <w:pStyle w:val="BodyText"/>
      </w:pPr>
      <w:r>
        <w:rPr>
          <w:bCs/>
          <w:b/>
        </w:rPr>
        <w:t xml:space="preserve">2. D2C E-Commerce Acceleration (41.3% of distribution)</w:t>
      </w:r>
      <w:r>
        <w:t xml:space="preserve"> </w:t>
      </w:r>
      <w:r>
        <w:t xml:space="preserve">Online stores now represent the single largest distribution channel, capturing $2.81 billion or 41.3% of total market revenue. The transition to D2C has fundamentally improved artist economics: by eliminating wholesale and retail markups, artists operating direct webstores typically retain</w:t>
      </w:r>
      <w:r>
        <w:t xml:space="preserve"> </w:t>
      </w:r>
      <w:r>
        <w:rPr>
          <w:bCs/>
          <w:b/>
        </w:rPr>
        <w:t xml:space="preserve">60-75% of revenue per unit</w:t>
      </w:r>
      <w:r>
        <w:t xml:space="preserve"> </w:t>
      </w:r>
      <w:r>
        <w:t xml:space="preserve">compared to 15-30% in traditional retail arrangements.</w:t>
      </w:r>
    </w:p>
    <w:p>
      <w:pPr>
        <w:pStyle w:val="BodyText"/>
      </w:pPr>
      <w:r>
        <w:rPr>
          <w:bCs/>
          <w:b/>
        </w:rPr>
        <w:t xml:space="preserve">3. Social Commerce Inflection ($66 billion TikTok Shop GMV)</w:t>
      </w:r>
      <w:r>
        <w:t xml:space="preserve"> </w:t>
      </w:r>
      <w:r>
        <w:t xml:space="preserve">TikTok Shop alone posted an estimated</w:t>
      </w:r>
      <w:r>
        <w:t xml:space="preserve"> </w:t>
      </w:r>
      <w:r>
        <w:rPr>
          <w:bCs/>
          <w:b/>
        </w:rPr>
        <w:t xml:space="preserve">$33.2 billion GMV in 2024</w:t>
      </w:r>
      <w:r>
        <w:t xml:space="preserve">, projected to reach</w:t>
      </w:r>
      <w:r>
        <w:t xml:space="preserve"> </w:t>
      </w:r>
      <w:r>
        <w:rPr>
          <w:bCs/>
          <w:b/>
        </w:rPr>
        <w:t xml:space="preserve">$66 billion in 2025</w:t>
      </w:r>
      <w:r>
        <w:t xml:space="preserve">. US social commerce is tracking toward</w:t>
      </w:r>
      <w:r>
        <w:t xml:space="preserve"> </w:t>
      </w:r>
      <w:r>
        <w:rPr>
          <w:bCs/>
          <w:b/>
        </w:rPr>
        <w:t xml:space="preserve">$80 billion in 2025</w:t>
      </w:r>
      <w:r>
        <w:t xml:space="preserve">. The 5-8% in-app conversion rates significantly outperform traditional e-commerce’s 2-4%, making social commerce the highest-ROI discovery channel for creator merch.</w:t>
      </w:r>
    </w:p>
    <w:p>
      <w:pPr>
        <w:pStyle w:val="BodyText"/>
      </w:pPr>
      <w:r>
        <w:rPr>
          <w:bCs/>
          <w:b/>
        </w:rPr>
        <w:t xml:space="preserve">4. Vinyl Renaissance ($1.4 billion US revenue, 18th consecutive growth year)</w:t>
      </w:r>
      <w:r>
        <w:t xml:space="preserve"> </w:t>
      </w:r>
      <w:r>
        <w:t xml:space="preserve">Vinyl revenue surpassed</w:t>
      </w:r>
      <w:r>
        <w:t xml:space="preserve"> </w:t>
      </w:r>
      <w:r>
        <w:rPr>
          <w:bCs/>
          <w:b/>
        </w:rPr>
        <w:t xml:space="preserve">$1 billion in the United States in 2025</w:t>
      </w:r>
      <w:r>
        <w:t xml:space="preserve"> </w:t>
      </w:r>
      <w:r>
        <w:t xml:space="preserve">(RIAA), with units rising to</w:t>
      </w:r>
      <w:r>
        <w:t xml:space="preserve"> </w:t>
      </w:r>
      <w:r>
        <w:rPr>
          <w:bCs/>
          <w:b/>
        </w:rPr>
        <w:t xml:space="preserve">46.8 million</w:t>
      </w:r>
      <w:r>
        <w:t xml:space="preserve"> </w:t>
      </w:r>
      <w:r>
        <w:t xml:space="preserve">(up 9.3% YoY). The average price of a mint vinyl record grew 24% to $37.22 from 2020 to 2025, yet demand remains robust. Physical music buyers are</w:t>
      </w:r>
      <w:r>
        <w:t xml:space="preserve"> </w:t>
      </w:r>
      <w:r>
        <w:rPr>
          <w:bCs/>
          <w:b/>
        </w:rPr>
        <w:t xml:space="preserve">128% more likely to be music superfans</w:t>
      </w:r>
      <w:r>
        <w:t xml:space="preserve">, making vinyl both a revenue stream and a fan engagement tool.</w:t>
      </w:r>
    </w:p>
    <w:p>
      <w:pPr>
        <w:pStyle w:val="BodyText"/>
      </w:pPr>
      <w:r>
        <w:rPr>
          <w:bCs/>
          <w:b/>
        </w:rPr>
        <w:t xml:space="preserve">5. K-Pop Global Merchandise Engine ($760 million combined Big 4 revenue)</w:t>
      </w:r>
      <w:r>
        <w:t xml:space="preserve"> </w:t>
      </w:r>
      <w:r>
        <w:t xml:space="preserve">K-pop’s merchandise model — built on multi-version albums, photocard collectibles, light sticks, and superfan platforms — generates per-head spending</w:t>
      </w:r>
      <w:r>
        <w:t xml:space="preserve"> </w:t>
      </w:r>
      <w:r>
        <w:rPr>
          <w:bCs/>
          <w:b/>
        </w:rPr>
        <w:t xml:space="preserve">5x above the industry average</w:t>
      </w:r>
      <w:r>
        <w:t xml:space="preserve">. The model is being partially adopted by Western artists (Taylor Swift’s 30+ album variants, Ariana Grande joining Weverse).</w:t>
      </w:r>
    </w:p>
    <w:bookmarkEnd w:id="32"/>
    <w:bookmarkStart w:id="33" w:name="tamsamsom-analysis"/>
    <w:p>
      <w:pPr>
        <w:pStyle w:val="Heading3"/>
      </w:pPr>
      <w:r>
        <w:t xml:space="preserve">2.3 TAM/SAM/SOM Analysis</w:t>
      </w:r>
    </w:p>
    <w:tbl>
      <w:tblPr>
        <w:tblStyle w:val="Table"/>
        <w:tblW w:type="pct" w:w="5000"/>
        <w:tblLook w:firstRow="1" w:lastRow="0" w:firstColumn="0" w:lastColumn="0" w:noHBand="0" w:noVBand="0" w:val="0020"/>
      </w:tblPr>
      <w:tblGrid>
        <w:gridCol w:w="1788"/>
        <w:gridCol w:w="2810"/>
        <w:gridCol w:w="3321"/>
      </w:tblGrid>
      <w:tr>
        <w:trPr>
          <w:tblHeader w:val="true"/>
        </w:trPr>
        <w:tc>
          <w:tcPr/>
          <w:p>
            <w:pPr>
              <w:pStyle w:val="Compact"/>
              <w:jc w:val="left"/>
            </w:pPr>
            <w:r>
              <w:t xml:space="preserve">Level</w:t>
            </w:r>
          </w:p>
        </w:tc>
        <w:tc>
          <w:tcPr/>
          <w:p>
            <w:pPr>
              <w:pStyle w:val="Compact"/>
              <w:jc w:val="left"/>
            </w:pPr>
            <w:r>
              <w:t xml:space="preserve">Definition</w:t>
            </w:r>
          </w:p>
        </w:tc>
        <w:tc>
          <w:tcPr/>
          <w:p>
            <w:pPr>
              <w:pStyle w:val="Compact"/>
              <w:jc w:val="left"/>
            </w:pPr>
            <w:r>
              <w:t xml:space="preserve">Size (2025)</w:t>
            </w:r>
          </w:p>
        </w:tc>
      </w:tr>
      <w:tr>
        <w:tc>
          <w:tcPr/>
          <w:p>
            <w:pPr>
              <w:pStyle w:val="Compact"/>
              <w:jc w:val="left"/>
            </w:pPr>
            <w:r>
              <w:rPr>
                <w:bCs/>
                <w:b/>
              </w:rPr>
              <w:t xml:space="preserve">TAM</w:t>
            </w:r>
            <w:r>
              <w:t xml:space="preserve"> </w:t>
            </w:r>
            <w:r>
              <w:t xml:space="preserve">(Total Addressable Market)</w:t>
            </w:r>
          </w:p>
        </w:tc>
        <w:tc>
          <w:tcPr/>
          <w:p>
            <w:pPr>
              <w:pStyle w:val="Compact"/>
              <w:jc w:val="left"/>
            </w:pPr>
            <w:r>
              <w:t xml:space="preserve">Licensed merchandise globally (sports, fashion, corporate, entertainment)</w:t>
            </w:r>
          </w:p>
        </w:tc>
        <w:tc>
          <w:tcPr/>
          <w:p>
            <w:pPr>
              <w:pStyle w:val="Compact"/>
              <w:jc w:val="left"/>
            </w:pPr>
            <w:r>
              <w:t xml:space="preserve">$351.2 billion</w:t>
            </w:r>
          </w:p>
        </w:tc>
      </w:tr>
      <w:tr>
        <w:tc>
          <w:tcPr/>
          <w:p>
            <w:pPr>
              <w:pStyle w:val="Compact"/>
              <w:jc w:val="left"/>
            </w:pPr>
            <w:r>
              <w:rPr>
                <w:bCs/>
                <w:b/>
              </w:rPr>
              <w:t xml:space="preserve">SAM</w:t>
            </w:r>
            <w:r>
              <w:t xml:space="preserve"> </w:t>
            </w:r>
            <w:r>
              <w:t xml:space="preserve">(Serviceable Addressable Market)</w:t>
            </w:r>
          </w:p>
        </w:tc>
        <w:tc>
          <w:tcPr/>
          <w:p>
            <w:pPr>
              <w:pStyle w:val="Compact"/>
              <w:jc w:val="left"/>
            </w:pPr>
            <w:r>
              <w:t xml:space="preserve">Entertainment + artist merch including physical music</w:t>
            </w:r>
          </w:p>
        </w:tc>
        <w:tc>
          <w:tcPr/>
          <w:p>
            <w:pPr>
              <w:pStyle w:val="Compact"/>
              <w:jc w:val="left"/>
            </w:pPr>
            <w:r>
              <w:t xml:space="preserve">$13.4 billion</w:t>
            </w:r>
          </w:p>
        </w:tc>
      </w:tr>
      <w:tr>
        <w:tc>
          <w:tcPr/>
          <w:p>
            <w:pPr>
              <w:pStyle w:val="Compact"/>
              <w:jc w:val="left"/>
            </w:pPr>
            <w:r>
              <w:rPr>
                <w:bCs/>
                <w:b/>
              </w:rPr>
              <w:t xml:space="preserve">SOM</w:t>
            </w:r>
            <w:r>
              <w:t xml:space="preserve"> </w:t>
            </w:r>
            <w:r>
              <w:t xml:space="preserve">(Serviceable Obtainable Market)</w:t>
            </w:r>
          </w:p>
        </w:tc>
        <w:tc>
          <w:tcPr/>
          <w:p>
            <w:pPr>
              <w:pStyle w:val="Compact"/>
              <w:jc w:val="left"/>
            </w:pPr>
            <w:r>
              <w:t xml:space="preserve">Captureable by major merch operators and platforms</w:t>
            </w:r>
          </w:p>
        </w:tc>
        <w:tc>
          <w:tcPr/>
          <w:p>
            <w:pPr>
              <w:pStyle w:val="Compact"/>
              <w:jc w:val="left"/>
            </w:pPr>
            <w:r>
              <w:t xml:space="preserve">$2-3 billion</w:t>
            </w:r>
          </w:p>
        </w:tc>
      </w:tr>
    </w:tbl>
    <w:p>
      <w:r>
        <w:pict>
          <v:rect style="width:0;height:1.5pt" o:hralign="center" o:hrstd="t" o:hr="t"/>
        </w:pict>
      </w:r>
    </w:p>
    <w:bookmarkEnd w:id="33"/>
    <w:bookmarkEnd w:id="34"/>
    <w:bookmarkStart w:id="44" w:name="market-segmentation"/>
    <w:p>
      <w:pPr>
        <w:pStyle w:val="Heading2"/>
      </w:pPr>
      <w:r>
        <w:t xml:space="preserve">3. Market Segmentation</w:t>
      </w:r>
    </w:p>
    <w:bookmarkStart w:id="38" w:name="by-product-type"/>
    <w:p>
      <w:pPr>
        <w:pStyle w:val="Heading3"/>
      </w:pPr>
      <w:r>
        <w:t xml:space="preserve">3.1 By Product Type</w:t>
      </w:r>
    </w:p>
    <w:p>
      <w:pPr>
        <w:pStyle w:val="CaptionedFigure"/>
      </w:pPr>
      <w:r>
        <w:drawing>
          <wp:inline>
            <wp:extent cx="5334000" cy="2391404"/>
            <wp:effectExtent b="0" l="0" r="0" t="0"/>
            <wp:docPr descr="Product Segments" title="" id="36" name="Picture"/>
            <a:graphic>
              <a:graphicData uri="http://schemas.openxmlformats.org/drawingml/2006/picture">
                <pic:pic>
                  <pic:nvPicPr>
                    <pic:cNvPr descr="/mnt/agents/output/charts/artist_merch_market_segments.png" id="37" name="Picture"/>
                    <pic:cNvPicPr>
                      <a:picLocks noChangeArrowheads="1" noChangeAspect="1"/>
                    </pic:cNvPicPr>
                  </pic:nvPicPr>
                  <pic:blipFill>
                    <a:blip r:embed="rId35"/>
                    <a:stretch>
                      <a:fillRect/>
                    </a:stretch>
                  </pic:blipFill>
                  <pic:spPr bwMode="auto">
                    <a:xfrm>
                      <a:off x="0" y="0"/>
                      <a:ext cx="5334000" cy="2391404"/>
                    </a:xfrm>
                    <a:prstGeom prst="rect">
                      <a:avLst/>
                    </a:prstGeom>
                    <a:noFill/>
                    <a:ln w="9525">
                      <a:noFill/>
                      <a:headEnd/>
                      <a:tailEnd/>
                    </a:ln>
                  </pic:spPr>
                </pic:pic>
              </a:graphicData>
            </a:graphic>
          </wp:inline>
        </w:drawing>
      </w:r>
    </w:p>
    <w:p>
      <w:pPr>
        <w:pStyle w:val="ImageCaption"/>
      </w:pPr>
      <w:r>
        <w:t xml:space="preserve">Product Segments</w:t>
      </w:r>
    </w:p>
    <w:tbl>
      <w:tblPr>
        <w:tblStyle w:val="Table"/>
        <w:tblW w:type="pct" w:w="5000"/>
        <w:tblLook w:firstRow="1" w:lastRow="0" w:firstColumn="0" w:lastColumn="0" w:noHBand="0" w:noVBand="0" w:val="0020"/>
      </w:tblPr>
      <w:tblGrid>
        <w:gridCol w:w="1149"/>
        <w:gridCol w:w="2682"/>
        <w:gridCol w:w="2427"/>
        <w:gridCol w:w="1660"/>
      </w:tblGrid>
      <w:tr>
        <w:trPr>
          <w:tblHeader w:val="true"/>
        </w:trPr>
        <w:tc>
          <w:tcPr/>
          <w:p>
            <w:pPr>
              <w:pStyle w:val="Compact"/>
              <w:jc w:val="left"/>
            </w:pPr>
            <w:r>
              <w:t xml:space="preserve">Segment</w:t>
            </w:r>
          </w:p>
        </w:tc>
        <w:tc>
          <w:tcPr/>
          <w:p>
            <w:pPr>
              <w:pStyle w:val="Compact"/>
              <w:jc w:val="left"/>
            </w:pPr>
            <w:r>
              <w:t xml:space="preserve">Market Share (2025)</w:t>
            </w:r>
          </w:p>
        </w:tc>
        <w:tc>
          <w:tcPr/>
          <w:p>
            <w:pPr>
              <w:pStyle w:val="Compact"/>
              <w:jc w:val="left"/>
            </w:pPr>
            <w:r>
              <w:t xml:space="preserve">CAGR (2026-2034)</w:t>
            </w:r>
          </w:p>
        </w:tc>
        <w:tc>
          <w:tcPr/>
          <w:p>
            <w:pPr>
              <w:pStyle w:val="Compact"/>
              <w:jc w:val="left"/>
            </w:pPr>
            <w:r>
              <w:t xml:space="preserve">Key Drivers</w:t>
            </w:r>
          </w:p>
        </w:tc>
      </w:tr>
      <w:tr>
        <w:tc>
          <w:tcPr/>
          <w:p>
            <w:pPr>
              <w:pStyle w:val="Compact"/>
              <w:jc w:val="left"/>
            </w:pPr>
            <w:r>
              <w:t xml:space="preserve">Apparel</w:t>
            </w:r>
          </w:p>
        </w:tc>
        <w:tc>
          <w:tcPr/>
          <w:p>
            <w:pPr>
              <w:pStyle w:val="Compact"/>
              <w:jc w:val="left"/>
            </w:pPr>
            <w:r>
              <w:t xml:space="preserve">38.5%</w:t>
            </w:r>
          </w:p>
        </w:tc>
        <w:tc>
          <w:tcPr/>
          <w:p>
            <w:pPr>
              <w:pStyle w:val="Compact"/>
              <w:jc w:val="left"/>
            </w:pPr>
            <w:r>
              <w:t xml:space="preserve">6.9%</w:t>
            </w:r>
          </w:p>
        </w:tc>
        <w:tc>
          <w:tcPr/>
          <w:p>
            <w:pPr>
              <w:pStyle w:val="Compact"/>
              <w:jc w:val="left"/>
            </w:pPr>
            <w:r>
              <w:t xml:space="preserve">Fan identity culture, fashion collaborations</w:t>
            </w:r>
          </w:p>
        </w:tc>
      </w:tr>
      <w:tr>
        <w:tc>
          <w:tcPr/>
          <w:p>
            <w:pPr>
              <w:pStyle w:val="Compact"/>
              <w:jc w:val="left"/>
            </w:pPr>
            <w:r>
              <w:t xml:space="preserve">Accessories</w:t>
            </w:r>
          </w:p>
        </w:tc>
        <w:tc>
          <w:tcPr/>
          <w:p>
            <w:pPr>
              <w:pStyle w:val="Compact"/>
              <w:jc w:val="left"/>
            </w:pPr>
            <w:r>
              <w:t xml:space="preserve">19.4%</w:t>
            </w:r>
          </w:p>
        </w:tc>
        <w:tc>
          <w:tcPr/>
          <w:p>
            <w:pPr>
              <w:pStyle w:val="Compact"/>
              <w:jc w:val="left"/>
            </w:pPr>
            <w:r>
              <w:t xml:space="preserve">7.4%</w:t>
            </w:r>
          </w:p>
        </w:tc>
        <w:tc>
          <w:tcPr/>
          <w:p>
            <w:pPr>
              <w:pStyle w:val="Compact"/>
              <w:jc w:val="left"/>
            </w:pPr>
            <w:r>
              <w:t xml:space="preserve">Lifestyle brand expansion, everyday wearability</w:t>
            </w:r>
          </w:p>
        </w:tc>
      </w:tr>
      <w:tr>
        <w:tc>
          <w:tcPr/>
          <w:p>
            <w:pPr>
              <w:pStyle w:val="Compact"/>
              <w:jc w:val="left"/>
            </w:pPr>
            <w:r>
              <w:t xml:space="preserve">Posters &amp; Prints</w:t>
            </w:r>
          </w:p>
        </w:tc>
        <w:tc>
          <w:tcPr/>
          <w:p>
            <w:pPr>
              <w:pStyle w:val="Compact"/>
              <w:jc w:val="left"/>
            </w:pPr>
            <w:r>
              <w:t xml:space="preserve">12.6%</w:t>
            </w:r>
          </w:p>
        </w:tc>
        <w:tc>
          <w:tcPr/>
          <w:p>
            <w:pPr>
              <w:pStyle w:val="Compact"/>
              <w:jc w:val="left"/>
            </w:pPr>
            <w:r>
              <w:t xml:space="preserve">Steady</w:t>
            </w:r>
          </w:p>
        </w:tc>
        <w:tc>
          <w:tcPr/>
          <w:p>
            <w:pPr>
              <w:pStyle w:val="Compact"/>
              <w:jc w:val="left"/>
            </w:pPr>
            <w:r>
              <w:t xml:space="preserve">Visual art collectibles, home décor trend</w:t>
            </w:r>
          </w:p>
        </w:tc>
      </w:tr>
      <w:tr>
        <w:tc>
          <w:tcPr/>
          <w:p>
            <w:pPr>
              <w:pStyle w:val="Compact"/>
              <w:jc w:val="left"/>
            </w:pPr>
            <w:r>
              <w:t xml:space="preserve">Music &amp; Media</w:t>
            </w:r>
          </w:p>
        </w:tc>
        <w:tc>
          <w:tcPr/>
          <w:p>
            <w:pPr>
              <w:pStyle w:val="Compact"/>
              <w:jc w:val="left"/>
            </w:pPr>
            <w:r>
              <w:t xml:space="preserve">11.8%</w:t>
            </w:r>
          </w:p>
        </w:tc>
        <w:tc>
          <w:tcPr/>
          <w:p>
            <w:pPr>
              <w:pStyle w:val="Compact"/>
              <w:jc w:val="left"/>
            </w:pPr>
            <w:r>
              <w:t xml:space="preserve">8.6%</w:t>
            </w:r>
          </w:p>
        </w:tc>
        <w:tc>
          <w:tcPr/>
          <w:p>
            <w:pPr>
              <w:pStyle w:val="Compact"/>
              <w:jc w:val="left"/>
            </w:pPr>
            <w:r>
              <w:t xml:space="preserve">Vinyl renaissance, physical media nostalgia</w:t>
            </w:r>
          </w:p>
        </w:tc>
      </w:tr>
      <w:tr>
        <w:tc>
          <w:tcPr/>
          <w:p>
            <w:pPr>
              <w:pStyle w:val="Compact"/>
              <w:jc w:val="left"/>
            </w:pPr>
            <w:r>
              <w:t xml:space="preserve">Collectibles</w:t>
            </w:r>
          </w:p>
        </w:tc>
        <w:tc>
          <w:tcPr/>
          <w:p>
            <w:pPr>
              <w:pStyle w:val="Compact"/>
              <w:jc w:val="left"/>
            </w:pPr>
            <w:r>
              <w:t xml:space="preserve">9.2%</w:t>
            </w:r>
          </w:p>
        </w:tc>
        <w:tc>
          <w:tcPr/>
          <w:p>
            <w:pPr>
              <w:pStyle w:val="Compact"/>
              <w:jc w:val="left"/>
            </w:pPr>
            <w:r>
              <w:rPr>
                <w:bCs/>
                <w:b/>
              </w:rPr>
              <w:t xml:space="preserve">11.3%</w:t>
            </w:r>
            <w:r>
              <w:t xml:space="preserve"> </w:t>
            </w:r>
            <w:r>
              <w:t xml:space="preserve">(fastest)</w:t>
            </w:r>
          </w:p>
        </w:tc>
        <w:tc>
          <w:tcPr/>
          <w:p>
            <w:pPr>
              <w:pStyle w:val="Compact"/>
              <w:jc w:val="left"/>
            </w:pPr>
            <w:r>
              <w:t xml:space="preserve">Limited-edition scarcity, resale economy</w:t>
            </w:r>
          </w:p>
        </w:tc>
      </w:tr>
      <w:tr>
        <w:tc>
          <w:tcPr/>
          <w:p>
            <w:pPr>
              <w:pStyle w:val="Compact"/>
              <w:jc w:val="left"/>
            </w:pPr>
            <w:r>
              <w:t xml:space="preserve">Others</w:t>
            </w:r>
          </w:p>
        </w:tc>
        <w:tc>
          <w:tcPr/>
          <w:p>
            <w:pPr>
              <w:pStyle w:val="Compact"/>
              <w:jc w:val="left"/>
            </w:pPr>
            <w:r>
              <w:t xml:space="preserve">8.5%</w:t>
            </w:r>
          </w:p>
        </w:tc>
        <w:tc>
          <w:tcPr/>
          <w:p>
            <w:pPr>
              <w:pStyle w:val="Compact"/>
              <w:jc w:val="left"/>
            </w:pPr>
            <w:r>
              <w:t xml:space="preserve">—</w:t>
            </w:r>
          </w:p>
        </w:tc>
        <w:tc>
          <w:tcPr/>
          <w:p>
            <w:pPr>
              <w:pStyle w:val="Compact"/>
              <w:jc w:val="left"/>
            </w:pPr>
            <w:r>
              <w:t xml:space="preserve">Digital goods, experiences, specialty items</w:t>
            </w:r>
          </w:p>
        </w:tc>
      </w:tr>
    </w:tbl>
    <w:p>
      <w:pPr>
        <w:pStyle w:val="BodyText"/>
      </w:pPr>
      <w:r>
        <w:rPr>
          <w:bCs/>
          <w:b/>
        </w:rPr>
        <w:t xml:space="preserve">Collectibles</w:t>
      </w:r>
      <w:r>
        <w:t xml:space="preserve"> </w:t>
      </w:r>
      <w:r>
        <w:t xml:space="preserve">represent the fastest-growing sub-category at 11.3% CAGR, driven by limited-edition scarcity strategies and the broader collectibles economy. K-pop photocards, for example, sell for</w:t>
      </w:r>
      <w:r>
        <w:t xml:space="preserve"> </w:t>
      </w:r>
      <w:r>
        <w:rPr>
          <w:bCs/>
          <w:b/>
        </w:rPr>
        <w:t xml:space="preserve">$1,500-$3,000+</w:t>
      </w:r>
      <w:r>
        <w:t xml:space="preserve"> </w:t>
      </w:r>
      <w:r>
        <w:t xml:space="preserve">on secondary markets. Some fashion drops sell out in as little as 16 seconds, creating immediate secondary markets where prices can triple within hours.</w:t>
      </w:r>
    </w:p>
    <w:bookmarkEnd w:id="38"/>
    <w:bookmarkStart w:id="42" w:name="by-distribution-channel"/>
    <w:p>
      <w:pPr>
        <w:pStyle w:val="Heading3"/>
      </w:pPr>
      <w:r>
        <w:t xml:space="preserve">3.2 By Distribution Channel</w:t>
      </w:r>
    </w:p>
    <w:p>
      <w:pPr>
        <w:pStyle w:val="CaptionedFigure"/>
      </w:pPr>
      <w:r>
        <w:drawing>
          <wp:inline>
            <wp:extent cx="5334000" cy="2484378"/>
            <wp:effectExtent b="0" l="0" r="0" t="0"/>
            <wp:docPr descr="Distribution Channels" title="" id="40" name="Picture"/>
            <a:graphic>
              <a:graphicData uri="http://schemas.openxmlformats.org/drawingml/2006/picture">
                <pic:pic>
                  <pic:nvPicPr>
                    <pic:cNvPr descr="/mnt/agents/output/charts/distribution_enduser.png" id="41" name="Picture"/>
                    <pic:cNvPicPr>
                      <a:picLocks noChangeArrowheads="1" noChangeAspect="1"/>
                    </pic:cNvPicPr>
                  </pic:nvPicPr>
                  <pic:blipFill>
                    <a:blip r:embed="rId39"/>
                    <a:stretch>
                      <a:fillRect/>
                    </a:stretch>
                  </pic:blipFill>
                  <pic:spPr bwMode="auto">
                    <a:xfrm>
                      <a:off x="0" y="0"/>
                      <a:ext cx="5334000" cy="2484378"/>
                    </a:xfrm>
                    <a:prstGeom prst="rect">
                      <a:avLst/>
                    </a:prstGeom>
                    <a:noFill/>
                    <a:ln w="9525">
                      <a:noFill/>
                      <a:headEnd/>
                      <a:tailEnd/>
                    </a:ln>
                  </pic:spPr>
                </pic:pic>
              </a:graphicData>
            </a:graphic>
          </wp:inline>
        </w:drawing>
      </w:r>
    </w:p>
    <w:p>
      <w:pPr>
        <w:pStyle w:val="ImageCaption"/>
      </w:pPr>
      <w:r>
        <w:t xml:space="preserve">Distribution Channels</w:t>
      </w:r>
    </w:p>
    <w:tbl>
      <w:tblPr>
        <w:tblStyle w:val="Table"/>
        <w:tblW w:type="pct" w:w="5000"/>
        <w:tblLook w:firstRow="1" w:lastRow="0" w:firstColumn="0" w:lastColumn="0" w:noHBand="0" w:noVBand="0" w:val="0020"/>
      </w:tblPr>
      <w:tblGrid>
        <w:gridCol w:w="950"/>
        <w:gridCol w:w="1372"/>
        <w:gridCol w:w="1795"/>
        <w:gridCol w:w="1584"/>
        <w:gridCol w:w="2217"/>
      </w:tblGrid>
      <w:tr>
        <w:trPr>
          <w:tblHeader w:val="true"/>
        </w:trPr>
        <w:tc>
          <w:tcPr/>
          <w:p>
            <w:pPr>
              <w:pStyle w:val="Compact"/>
              <w:jc w:val="left"/>
            </w:pPr>
            <w:r>
              <w:t xml:space="preserve">Channel</w:t>
            </w:r>
          </w:p>
        </w:tc>
        <w:tc>
          <w:tcPr/>
          <w:p>
            <w:pPr>
              <w:pStyle w:val="Compact"/>
              <w:jc w:val="left"/>
            </w:pPr>
            <w:r>
              <w:t xml:space="preserve">Share (2025)</w:t>
            </w:r>
          </w:p>
        </w:tc>
        <w:tc>
          <w:tcPr/>
          <w:p>
            <w:pPr>
              <w:pStyle w:val="Compact"/>
              <w:jc w:val="left"/>
            </w:pPr>
            <w:r>
              <w:t xml:space="preserve">Avg Transaction</w:t>
            </w:r>
          </w:p>
        </w:tc>
        <w:tc>
          <w:tcPr/>
          <w:p>
            <w:pPr>
              <w:pStyle w:val="Compact"/>
              <w:jc w:val="left"/>
            </w:pPr>
            <w:r>
              <w:t xml:space="preserve">Artist Margin</w:t>
            </w:r>
          </w:p>
        </w:tc>
        <w:tc>
          <w:tcPr/>
          <w:p>
            <w:pPr>
              <w:pStyle w:val="Compact"/>
              <w:jc w:val="left"/>
            </w:pPr>
            <w:r>
              <w:t xml:space="preserve">Key Characteristics</w:t>
            </w:r>
          </w:p>
        </w:tc>
      </w:tr>
      <w:tr>
        <w:tc>
          <w:tcPr/>
          <w:p>
            <w:pPr>
              <w:pStyle w:val="Compact"/>
              <w:jc w:val="left"/>
            </w:pPr>
            <w:r>
              <w:t xml:space="preserve">Online Stores</w:t>
            </w:r>
          </w:p>
        </w:tc>
        <w:tc>
          <w:tcPr/>
          <w:p>
            <w:pPr>
              <w:pStyle w:val="Compact"/>
              <w:jc w:val="left"/>
            </w:pPr>
            <w:r>
              <w:t xml:space="preserve">41.3%</w:t>
            </w:r>
          </w:p>
        </w:tc>
        <w:tc>
          <w:tcPr/>
          <w:p>
            <w:pPr>
              <w:pStyle w:val="Compact"/>
              <w:jc w:val="left"/>
            </w:pPr>
            <w:r>
              <w:t xml:space="preserve">$35-45</w:t>
            </w:r>
          </w:p>
        </w:tc>
        <w:tc>
          <w:tcPr/>
          <w:p>
            <w:pPr>
              <w:pStyle w:val="Compact"/>
              <w:jc w:val="left"/>
            </w:pPr>
            <w:r>
              <w:t xml:space="preserve">60-75%</w:t>
            </w:r>
          </w:p>
        </w:tc>
        <w:tc>
          <w:tcPr/>
          <w:p>
            <w:pPr>
              <w:pStyle w:val="Compact"/>
              <w:jc w:val="left"/>
            </w:pPr>
            <w:r>
              <w:t xml:space="preserve">Largest channel, year-round, global reach</w:t>
            </w:r>
          </w:p>
        </w:tc>
      </w:tr>
      <w:tr>
        <w:tc>
          <w:tcPr/>
          <w:p>
            <w:pPr>
              <w:pStyle w:val="Compact"/>
              <w:jc w:val="left"/>
            </w:pPr>
            <w:r>
              <w:t xml:space="preserve">Concerts &amp; Events</w:t>
            </w:r>
          </w:p>
        </w:tc>
        <w:tc>
          <w:tcPr/>
          <w:p>
            <w:pPr>
              <w:pStyle w:val="Compact"/>
              <w:jc w:val="left"/>
            </w:pPr>
            <w:r>
              <w:t xml:space="preserve">29.6%</w:t>
            </w:r>
          </w:p>
        </w:tc>
        <w:tc>
          <w:tcPr/>
          <w:p>
            <w:pPr>
              <w:pStyle w:val="Compact"/>
              <w:jc w:val="left"/>
            </w:pPr>
            <w:r>
              <w:t xml:space="preserve">$42-55</w:t>
            </w:r>
          </w:p>
        </w:tc>
        <w:tc>
          <w:tcPr/>
          <w:p>
            <w:pPr>
              <w:pStyle w:val="Compact"/>
              <w:jc w:val="left"/>
            </w:pPr>
            <w:r>
              <w:t xml:space="preserve">Varies by deal</w:t>
            </w:r>
          </w:p>
        </w:tc>
        <w:tc>
          <w:tcPr/>
          <w:p>
            <w:pPr>
              <w:pStyle w:val="Compact"/>
              <w:jc w:val="left"/>
            </w:pPr>
            <w:r>
              <w:t xml:space="preserve">Highest conversion, emotionally charged</w:t>
            </w:r>
          </w:p>
        </w:tc>
      </w:tr>
      <w:tr>
        <w:tc>
          <w:tcPr/>
          <w:p>
            <w:pPr>
              <w:pStyle w:val="Compact"/>
              <w:jc w:val="left"/>
            </w:pPr>
            <w:r>
              <w:t xml:space="preserve">Physical Retail</w:t>
            </w:r>
          </w:p>
        </w:tc>
        <w:tc>
          <w:tcPr/>
          <w:p>
            <w:pPr>
              <w:pStyle w:val="Compact"/>
              <w:jc w:val="left"/>
            </w:pPr>
            <w:r>
              <w:t xml:space="preserve">22.8%</w:t>
            </w:r>
          </w:p>
        </w:tc>
        <w:tc>
          <w:tcPr/>
          <w:p>
            <w:pPr>
              <w:pStyle w:val="Compact"/>
              <w:jc w:val="left"/>
            </w:pPr>
            <w:r>
              <w:t xml:space="preserve">$30-40</w:t>
            </w:r>
          </w:p>
        </w:tc>
        <w:tc>
          <w:tcPr/>
          <w:p>
            <w:pPr>
              <w:pStyle w:val="Compact"/>
              <w:jc w:val="left"/>
            </w:pPr>
            <w:r>
              <w:t xml:space="preserve">15-30%</w:t>
            </w:r>
          </w:p>
        </w:tc>
        <w:tc>
          <w:tcPr/>
          <w:p>
            <w:pPr>
              <w:pStyle w:val="Compact"/>
              <w:jc w:val="left"/>
            </w:pPr>
            <w:r>
              <w:t xml:space="preserve">Declining but relevant for major artists</w:t>
            </w:r>
          </w:p>
        </w:tc>
      </w:tr>
      <w:tr>
        <w:tc>
          <w:tcPr/>
          <w:p>
            <w:pPr>
              <w:pStyle w:val="Compact"/>
              <w:jc w:val="left"/>
            </w:pPr>
            <w:r>
              <w:t xml:space="preserve">Others</w:t>
            </w:r>
          </w:p>
        </w:tc>
        <w:tc>
          <w:tcPr/>
          <w:p>
            <w:pPr>
              <w:pStyle w:val="Compact"/>
              <w:jc w:val="left"/>
            </w:pPr>
            <w:r>
              <w:t xml:space="preserve">6.3%</w:t>
            </w:r>
          </w:p>
        </w:tc>
        <w:tc>
          <w:tcPr/>
          <w:p>
            <w:pPr>
              <w:pStyle w:val="Compact"/>
              <w:jc w:val="left"/>
            </w:pPr>
            <w:r>
              <w:t xml:space="preserve">—</w:t>
            </w:r>
          </w:p>
        </w:tc>
        <w:tc>
          <w:tcPr/>
          <w:p>
            <w:pPr>
              <w:pStyle w:val="Compact"/>
              <w:jc w:val="left"/>
            </w:pPr>
            <w:r>
              <w:t xml:space="preserve">—</w:t>
            </w:r>
          </w:p>
        </w:tc>
        <w:tc>
          <w:tcPr/>
          <w:p>
            <w:pPr>
              <w:pStyle w:val="Compact"/>
              <w:jc w:val="left"/>
            </w:pPr>
            <w:r>
              <w:t xml:space="preserve">Catalog, licensed retail, airports</w:t>
            </w:r>
          </w:p>
        </w:tc>
      </w:tr>
    </w:tbl>
    <w:p>
      <w:pPr>
        <w:pStyle w:val="BodyText"/>
      </w:pPr>
      <w:r>
        <w:t xml:space="preserve">The shift toward online channels has accelerated structural improvements in merchandising economics. Artists can leverage customer data from digital transactions to enable sophisticated personalization strategies, targeting fans with products aligned with their specific genre preferences, purchase history, and geographic location.</w:t>
      </w:r>
    </w:p>
    <w:bookmarkEnd w:id="42"/>
    <w:bookmarkStart w:id="43" w:name="by-end-user-segment"/>
    <w:p>
      <w:pPr>
        <w:pStyle w:val="Heading3"/>
      </w:pPr>
      <w:r>
        <w:t xml:space="preserve">3.3 By End User Segment</w:t>
      </w:r>
    </w:p>
    <w:tbl>
      <w:tblPr>
        <w:tblStyle w:val="Table"/>
        <w:tblW w:type="pct" w:w="5000"/>
        <w:tblLook w:firstRow="1" w:lastRow="0" w:firstColumn="0" w:lastColumn="0" w:noHBand="0" w:noVBand="0" w:val="0020"/>
      </w:tblPr>
      <w:tblGrid>
        <w:gridCol w:w="1875"/>
        <w:gridCol w:w="2709"/>
        <w:gridCol w:w="1875"/>
        <w:gridCol w:w="1458"/>
      </w:tblGrid>
      <w:tr>
        <w:trPr>
          <w:tblHeader w:val="true"/>
        </w:trPr>
        <w:tc>
          <w:tcPr/>
          <w:p>
            <w:pPr>
              <w:pStyle w:val="Compact"/>
              <w:jc w:val="left"/>
            </w:pPr>
            <w:r>
              <w:t xml:space="preserve">Segment</w:t>
            </w:r>
          </w:p>
        </w:tc>
        <w:tc>
          <w:tcPr/>
          <w:p>
            <w:pPr>
              <w:pStyle w:val="Compact"/>
              <w:jc w:val="left"/>
            </w:pPr>
            <w:r>
              <w:t xml:space="preserve">Share (2025)</w:t>
            </w:r>
          </w:p>
        </w:tc>
        <w:tc>
          <w:tcPr/>
          <w:p>
            <w:pPr>
              <w:pStyle w:val="Compact"/>
              <w:jc w:val="left"/>
            </w:pPr>
            <w:r>
              <w:t xml:space="preserve">Revenue</w:t>
            </w:r>
          </w:p>
        </w:tc>
        <w:tc>
          <w:tcPr/>
          <w:p>
            <w:pPr>
              <w:pStyle w:val="Compact"/>
              <w:jc w:val="left"/>
            </w:pPr>
            <w:r>
              <w:t xml:space="preserve">Notes</w:t>
            </w:r>
          </w:p>
        </w:tc>
      </w:tr>
      <w:tr>
        <w:tc>
          <w:tcPr/>
          <w:p>
            <w:pPr>
              <w:pStyle w:val="Compact"/>
              <w:jc w:val="left"/>
            </w:pPr>
            <w:r>
              <w:rPr>
                <w:bCs/>
                <w:b/>
              </w:rPr>
              <w:t xml:space="preserve">Musicians</w:t>
            </w:r>
          </w:p>
        </w:tc>
        <w:tc>
          <w:tcPr/>
          <w:p>
            <w:pPr>
              <w:pStyle w:val="Compact"/>
              <w:jc w:val="left"/>
            </w:pPr>
            <w:r>
              <w:t xml:space="preserve">55.1%</w:t>
            </w:r>
          </w:p>
        </w:tc>
        <w:tc>
          <w:tcPr/>
          <w:p>
            <w:pPr>
              <w:pStyle w:val="Compact"/>
              <w:jc w:val="left"/>
            </w:pPr>
            <w:r>
              <w:t xml:space="preserve">$3.74B</w:t>
            </w:r>
          </w:p>
        </w:tc>
        <w:tc>
          <w:tcPr/>
          <w:p>
            <w:pPr>
              <w:pStyle w:val="Compact"/>
              <w:jc w:val="left"/>
            </w:pPr>
            <w:r>
              <w:t xml:space="preserve">Dominant; benefits from touring infrastructure</w:t>
            </w:r>
          </w:p>
        </w:tc>
      </w:tr>
      <w:tr>
        <w:tc>
          <w:tcPr/>
          <w:p>
            <w:pPr>
              <w:pStyle w:val="Compact"/>
              <w:jc w:val="left"/>
            </w:pPr>
            <w:r>
              <w:rPr>
                <w:bCs/>
                <w:b/>
              </w:rPr>
              <w:t xml:space="preserve">Performers</w:t>
            </w:r>
          </w:p>
        </w:tc>
        <w:tc>
          <w:tcPr/>
          <w:p>
            <w:pPr>
              <w:pStyle w:val="Compact"/>
              <w:jc w:val="left"/>
            </w:pPr>
            <w:r>
              <w:t xml:space="preserve">19.4%</w:t>
            </w:r>
          </w:p>
        </w:tc>
        <w:tc>
          <w:tcPr/>
          <w:p>
            <w:pPr>
              <w:pStyle w:val="Compact"/>
              <w:jc w:val="left"/>
            </w:pPr>
            <w:r>
              <w:t xml:space="preserve">$1.32B</w:t>
            </w:r>
          </w:p>
        </w:tc>
        <w:tc>
          <w:tcPr/>
          <w:p>
            <w:pPr>
              <w:pStyle w:val="Compact"/>
              <w:jc w:val="left"/>
            </w:pPr>
            <w:r>
              <w:t xml:space="preserve">Fastest-growing; actors, comedians, influencers</w:t>
            </w:r>
          </w:p>
        </w:tc>
      </w:tr>
      <w:tr>
        <w:tc>
          <w:tcPr/>
          <w:p>
            <w:pPr>
              <w:pStyle w:val="Compact"/>
              <w:jc w:val="left"/>
            </w:pPr>
            <w:r>
              <w:rPr>
                <w:bCs/>
                <w:b/>
              </w:rPr>
              <w:t xml:space="preserve">Visual Artists</w:t>
            </w:r>
          </w:p>
        </w:tc>
        <w:tc>
          <w:tcPr/>
          <w:p>
            <w:pPr>
              <w:pStyle w:val="Compact"/>
              <w:jc w:val="left"/>
            </w:pPr>
            <w:r>
              <w:t xml:space="preserve">16.7%</w:t>
            </w:r>
          </w:p>
        </w:tc>
        <w:tc>
          <w:tcPr/>
          <w:p>
            <w:pPr>
              <w:pStyle w:val="Compact"/>
              <w:jc w:val="left"/>
            </w:pPr>
            <w:r>
              <w:t xml:space="preserve">$1.14B</w:t>
            </w:r>
          </w:p>
        </w:tc>
        <w:tc>
          <w:tcPr/>
          <w:p>
            <w:pPr>
              <w:pStyle w:val="Compact"/>
              <w:jc w:val="left"/>
            </w:pPr>
            <w:r>
              <w:t xml:space="preserve">Prints, apparel, POD-enabled</w:t>
            </w:r>
          </w:p>
        </w:tc>
      </w:tr>
      <w:tr>
        <w:tc>
          <w:tcPr/>
          <w:p>
            <w:pPr>
              <w:pStyle w:val="Compact"/>
              <w:jc w:val="left"/>
            </w:pPr>
            <w:r>
              <w:rPr>
                <w:bCs/>
                <w:b/>
              </w:rPr>
              <w:t xml:space="preserve">Others</w:t>
            </w:r>
          </w:p>
        </w:tc>
        <w:tc>
          <w:tcPr/>
          <w:p>
            <w:pPr>
              <w:pStyle w:val="Compact"/>
              <w:jc w:val="left"/>
            </w:pPr>
            <w:r>
              <w:t xml:space="preserve">8.8%</w:t>
            </w:r>
          </w:p>
        </w:tc>
        <w:tc>
          <w:tcPr/>
          <w:p>
            <w:pPr>
              <w:pStyle w:val="Compact"/>
              <w:jc w:val="left"/>
            </w:pPr>
            <w:r>
              <w:t xml:space="preserve">$0.60B</w:t>
            </w:r>
          </w:p>
        </w:tc>
        <w:tc>
          <w:tcPr/>
          <w:p>
            <w:pPr>
              <w:pStyle w:val="Compact"/>
              <w:jc w:val="left"/>
            </w:pPr>
            <w:r>
              <w:t xml:space="preserve">Sports teams, franchises, entertainment IP</w:t>
            </w:r>
          </w:p>
        </w:tc>
      </w:tr>
    </w:tbl>
    <w:p>
      <w:r>
        <w:pict>
          <v:rect style="width:0;height:1.5pt" o:hralign="center" o:hrstd="t" o:hr="t"/>
        </w:pict>
      </w:r>
    </w:p>
    <w:bookmarkEnd w:id="43"/>
    <w:bookmarkEnd w:id="44"/>
    <w:bookmarkStart w:id="50" w:name="platform-ecosystem"/>
    <w:p>
      <w:pPr>
        <w:pStyle w:val="Heading2"/>
      </w:pPr>
      <w:r>
        <w:t xml:space="preserve">4. Platform Ecosystem</w:t>
      </w:r>
    </w:p>
    <w:bookmarkStart w:id="48" w:name="platform-comparison-matrix"/>
    <w:p>
      <w:pPr>
        <w:pStyle w:val="Heading3"/>
      </w:pPr>
      <w:r>
        <w:t xml:space="preserve">4.1 Platform Comparison Matrix</w:t>
      </w:r>
    </w:p>
    <w:p>
      <w:pPr>
        <w:pStyle w:val="CaptionedFigure"/>
      </w:pPr>
      <w:r>
        <w:drawing>
          <wp:inline>
            <wp:extent cx="5334000" cy="2298007"/>
            <wp:effectExtent b="0" l="0" r="0" t="0"/>
            <wp:docPr descr="Platform Fees" title="" id="46" name="Picture"/>
            <a:graphic>
              <a:graphicData uri="http://schemas.openxmlformats.org/drawingml/2006/picture">
                <pic:pic>
                  <pic:nvPicPr>
                    <pic:cNvPr descr="/mnt/agents/output/charts/platform_fees_merch_vs_streaming.png" id="47" name="Picture"/>
                    <pic:cNvPicPr>
                      <a:picLocks noChangeArrowheads="1" noChangeAspect="1"/>
                    </pic:cNvPicPr>
                  </pic:nvPicPr>
                  <pic:blipFill>
                    <a:blip r:embed="rId45"/>
                    <a:stretch>
                      <a:fillRect/>
                    </a:stretch>
                  </pic:blipFill>
                  <pic:spPr bwMode="auto">
                    <a:xfrm>
                      <a:off x="0" y="0"/>
                      <a:ext cx="5334000" cy="2298007"/>
                    </a:xfrm>
                    <a:prstGeom prst="rect">
                      <a:avLst/>
                    </a:prstGeom>
                    <a:noFill/>
                    <a:ln w="9525">
                      <a:noFill/>
                      <a:headEnd/>
                      <a:tailEnd/>
                    </a:ln>
                  </pic:spPr>
                </pic:pic>
              </a:graphicData>
            </a:graphic>
          </wp:inline>
        </w:drawing>
      </w:r>
    </w:p>
    <w:p>
      <w:pPr>
        <w:pStyle w:val="ImageCaption"/>
      </w:pPr>
      <w:r>
        <w:t xml:space="preserve">Platform Fees</w:t>
      </w:r>
    </w:p>
    <w:p>
      <w:pPr>
        <w:pStyle w:val="BodyText"/>
      </w:pPr>
      <w:r>
        <w:t xml:space="preserve">The creator merchandise platform ecosystem has undergone significant transformation, with a clear divergence between D2C-friendly platforms and high-fee marketplaces.</w:t>
      </w:r>
    </w:p>
    <w:tbl>
      <w:tblPr>
        <w:tblStyle w:val="Table"/>
        <w:tblW w:type="pct" w:w="5000"/>
        <w:tblLook w:firstRow="1" w:lastRow="0" w:firstColumn="0" w:lastColumn="0" w:noHBand="0" w:noVBand="0" w:val="0020"/>
      </w:tblPr>
      <w:tblGrid>
        <w:gridCol w:w="1342"/>
        <w:gridCol w:w="805"/>
        <w:gridCol w:w="2013"/>
        <w:gridCol w:w="2416"/>
        <w:gridCol w:w="1342"/>
      </w:tblGrid>
      <w:tr>
        <w:trPr>
          <w:tblHeader w:val="true"/>
        </w:trPr>
        <w:tc>
          <w:tcPr/>
          <w:p>
            <w:pPr>
              <w:pStyle w:val="Compact"/>
              <w:jc w:val="left"/>
            </w:pPr>
            <w:r>
              <w:t xml:space="preserve">Platform</w:t>
            </w:r>
          </w:p>
        </w:tc>
        <w:tc>
          <w:tcPr/>
          <w:p>
            <w:pPr>
              <w:pStyle w:val="Compact"/>
              <w:jc w:val="left"/>
            </w:pPr>
            <w:r>
              <w:t xml:space="preserve">Type</w:t>
            </w:r>
          </w:p>
        </w:tc>
        <w:tc>
          <w:tcPr/>
          <w:p>
            <w:pPr>
              <w:pStyle w:val="Compact"/>
              <w:jc w:val="left"/>
            </w:pPr>
            <w:r>
              <w:t xml:space="preserve">Fee Structure</w:t>
            </w:r>
          </w:p>
        </w:tc>
        <w:tc>
          <w:tcPr/>
          <w:p>
            <w:pPr>
              <w:pStyle w:val="Compact"/>
              <w:jc w:val="left"/>
            </w:pPr>
            <w:r>
              <w:t xml:space="preserve">Artist Retention</w:t>
            </w:r>
          </w:p>
        </w:tc>
        <w:tc>
          <w:tcPr/>
          <w:p>
            <w:pPr>
              <w:pStyle w:val="Compact"/>
              <w:jc w:val="left"/>
            </w:pPr>
            <w:r>
              <w:t xml:space="preserve">Best For</w:t>
            </w:r>
          </w:p>
        </w:tc>
      </w:tr>
      <w:tr>
        <w:tc>
          <w:tcPr/>
          <w:p>
            <w:pPr>
              <w:pStyle w:val="Compact"/>
              <w:jc w:val="left"/>
            </w:pPr>
            <w:r>
              <w:rPr>
                <w:bCs/>
                <w:b/>
              </w:rPr>
              <w:t xml:space="preserve">Fourthwall</w:t>
            </w:r>
          </w:p>
        </w:tc>
        <w:tc>
          <w:tcPr/>
          <w:p>
            <w:pPr>
              <w:pStyle w:val="Compact"/>
              <w:jc w:val="left"/>
            </w:pPr>
            <w:r>
              <w:t xml:space="preserve">Creator storefront</w:t>
            </w:r>
          </w:p>
        </w:tc>
        <w:tc>
          <w:tcPr/>
          <w:p>
            <w:pPr>
              <w:pStyle w:val="Compact"/>
              <w:jc w:val="left"/>
            </w:pPr>
            <w:r>
              <w:t xml:space="preserve">0% physical, 12% digital+processing</w:t>
            </w:r>
          </w:p>
        </w:tc>
        <w:tc>
          <w:tcPr/>
          <w:p>
            <w:pPr>
              <w:pStyle w:val="Compact"/>
              <w:jc w:val="left"/>
            </w:pPr>
            <w:r>
              <w:t xml:space="preserve">~88%</w:t>
            </w:r>
          </w:p>
        </w:tc>
        <w:tc>
          <w:tcPr/>
          <w:p>
            <w:pPr>
              <w:pStyle w:val="Compact"/>
              <w:jc w:val="left"/>
            </w:pPr>
            <w:r>
              <w:t xml:space="preserve">Premium creator brands, memberships</w:t>
            </w:r>
          </w:p>
        </w:tc>
      </w:tr>
      <w:tr>
        <w:tc>
          <w:tcPr/>
          <w:p>
            <w:pPr>
              <w:pStyle w:val="Compact"/>
              <w:jc w:val="left"/>
            </w:pPr>
            <w:r>
              <w:rPr>
                <w:bCs/>
                <w:b/>
              </w:rPr>
              <w:t xml:space="preserve">Bandcamp</w:t>
            </w:r>
          </w:p>
        </w:tc>
        <w:tc>
          <w:tcPr/>
          <w:p>
            <w:pPr>
              <w:pStyle w:val="Compact"/>
              <w:jc w:val="left"/>
            </w:pPr>
            <w:r>
              <w:t xml:space="preserve">Music-native D2C</w:t>
            </w:r>
          </w:p>
        </w:tc>
        <w:tc>
          <w:tcPr/>
          <w:p>
            <w:pPr>
              <w:pStyle w:val="Compact"/>
              <w:jc w:val="left"/>
            </w:pPr>
            <w:r>
              <w:t xml:space="preserve">10-15% + processing</w:t>
            </w:r>
          </w:p>
        </w:tc>
        <w:tc>
          <w:tcPr/>
          <w:p>
            <w:pPr>
              <w:pStyle w:val="Compact"/>
              <w:jc w:val="left"/>
            </w:pPr>
            <w:r>
              <w:t xml:space="preserve">~81-85%</w:t>
            </w:r>
          </w:p>
        </w:tc>
        <w:tc>
          <w:tcPr/>
          <w:p>
            <w:pPr>
              <w:pStyle w:val="Compact"/>
              <w:jc w:val="left"/>
            </w:pPr>
            <w:r>
              <w:t xml:space="preserve">Independent musicians, vinyl</w:t>
            </w:r>
          </w:p>
        </w:tc>
      </w:tr>
      <w:tr>
        <w:tc>
          <w:tcPr/>
          <w:p>
            <w:pPr>
              <w:pStyle w:val="Compact"/>
              <w:jc w:val="left"/>
            </w:pPr>
            <w:r>
              <w:rPr>
                <w:bCs/>
                <w:b/>
              </w:rPr>
              <w:t xml:space="preserve">Shopify</w:t>
            </w:r>
          </w:p>
        </w:tc>
        <w:tc>
          <w:tcPr/>
          <w:p>
            <w:pPr>
              <w:pStyle w:val="Compact"/>
              <w:jc w:val="left"/>
            </w:pPr>
            <w:r>
              <w:t xml:space="preserve">E-commerce infra</w:t>
            </w:r>
          </w:p>
        </w:tc>
        <w:tc>
          <w:tcPr/>
          <w:p>
            <w:pPr>
              <w:pStyle w:val="Compact"/>
              <w:jc w:val="left"/>
            </w:pPr>
            <w:r>
              <w:t xml:space="preserve">$39/mo + 2.9% + $0.30</w:t>
            </w:r>
          </w:p>
        </w:tc>
        <w:tc>
          <w:tcPr/>
          <w:p>
            <w:pPr>
              <w:pStyle w:val="Compact"/>
              <w:jc w:val="left"/>
            </w:pPr>
            <w:r>
              <w:t xml:space="preserve">~75%</w:t>
            </w:r>
          </w:p>
        </w:tc>
        <w:tc>
          <w:tcPr/>
          <w:p>
            <w:pPr>
              <w:pStyle w:val="Compact"/>
              <w:jc w:val="left"/>
            </w:pPr>
            <w:r>
              <w:t xml:space="preserve">High-volume, brand control</w:t>
            </w:r>
          </w:p>
        </w:tc>
      </w:tr>
      <w:tr>
        <w:tc>
          <w:tcPr/>
          <w:p>
            <w:pPr>
              <w:pStyle w:val="Compact"/>
              <w:jc w:val="left"/>
            </w:pPr>
            <w:r>
              <w:rPr>
                <w:bCs/>
                <w:b/>
              </w:rPr>
              <w:t xml:space="preserve">Etsy</w:t>
            </w:r>
          </w:p>
        </w:tc>
        <w:tc>
          <w:tcPr/>
          <w:p>
            <w:pPr>
              <w:pStyle w:val="Compact"/>
              <w:jc w:val="left"/>
            </w:pPr>
            <w:r>
              <w:t xml:space="preserve">Handmade marketplace</w:t>
            </w:r>
          </w:p>
        </w:tc>
        <w:tc>
          <w:tcPr/>
          <w:p>
            <w:pPr>
              <w:pStyle w:val="Compact"/>
              <w:jc w:val="left"/>
            </w:pPr>
            <w:r>
              <w:t xml:space="preserve">22.5% effective (listing + transaction)</w:t>
            </w:r>
          </w:p>
        </w:tc>
        <w:tc>
          <w:tcPr/>
          <w:p>
            <w:pPr>
              <w:pStyle w:val="Compact"/>
              <w:jc w:val="left"/>
            </w:pPr>
            <w:r>
              <w:t xml:space="preserve">~77%</w:t>
            </w:r>
          </w:p>
        </w:tc>
        <w:tc>
          <w:tcPr/>
          <w:p>
            <w:pPr>
              <w:pStyle w:val="Compact"/>
              <w:jc w:val="left"/>
            </w:pPr>
            <w:r>
              <w:t xml:space="preserve">Handmade, unique, visual art</w:t>
            </w:r>
          </w:p>
        </w:tc>
      </w:tr>
      <w:tr>
        <w:tc>
          <w:tcPr/>
          <w:p>
            <w:pPr>
              <w:pStyle w:val="Compact"/>
              <w:jc w:val="left"/>
            </w:pPr>
            <w:r>
              <w:rPr>
                <w:bCs/>
                <w:b/>
              </w:rPr>
              <w:t xml:space="preserve">Spring (Teespring)</w:t>
            </w:r>
          </w:p>
        </w:tc>
        <w:tc>
          <w:tcPr/>
          <w:p>
            <w:pPr>
              <w:pStyle w:val="Compact"/>
              <w:jc w:val="left"/>
            </w:pPr>
            <w:r>
              <w:t xml:space="preserve">Simple POD</w:t>
            </w:r>
          </w:p>
        </w:tc>
        <w:tc>
          <w:tcPr/>
          <w:p>
            <w:pPr>
              <w:pStyle w:val="Compact"/>
              <w:jc w:val="left"/>
            </w:pPr>
            <w:r>
              <w:t xml:space="preserve">Free, base cost + margin</w:t>
            </w:r>
          </w:p>
        </w:tc>
        <w:tc>
          <w:tcPr/>
          <w:p>
            <w:pPr>
              <w:pStyle w:val="Compact"/>
              <w:jc w:val="left"/>
            </w:pPr>
            <w:r>
              <w:t xml:space="preserve">~75%</w:t>
            </w:r>
          </w:p>
        </w:tc>
        <w:tc>
          <w:tcPr/>
          <w:p>
            <w:pPr>
              <w:pStyle w:val="Compact"/>
              <w:jc w:val="left"/>
            </w:pPr>
            <w:r>
              <w:t xml:space="preserve">Quick launch, social integration</w:t>
            </w:r>
          </w:p>
        </w:tc>
      </w:tr>
      <w:tr>
        <w:tc>
          <w:tcPr/>
          <w:p>
            <w:pPr>
              <w:pStyle w:val="Compact"/>
              <w:jc w:val="left"/>
            </w:pPr>
            <w:r>
              <w:rPr>
                <w:bCs/>
                <w:b/>
              </w:rPr>
              <w:t xml:space="preserve">Patreon</w:t>
            </w:r>
          </w:p>
        </w:tc>
        <w:tc>
          <w:tcPr/>
          <w:p>
            <w:pPr>
              <w:pStyle w:val="Compact"/>
              <w:jc w:val="left"/>
            </w:pPr>
            <w:r>
              <w:t xml:space="preserve">Membership</w:t>
            </w:r>
          </w:p>
        </w:tc>
        <w:tc>
          <w:tcPr/>
          <w:p>
            <w:pPr>
              <w:pStyle w:val="Compact"/>
              <w:jc w:val="left"/>
            </w:pPr>
            <w:r>
              <w:t xml:space="preserve">10% flat + processing</w:t>
            </w:r>
          </w:p>
        </w:tc>
        <w:tc>
          <w:tcPr/>
          <w:p>
            <w:pPr>
              <w:pStyle w:val="Compact"/>
              <w:jc w:val="left"/>
            </w:pPr>
            <w:r>
              <w:t xml:space="preserve">~85%</w:t>
            </w:r>
          </w:p>
        </w:tc>
        <w:tc>
          <w:tcPr/>
          <w:p>
            <w:pPr>
              <w:pStyle w:val="Compact"/>
              <w:jc w:val="left"/>
            </w:pPr>
            <w:r>
              <w:t xml:space="preserve">Recurring, exclusive merch tiers</w:t>
            </w:r>
          </w:p>
        </w:tc>
      </w:tr>
      <w:tr>
        <w:tc>
          <w:tcPr/>
          <w:p>
            <w:pPr>
              <w:pStyle w:val="Compact"/>
              <w:jc w:val="left"/>
            </w:pPr>
            <w:r>
              <w:rPr>
                <w:bCs/>
                <w:b/>
              </w:rPr>
              <w:t xml:space="preserve">Amazon Merch</w:t>
            </w:r>
          </w:p>
        </w:tc>
        <w:tc>
          <w:tcPr/>
          <w:p>
            <w:pPr>
              <w:pStyle w:val="Compact"/>
              <w:jc w:val="left"/>
            </w:pPr>
            <w:r>
              <w:t xml:space="preserve">Mass marketplace</w:t>
            </w:r>
          </w:p>
        </w:tc>
        <w:tc>
          <w:tcPr/>
          <w:p>
            <w:pPr>
              <w:pStyle w:val="Compact"/>
              <w:jc w:val="left"/>
            </w:pPr>
            <w:r>
              <w:t xml:space="preserve">25-35% (effective royalty 6-12%)</w:t>
            </w:r>
          </w:p>
        </w:tc>
        <w:tc>
          <w:tcPr/>
          <w:p>
            <w:pPr>
              <w:pStyle w:val="Compact"/>
              <w:jc w:val="left"/>
            </w:pPr>
            <w:r>
              <w:t xml:space="preserve">~12-25%</w:t>
            </w:r>
          </w:p>
        </w:tc>
        <w:tc>
          <w:tcPr/>
          <w:p>
            <w:pPr>
              <w:pStyle w:val="Compact"/>
              <w:jc w:val="left"/>
            </w:pPr>
            <w:r>
              <w:t xml:space="preserve">Mass reach, low margin</w:t>
            </w:r>
          </w:p>
        </w:tc>
      </w:tr>
      <w:tr>
        <w:tc>
          <w:tcPr/>
          <w:p>
            <w:pPr>
              <w:pStyle w:val="Compact"/>
              <w:jc w:val="left"/>
            </w:pPr>
            <w:r>
              <w:rPr>
                <w:bCs/>
                <w:b/>
              </w:rPr>
              <w:t xml:space="preserve">Redbubble</w:t>
            </w:r>
          </w:p>
        </w:tc>
        <w:tc>
          <w:tcPr/>
          <w:p>
            <w:pPr>
              <w:pStyle w:val="Compact"/>
              <w:jc w:val="left"/>
            </w:pPr>
            <w:r>
              <w:t xml:space="preserve">POD marketplace</w:t>
            </w:r>
          </w:p>
        </w:tc>
        <w:tc>
          <w:tcPr/>
          <w:p>
            <w:pPr>
              <w:pStyle w:val="Compact"/>
              <w:jc w:val="left"/>
            </w:pPr>
            <w:r>
              <w:t xml:space="preserve">75% effective cost</w:t>
            </w:r>
          </w:p>
        </w:tc>
        <w:tc>
          <w:tcPr/>
          <w:p>
            <w:pPr>
              <w:pStyle w:val="Compact"/>
              <w:jc w:val="left"/>
            </w:pPr>
            <w:r>
              <w:t xml:space="preserve">~25%</w:t>
            </w:r>
          </w:p>
        </w:tc>
        <w:tc>
          <w:tcPr/>
          <w:p>
            <w:pPr>
              <w:pStyle w:val="Compact"/>
              <w:jc w:val="left"/>
            </w:pPr>
            <w:r>
              <w:t xml:space="preserve">Passive catalog (declining)</w:t>
            </w:r>
          </w:p>
        </w:tc>
      </w:tr>
      <w:tr>
        <w:tc>
          <w:tcPr/>
          <w:p>
            <w:pPr>
              <w:pStyle w:val="Compact"/>
              <w:jc w:val="left"/>
            </w:pPr>
            <w:r>
              <w:rPr>
                <w:bCs/>
                <w:b/>
              </w:rPr>
              <w:t xml:space="preserve">Society6</w:t>
            </w:r>
          </w:p>
        </w:tc>
        <w:tc>
          <w:tcPr/>
          <w:p>
            <w:pPr>
              <w:pStyle w:val="Compact"/>
              <w:jc w:val="left"/>
            </w:pPr>
            <w:r>
              <w:t xml:space="preserve">POD marketplace</w:t>
            </w:r>
          </w:p>
        </w:tc>
        <w:tc>
          <w:tcPr/>
          <w:p>
            <w:pPr>
              <w:pStyle w:val="Compact"/>
              <w:jc w:val="left"/>
            </w:pPr>
            <w:r>
              <w:t xml:space="preserve">90-95% effective cost</w:t>
            </w:r>
          </w:p>
        </w:tc>
        <w:tc>
          <w:tcPr/>
          <w:p>
            <w:pPr>
              <w:pStyle w:val="Compact"/>
              <w:jc w:val="left"/>
            </w:pPr>
            <w:r>
              <w:t xml:space="preserve">~5-10%</w:t>
            </w:r>
          </w:p>
        </w:tc>
        <w:tc>
          <w:tcPr/>
          <w:p>
            <w:pPr>
              <w:pStyle w:val="Compact"/>
              <w:jc w:val="left"/>
            </w:pPr>
            <w:r>
              <w:t xml:space="preserve">Artist-hostile (avoid)</w:t>
            </w:r>
          </w:p>
        </w:tc>
      </w:tr>
    </w:tbl>
    <w:bookmarkEnd w:id="48"/>
    <w:bookmarkStart w:id="49" w:name="key-platform-dynamics"/>
    <w:p>
      <w:pPr>
        <w:pStyle w:val="Heading3"/>
      </w:pPr>
      <w:r>
        <w:t xml:space="preserve">4.2 Key Platform Dynamics</w:t>
      </w:r>
    </w:p>
    <w:p>
      <w:pPr>
        <w:pStyle w:val="FirstParagraph"/>
      </w:pPr>
      <w:r>
        <w:rPr>
          <w:bCs/>
          <w:b/>
        </w:rPr>
        <w:t xml:space="preserve">Fourthwall (0% Physical Fees):</w:t>
      </w:r>
      <w:r>
        <w:t xml:space="preserve"> </w:t>
      </w:r>
      <w:r>
        <w:t xml:space="preserve">The emerging leader for creator-friendly commerce, Fourthwall charges zero platform fees on physical products, making money through volume manufacturing arbitrage and digital/membership fees (12%). This model represents a fundamental shift from the marketplace paradigm toward creator-owned commerce infrastructure.</w:t>
      </w:r>
    </w:p>
    <w:p>
      <w:pPr>
        <w:pStyle w:val="BodyText"/>
      </w:pPr>
      <w:r>
        <w:rPr>
          <w:bCs/>
          <w:b/>
        </w:rPr>
        <w:t xml:space="preserve">Shopify ($11.56 billion revenue, 2025):</w:t>
      </w:r>
      <w:r>
        <w:t xml:space="preserve"> </w:t>
      </w:r>
      <w:r>
        <w:t xml:space="preserve">The dominant e-commerce infrastructure provider with ~30% US e-commerce market share and $378 billion in GMV. Shopify Collabs enables direct creator-brand partnerships with automated commission tracking.</w:t>
      </w:r>
    </w:p>
    <w:p>
      <w:pPr>
        <w:pStyle w:val="BodyText"/>
      </w:pPr>
      <w:r>
        <w:rPr>
          <w:bCs/>
          <w:b/>
        </w:rPr>
        <w:t xml:space="preserve">Redbubble/Articore (Declining):</w:t>
      </w:r>
      <w:r>
        <w:t xml:space="preserve"> </w:t>
      </w:r>
      <w:r>
        <w:t xml:space="preserve">FY25 revenue of $379 million (-10% YoY), with net losses widening to $11.3 million. Share price collapsed from $7 (2021) to $0.14 (May 2025). The company imposed new tiered artist fees (20-50%), sparking an artist exodus. This decline signals the broader failure of the open marketplace model when competing with creator-owned D2C alternatives.</w:t>
      </w:r>
    </w:p>
    <w:p>
      <w:pPr>
        <w:pStyle w:val="BodyText"/>
      </w:pPr>
      <w:r>
        <w:rPr>
          <w:bCs/>
          <w:b/>
        </w:rPr>
        <w:t xml:space="preserve">TikTok Shop ($66 billion projected 2025 GMV):</w:t>
      </w:r>
      <w:r>
        <w:t xml:space="preserve"> </w:t>
      </w:r>
      <w:r>
        <w:t xml:space="preserve">The dominant social commerce platform capturing 68.1% of social shopping GMV. With 7 million+ creator affiliates and 5-8% conversion rates, it represents both the highest-growth opportunity and the highest platform dependency risk for creators.</w:t>
      </w:r>
    </w:p>
    <w:p>
      <w:r>
        <w:pict>
          <v:rect style="width:0;height:1.5pt" o:hralign="center" o:hrstd="t" o:hr="t"/>
        </w:pict>
      </w:r>
    </w:p>
    <w:bookmarkEnd w:id="49"/>
    <w:bookmarkEnd w:id="50"/>
    <w:bookmarkStart w:id="59" w:name="revenue-models-economics"/>
    <w:p>
      <w:pPr>
        <w:pStyle w:val="Heading2"/>
      </w:pPr>
      <w:r>
        <w:t xml:space="preserve">5. Revenue Models &amp; Economics</w:t>
      </w:r>
    </w:p>
    <w:bookmarkStart w:id="54" w:name="revenue-model-comparison"/>
    <w:p>
      <w:pPr>
        <w:pStyle w:val="Heading3"/>
      </w:pPr>
      <w:r>
        <w:t xml:space="preserve">5.1 Revenue Model Comparison</w:t>
      </w:r>
    </w:p>
    <w:p>
      <w:pPr>
        <w:pStyle w:val="CaptionedFigure"/>
      </w:pPr>
      <w:r>
        <w:drawing>
          <wp:inline>
            <wp:extent cx="5334000" cy="2711466"/>
            <wp:effectExtent b="0" l="0" r="0" t="0"/>
            <wp:docPr descr="Revenue Model Comparison" title="" id="52" name="Picture"/>
            <a:graphic>
              <a:graphicData uri="http://schemas.openxmlformats.org/drawingml/2006/picture">
                <pic:pic>
                  <pic:nvPicPr>
                    <pic:cNvPr descr="/mnt/agents/output/charts/revenue_model_comparison.png" id="53" name="Picture"/>
                    <pic:cNvPicPr>
                      <a:picLocks noChangeArrowheads="1" noChangeAspect="1"/>
                    </pic:cNvPicPr>
                  </pic:nvPicPr>
                  <pic:blipFill>
                    <a:blip r:embed="rId51"/>
                    <a:stretch>
                      <a:fillRect/>
                    </a:stretch>
                  </pic:blipFill>
                  <pic:spPr bwMode="auto">
                    <a:xfrm>
                      <a:off x="0" y="0"/>
                      <a:ext cx="5334000" cy="2711466"/>
                    </a:xfrm>
                    <a:prstGeom prst="rect">
                      <a:avLst/>
                    </a:prstGeom>
                    <a:noFill/>
                    <a:ln w="9525">
                      <a:noFill/>
                      <a:headEnd/>
                      <a:tailEnd/>
                    </a:ln>
                  </pic:spPr>
                </pic:pic>
              </a:graphicData>
            </a:graphic>
          </wp:inline>
        </w:drawing>
      </w:r>
    </w:p>
    <w:p>
      <w:pPr>
        <w:pStyle w:val="ImageCaption"/>
      </w:pPr>
      <w:r>
        <w:t xml:space="preserve">Revenue Model Comparison</w:t>
      </w:r>
    </w:p>
    <w:p>
      <w:pPr>
        <w:pStyle w:val="BodyText"/>
      </w:pPr>
      <w:r>
        <w:t xml:space="preserve">The creator merchandise landscape offers dramatically different economic outcomes depending on the chosen revenue model:</w:t>
      </w:r>
    </w:p>
    <w:p>
      <w:pPr>
        <w:pStyle w:val="BodyText"/>
      </w:pPr>
      <w:r>
        <w:rPr>
          <w:bCs/>
          <w:b/>
        </w:rPr>
        <w:t xml:space="preserve">Direct-to-Consumer (D2C) Webstore:</w:t>
      </w:r>
      <w:r>
        <w:t xml:space="preserve"> </w:t>
      </w:r>
      <w:r>
        <w:t xml:space="preserve">- Artist retention: 60-75% per unit</w:t>
      </w:r>
      <w:r>
        <w:t xml:space="preserve"> </w:t>
      </w:r>
      <w:r>
        <w:t xml:space="preserve">- Gross margins: 60-75% at retail</w:t>
      </w:r>
      <w:r>
        <w:t xml:space="preserve"> </w:t>
      </w:r>
      <w:r>
        <w:t xml:space="preserve">- Requires: Marketing investment, customer service, inventory management</w:t>
      </w:r>
      <w:r>
        <w:t xml:space="preserve"> </w:t>
      </w:r>
      <w:r>
        <w:t xml:space="preserve">- Best platform: Shopify, Fourthwall, Bandcamp</w:t>
      </w:r>
      <w:r>
        <w:t xml:space="preserve"> </w:t>
      </w:r>
      <w:r>
        <w:t xml:space="preserve">- A $35 t-shirt nets the artist:</w:t>
      </w:r>
      <w:r>
        <w:t xml:space="preserve"> </w:t>
      </w:r>
      <w:r>
        <w:rPr>
          <w:bCs/>
          <w:b/>
        </w:rPr>
        <w:t xml:space="preserve">$24.00-$28.50</w:t>
      </w:r>
    </w:p>
    <w:p>
      <w:pPr>
        <w:pStyle w:val="BodyText"/>
      </w:pPr>
      <w:r>
        <w:rPr>
          <w:bCs/>
          <w:b/>
        </w:rPr>
        <w:t xml:space="preserve">Print-on-Demand (POD):</w:t>
      </w:r>
      <w:r>
        <w:t xml:space="preserve"> </w:t>
      </w:r>
      <w:r>
        <w:t xml:space="preserve">- Artist retention: 44-61% margin</w:t>
      </w:r>
      <w:r>
        <w:t xml:space="preserve"> </w:t>
      </w:r>
      <w:r>
        <w:t xml:space="preserve">- Zero upfront cost, no inventory risk</w:t>
      </w:r>
      <w:r>
        <w:t xml:space="preserve"> </w:t>
      </w:r>
      <w:r>
        <w:t xml:space="preserve">- Lower per-unit margins but zero capital requirements</w:t>
      </w:r>
      <w:r>
        <w:t xml:space="preserve"> </w:t>
      </w:r>
      <w:r>
        <w:t xml:space="preserve">- A $35 t-shirt nets the artist:</w:t>
      </w:r>
      <w:r>
        <w:t xml:space="preserve"> </w:t>
      </w:r>
      <w:r>
        <w:rPr>
          <w:bCs/>
          <w:b/>
        </w:rPr>
        <w:t xml:space="preserve">$17.50 (standard), $24.85 (bulk 50+)</w:t>
      </w:r>
    </w:p>
    <w:p>
      <w:pPr>
        <w:pStyle w:val="BodyText"/>
      </w:pPr>
      <w:r>
        <w:rPr>
          <w:bCs/>
          <w:b/>
        </w:rPr>
        <w:t xml:space="preserve">Traditional Retail/Wholesale:</w:t>
      </w:r>
      <w:r>
        <w:t xml:space="preserve"> </w:t>
      </w:r>
      <w:r>
        <w:t xml:space="preserve">- Artist retention: 15-30% per unit</w:t>
      </w:r>
      <w:r>
        <w:t xml:space="preserve"> </w:t>
      </w:r>
      <w:r>
        <w:t xml:space="preserve">- Volume-driven, limited control over pricing/branding</w:t>
      </w:r>
      <w:r>
        <w:t xml:space="preserve"> </w:t>
      </w:r>
      <w:r>
        <w:t xml:space="preserve">- A $35 t-shirt nets the artist:</w:t>
      </w:r>
      <w:r>
        <w:t xml:space="preserve"> </w:t>
      </w:r>
      <w:r>
        <w:rPr>
          <w:bCs/>
          <w:b/>
        </w:rPr>
        <w:t xml:space="preserve">$10.50</w:t>
      </w:r>
    </w:p>
    <w:p>
      <w:pPr>
        <w:pStyle w:val="BodyText"/>
      </w:pPr>
      <w:r>
        <w:rPr>
          <w:bCs/>
          <w:b/>
        </w:rPr>
        <w:t xml:space="preserve">Label 360 Deal:</w:t>
      </w:r>
      <w:r>
        <w:t xml:space="preserve"> </w:t>
      </w:r>
      <w:r>
        <w:t xml:space="preserve">- Label takes 20-50% of merchandise revenue</w:t>
      </w:r>
      <w:r>
        <w:t xml:space="preserve"> </w:t>
      </w:r>
      <w:r>
        <w:t xml:space="preserve">- Artist net after all deductions: often just 18-25%</w:t>
      </w:r>
      <w:r>
        <w:t xml:space="preserve"> </w:t>
      </w:r>
      <w:r>
        <w:t xml:space="preserve">- A $35 t-shirt nets the artist:</w:t>
      </w:r>
      <w:r>
        <w:t xml:space="preserve"> </w:t>
      </w:r>
      <w:r>
        <w:rPr>
          <w:bCs/>
          <w:b/>
        </w:rPr>
        <w:t xml:space="preserve">$8.75-$14.00</w:t>
      </w:r>
    </w:p>
    <w:bookmarkEnd w:id="54"/>
    <w:bookmarkStart w:id="57" w:name="the-streaming-vs.-merch-revenue-gap"/>
    <w:p>
      <w:pPr>
        <w:pStyle w:val="Heading3"/>
      </w:pPr>
      <w:r>
        <w:t xml:space="preserve">5.2 The Streaming vs. Merch Revenue Gap</w:t>
      </w:r>
    </w:p>
    <w:p>
      <w:pPr>
        <w:pStyle w:val="CaptionedFigure"/>
      </w:pPr>
      <w:r>
        <w:drawing>
          <wp:inline>
            <wp:extent cx="5334000" cy="2298007"/>
            <wp:effectExtent b="0" l="0" r="0" t="0"/>
            <wp:docPr descr="Merch vs Streaming" title="" id="55" name="Picture"/>
            <a:graphic>
              <a:graphicData uri="http://schemas.openxmlformats.org/drawingml/2006/picture">
                <pic:pic>
                  <pic:nvPicPr>
                    <pic:cNvPr descr="/mnt/agents/output/charts/platform_fees_merch_vs_streaming.png" id="56" name="Picture"/>
                    <pic:cNvPicPr>
                      <a:picLocks noChangeArrowheads="1" noChangeAspect="1"/>
                    </pic:cNvPicPr>
                  </pic:nvPicPr>
                  <pic:blipFill>
                    <a:blip r:embed="rId45"/>
                    <a:stretch>
                      <a:fillRect/>
                    </a:stretch>
                  </pic:blipFill>
                  <pic:spPr bwMode="auto">
                    <a:xfrm>
                      <a:off x="0" y="0"/>
                      <a:ext cx="5334000" cy="2298007"/>
                    </a:xfrm>
                    <a:prstGeom prst="rect">
                      <a:avLst/>
                    </a:prstGeom>
                    <a:noFill/>
                    <a:ln w="9525">
                      <a:noFill/>
                      <a:headEnd/>
                      <a:tailEnd/>
                    </a:ln>
                  </pic:spPr>
                </pic:pic>
              </a:graphicData>
            </a:graphic>
          </wp:inline>
        </w:drawing>
      </w:r>
    </w:p>
    <w:p>
      <w:pPr>
        <w:pStyle w:val="ImageCaption"/>
      </w:pPr>
      <w:r>
        <w:t xml:space="preserve">Merch vs Streaming</w:t>
      </w:r>
    </w:p>
    <w:p>
      <w:pPr>
        <w:pStyle w:val="BodyText"/>
      </w:pPr>
      <w:r>
        <w:t xml:space="preserve">The comparison between merchandise revenue and streaming royalties reveals why merch has become essential for artist sustainability:</w:t>
      </w:r>
    </w:p>
    <w:tbl>
      <w:tblPr>
        <w:tblStyle w:val="Table"/>
        <w:tblW w:type="pct" w:w="5000"/>
        <w:tblLook w:firstRow="1" w:lastRow="0" w:firstColumn="0" w:lastColumn="0" w:noHBand="0" w:noVBand="0" w:val="0020"/>
      </w:tblPr>
      <w:tblGrid>
        <w:gridCol w:w="1508"/>
        <w:gridCol w:w="2451"/>
        <w:gridCol w:w="3960"/>
      </w:tblGrid>
      <w:tr>
        <w:trPr>
          <w:tblHeader w:val="true"/>
        </w:trPr>
        <w:tc>
          <w:tcPr/>
          <w:p>
            <w:pPr>
              <w:pStyle w:val="Compact"/>
              <w:jc w:val="left"/>
            </w:pPr>
            <w:r>
              <w:t xml:space="preserve">Metric</w:t>
            </w:r>
          </w:p>
        </w:tc>
        <w:tc>
          <w:tcPr/>
          <w:p>
            <w:pPr>
              <w:pStyle w:val="Compact"/>
              <w:jc w:val="left"/>
            </w:pPr>
            <w:r>
              <w:t xml:space="preserve">Merchandise</w:t>
            </w:r>
          </w:p>
        </w:tc>
        <w:tc>
          <w:tcPr/>
          <w:p>
            <w:pPr>
              <w:pStyle w:val="Compact"/>
              <w:jc w:val="left"/>
            </w:pPr>
            <w:r>
              <w:t xml:space="preserve">Streaming (Spotify)</w:t>
            </w:r>
          </w:p>
        </w:tc>
      </w:tr>
      <w:tr>
        <w:tc>
          <w:tcPr/>
          <w:p>
            <w:pPr>
              <w:pStyle w:val="Compact"/>
              <w:jc w:val="left"/>
            </w:pPr>
            <w:r>
              <w:t xml:space="preserve">1 t-shirt sale ($35)</w:t>
            </w:r>
          </w:p>
        </w:tc>
        <w:tc>
          <w:tcPr/>
          <w:p>
            <w:pPr>
              <w:pStyle w:val="Compact"/>
              <w:jc w:val="left"/>
            </w:pPr>
            <w:r>
              <w:t xml:space="preserve">$24-28 net to artist</w:t>
            </w:r>
          </w:p>
        </w:tc>
        <w:tc>
          <w:tcPr/>
          <w:p>
            <w:pPr>
              <w:pStyle w:val="Compact"/>
              <w:jc w:val="left"/>
            </w:pPr>
            <w:r>
              <w:t xml:space="preserve">Equivalent to</w:t>
            </w:r>
            <w:r>
              <w:t xml:space="preserve"> </w:t>
            </w:r>
            <w:r>
              <w:rPr>
                <w:bCs/>
                <w:b/>
              </w:rPr>
              <w:t xml:space="preserve">8,750 streams</w:t>
            </w:r>
          </w:p>
        </w:tc>
      </w:tr>
      <w:tr>
        <w:tc>
          <w:tcPr/>
          <w:p>
            <w:pPr>
              <w:pStyle w:val="Compact"/>
              <w:jc w:val="left"/>
            </w:pPr>
            <w:r>
              <w:t xml:space="preserve">1 hoodie sale ($60)</w:t>
            </w:r>
          </w:p>
        </w:tc>
        <w:tc>
          <w:tcPr/>
          <w:p>
            <w:pPr>
              <w:pStyle w:val="Compact"/>
              <w:jc w:val="left"/>
            </w:pPr>
            <w:r>
              <w:t xml:space="preserve">$42 net to artist</w:t>
            </w:r>
          </w:p>
        </w:tc>
        <w:tc>
          <w:tcPr/>
          <w:p>
            <w:pPr>
              <w:pStyle w:val="Compact"/>
              <w:jc w:val="left"/>
            </w:pPr>
            <w:r>
              <w:t xml:space="preserve">Equivalent to</w:t>
            </w:r>
            <w:r>
              <w:t xml:space="preserve"> </w:t>
            </w:r>
            <w:r>
              <w:rPr>
                <w:bCs/>
                <w:b/>
              </w:rPr>
              <w:t xml:space="preserve">15,000 streams</w:t>
            </w:r>
          </w:p>
        </w:tc>
      </w:tr>
      <w:tr>
        <w:tc>
          <w:tcPr/>
          <w:p>
            <w:pPr>
              <w:pStyle w:val="Compact"/>
              <w:jc w:val="left"/>
            </w:pPr>
            <w:r>
              <w:t xml:space="preserve">Per-unit artist take</w:t>
            </w:r>
          </w:p>
        </w:tc>
        <w:tc>
          <w:tcPr/>
          <w:p>
            <w:pPr>
              <w:pStyle w:val="Compact"/>
              <w:jc w:val="left"/>
            </w:pPr>
            <w:r>
              <w:t xml:space="preserve">$14-27 (POD) to $20+ (bulk)</w:t>
            </w:r>
          </w:p>
        </w:tc>
        <w:tc>
          <w:tcPr/>
          <w:p>
            <w:pPr>
              <w:pStyle w:val="Compact"/>
              <w:jc w:val="left"/>
            </w:pPr>
            <w:r>
              <w:rPr>
                <w:bCs/>
                <w:b/>
              </w:rPr>
              <w:t xml:space="preserve">$0.003-0.005 per stream</w:t>
            </w:r>
          </w:p>
        </w:tc>
      </w:tr>
      <w:tr>
        <w:tc>
          <w:tcPr/>
          <w:p>
            <w:pPr>
              <w:pStyle w:val="Compact"/>
              <w:jc w:val="left"/>
            </w:pPr>
            <w:r>
              <w:t xml:space="preserve">Monthly minimum wage</w:t>
            </w:r>
          </w:p>
        </w:tc>
        <w:tc>
          <w:tcPr/>
          <w:p>
            <w:pPr>
              <w:pStyle w:val="Compact"/>
              <w:jc w:val="left"/>
            </w:pPr>
            <w:r>
              <w:t xml:space="preserve">Sell ~115 shirts</w:t>
            </w:r>
          </w:p>
        </w:tc>
        <w:tc>
          <w:tcPr/>
          <w:p>
            <w:pPr>
              <w:pStyle w:val="Compact"/>
              <w:jc w:val="left"/>
            </w:pPr>
            <w:r>
              <w:t xml:space="preserve">Need</w:t>
            </w:r>
            <w:r>
              <w:t xml:space="preserve"> </w:t>
            </w:r>
            <w:r>
              <w:rPr>
                <w:bCs/>
                <w:b/>
              </w:rPr>
              <w:t xml:space="preserve">350,000 streams/month</w:t>
            </w:r>
          </w:p>
        </w:tc>
      </w:tr>
      <w:tr>
        <w:tc>
          <w:tcPr/>
          <w:p>
            <w:pPr>
              <w:pStyle w:val="Compact"/>
              <w:jc w:val="left"/>
            </w:pPr>
            <w:r>
              <w:t xml:space="preserve">Per-show revenue (avg)</w:t>
            </w:r>
          </w:p>
        </w:tc>
        <w:tc>
          <w:tcPr/>
          <w:p>
            <w:pPr>
              <w:pStyle w:val="Compact"/>
              <w:jc w:val="left"/>
            </w:pPr>
            <w:r>
              <w:t xml:space="preserve">$10,000 GMS</w:t>
            </w:r>
          </w:p>
        </w:tc>
        <w:tc>
          <w:tcPr/>
          <w:p>
            <w:pPr>
              <w:pStyle w:val="Compact"/>
              <w:jc w:val="left"/>
            </w:pPr>
            <w:r>
              <w:t xml:space="preserve">Most artists earn &lt;$10K/year</w:t>
            </w:r>
          </w:p>
        </w:tc>
      </w:tr>
    </w:tbl>
    <w:p>
      <w:pPr>
        <w:pStyle w:val="BodyText"/>
      </w:pPr>
      <w:r>
        <w:rPr>
          <w:bCs/>
          <w:b/>
        </w:rPr>
        <w:t xml:space="preserve">Key insight:</w:t>
      </w:r>
      <w:r>
        <w:t xml:space="preserve"> </w:t>
      </w:r>
      <w:r>
        <w:t xml:space="preserve">Spotify paid</w:t>
      </w:r>
      <w:r>
        <w:t xml:space="preserve"> </w:t>
      </w:r>
      <w:r>
        <w:rPr>
          <w:bCs/>
          <w:b/>
        </w:rPr>
        <w:t xml:space="preserve">$11 billion total in 2024</w:t>
      </w:r>
      <w:r>
        <w:t xml:space="preserve"> </w:t>
      </w:r>
      <w:r>
        <w:t xml:space="preserve">to the music industry, yet 61% of artists earned less than $10,000/year from royalties. To earn $1 million from Spotify requires approximately 250 million streams; to earn $1 million from merch requires selling approximately 28,500 shirts at D2C margins.</w:t>
      </w:r>
    </w:p>
    <w:bookmarkEnd w:id="57"/>
    <w:bookmarkStart w:id="58" w:name="tour-merch-economics"/>
    <w:p>
      <w:pPr>
        <w:pStyle w:val="Heading3"/>
      </w:pPr>
      <w:r>
        <w:t xml:space="preserve">5.3 Tour Merch Economics</w:t>
      </w:r>
    </w:p>
    <w:p>
      <w:pPr>
        <w:pStyle w:val="FirstParagraph"/>
      </w:pPr>
      <w:r>
        <w:t xml:space="preserve">Tour merchandise represents the highest-conversion channel in the industry:</w:t>
      </w:r>
    </w:p>
    <w:tbl>
      <w:tblPr>
        <w:tblStyle w:val="Table"/>
        <w:tblW w:type="pct" w:w="5000"/>
        <w:tblLook w:firstRow="1" w:lastRow="0" w:firstColumn="0" w:lastColumn="0" w:noHBand="0" w:noVBand="0" w:val="0020"/>
      </w:tblPr>
      <w:tblGrid>
        <w:gridCol w:w="4224"/>
        <w:gridCol w:w="3696"/>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Average merch spend at concerts (2025)</w:t>
            </w:r>
          </w:p>
        </w:tc>
        <w:tc>
          <w:tcPr/>
          <w:p>
            <w:pPr>
              <w:pStyle w:val="Compact"/>
              <w:jc w:val="left"/>
            </w:pPr>
            <w:r>
              <w:rPr>
                <w:bCs/>
                <w:b/>
              </w:rPr>
              <w:t xml:space="preserve">$67.53 per fan</w:t>
            </w:r>
            <w:r>
              <w:t xml:space="preserve"> </w:t>
            </w:r>
            <w:r>
              <w:t xml:space="preserve">(+9% YoY)</w:t>
            </w:r>
          </w:p>
        </w:tc>
      </w:tr>
      <w:tr>
        <w:tc>
          <w:tcPr/>
          <w:p>
            <w:pPr>
              <w:pStyle w:val="Compact"/>
              <w:jc w:val="left"/>
            </w:pPr>
            <w:r>
              <w:t xml:space="preserve">Fan purchase rate</w:t>
            </w:r>
          </w:p>
        </w:tc>
        <w:tc>
          <w:tcPr/>
          <w:p>
            <w:pPr>
              <w:pStyle w:val="Compact"/>
              <w:jc w:val="left"/>
            </w:pPr>
            <w:r>
              <w:rPr>
                <w:bCs/>
                <w:b/>
              </w:rPr>
              <w:t xml:space="preserve">23%</w:t>
            </w:r>
            <w:r>
              <w:t xml:space="preserve"> </w:t>
            </w:r>
            <w:r>
              <w:t xml:space="preserve">(up from 21% in 2024)</w:t>
            </w:r>
          </w:p>
        </w:tc>
      </w:tr>
      <w:tr>
        <w:tc>
          <w:tcPr/>
          <w:p>
            <w:pPr>
              <w:pStyle w:val="Compact"/>
              <w:jc w:val="left"/>
            </w:pPr>
            <w:r>
              <w:t xml:space="preserve">Items per transaction</w:t>
            </w:r>
          </w:p>
        </w:tc>
        <w:tc>
          <w:tcPr/>
          <w:p>
            <w:pPr>
              <w:pStyle w:val="Compact"/>
              <w:jc w:val="left"/>
            </w:pPr>
            <w:r>
              <w:rPr>
                <w:bCs/>
                <w:b/>
              </w:rPr>
              <w:t xml:space="preserve">2.1</w:t>
            </w:r>
            <w:r>
              <w:t xml:space="preserve"> </w:t>
            </w:r>
            <w:r>
              <w:t xml:space="preserve">(up from 1.7 in 2024)</w:t>
            </w:r>
          </w:p>
        </w:tc>
      </w:tr>
      <w:tr>
        <w:tc>
          <w:tcPr/>
          <w:p>
            <w:pPr>
              <w:pStyle w:val="Compact"/>
              <w:jc w:val="left"/>
            </w:pPr>
            <w:r>
              <w:t xml:space="preserve">Stadium-scale per transaction</w:t>
            </w:r>
          </w:p>
        </w:tc>
        <w:tc>
          <w:tcPr/>
          <w:p>
            <w:pPr>
              <w:pStyle w:val="Compact"/>
              <w:jc w:val="left"/>
            </w:pPr>
            <w:r>
              <w:t xml:space="preserve">$42-55</w:t>
            </w:r>
          </w:p>
        </w:tc>
      </w:tr>
      <w:tr>
        <w:tc>
          <w:tcPr/>
          <w:p>
            <w:pPr>
              <w:pStyle w:val="Compact"/>
              <w:jc w:val="left"/>
            </w:pPr>
            <w:r>
              <w:t xml:space="preserve">Venue cut (standard)</w:t>
            </w:r>
          </w:p>
        </w:tc>
        <w:tc>
          <w:tcPr/>
          <w:p>
            <w:pPr>
              <w:pStyle w:val="Compact"/>
              <w:jc w:val="left"/>
            </w:pPr>
            <w:r>
              <w:t xml:space="preserve">20-30%</w:t>
            </w:r>
          </w:p>
        </w:tc>
      </w:tr>
      <w:tr>
        <w:tc>
          <w:tcPr/>
          <w:p>
            <w:pPr>
              <w:pStyle w:val="Compact"/>
              <w:jc w:val="left"/>
            </w:pPr>
            <w:r>
              <w:t xml:space="preserve">Indie artist per-head benchmark</w:t>
            </w:r>
          </w:p>
        </w:tc>
        <w:tc>
          <w:tcPr/>
          <w:p>
            <w:pPr>
              <w:pStyle w:val="Compact"/>
              <w:jc w:val="left"/>
            </w:pPr>
            <w:r>
              <w:t xml:space="preserve">$8-12 at 500-cap venues</w:t>
            </w:r>
          </w:p>
        </w:tc>
      </w:tr>
    </w:tbl>
    <w:p>
      <w:pPr>
        <w:pStyle w:val="BodyText"/>
      </w:pPr>
      <w:r>
        <w:t xml:space="preserve">For independent artists, merchandise routinely outearns ticket revenue at venues below 3,000 capacity. A 12-date 1,500-cap headline tour grossing ~$480K typically nets $35K-$65K to a four-piece band after all expenses — with merch margin serving as the key profit lever. Notably, agent commission (10%) applies to ticket revenue,</w:t>
      </w:r>
      <w:r>
        <w:t xml:space="preserve"> </w:t>
      </w:r>
      <w:r>
        <w:rPr>
          <w:bCs/>
          <w:b/>
        </w:rPr>
        <w:t xml:space="preserve">not merch revenue</w:t>
      </w:r>
      <w:r>
        <w:t xml:space="preserve">, making merch the highest-margin revenue line for independent artists.</w:t>
      </w:r>
    </w:p>
    <w:p>
      <w:r>
        <w:pict>
          <v:rect style="width:0;height:1.5pt" o:hralign="center" o:hrstd="t" o:hr="t"/>
        </w:pict>
      </w:r>
    </w:p>
    <w:bookmarkEnd w:id="58"/>
    <w:bookmarkEnd w:id="59"/>
    <w:bookmarkStart w:id="70" w:name="consumer-behavior-fan-psychology"/>
    <w:p>
      <w:pPr>
        <w:pStyle w:val="Heading2"/>
      </w:pPr>
      <w:r>
        <w:t xml:space="preserve">6. Consumer Behavior &amp; Fan Psychology</w:t>
      </w:r>
    </w:p>
    <w:bookmarkStart w:id="63" w:name="the-superfan-economy"/>
    <w:p>
      <w:pPr>
        <w:pStyle w:val="Heading3"/>
      </w:pPr>
      <w:r>
        <w:t xml:space="preserve">6.1 The Superfan Economy</w:t>
      </w:r>
    </w:p>
    <w:p>
      <w:pPr>
        <w:pStyle w:val="CaptionedFigure"/>
      </w:pPr>
      <w:r>
        <w:drawing>
          <wp:inline>
            <wp:extent cx="5334000" cy="2403018"/>
            <wp:effectExtent b="0" l="0" r="0" t="0"/>
            <wp:docPr descr="Consumer Insights" title="" id="61" name="Picture"/>
            <a:graphic>
              <a:graphicData uri="http://schemas.openxmlformats.org/drawingml/2006/picture">
                <pic:pic>
                  <pic:nvPicPr>
                    <pic:cNvPr descr="/mnt/agents/output/charts/creator_income_distribution.png" id="62" name="Picture"/>
                    <pic:cNvPicPr>
                      <a:picLocks noChangeArrowheads="1" noChangeAspect="1"/>
                    </pic:cNvPicPr>
                  </pic:nvPicPr>
                  <pic:blipFill>
                    <a:blip r:embed="rId60"/>
                    <a:stretch>
                      <a:fillRect/>
                    </a:stretch>
                  </pic:blipFill>
                  <pic:spPr bwMode="auto">
                    <a:xfrm>
                      <a:off x="0" y="0"/>
                      <a:ext cx="5334000" cy="2403018"/>
                    </a:xfrm>
                    <a:prstGeom prst="rect">
                      <a:avLst/>
                    </a:prstGeom>
                    <a:noFill/>
                    <a:ln w="9525">
                      <a:noFill/>
                      <a:headEnd/>
                      <a:tailEnd/>
                    </a:ln>
                  </pic:spPr>
                </pic:pic>
              </a:graphicData>
            </a:graphic>
          </wp:inline>
        </w:drawing>
      </w:r>
    </w:p>
    <w:p>
      <w:pPr>
        <w:pStyle w:val="ImageCaption"/>
      </w:pPr>
      <w:r>
        <w:t xml:space="preserve">Consumer Insights</w:t>
      </w:r>
    </w:p>
    <w:p>
      <w:pPr>
        <w:pStyle w:val="BodyText"/>
      </w:pPr>
      <w:r>
        <w:t xml:space="preserve">Superfans represent the most economically significant segment of the creator merchandise market:</w:t>
      </w:r>
    </w:p>
    <w:p>
      <w:pPr>
        <w:numPr>
          <w:ilvl w:val="0"/>
          <w:numId w:val="1002"/>
        </w:numPr>
        <w:pStyle w:val="Compact"/>
      </w:pPr>
      <w:r>
        <w:rPr>
          <w:bCs/>
          <w:b/>
        </w:rPr>
        <w:t xml:space="preserve">Top 2% of listeners</w:t>
      </w:r>
      <w:r>
        <w:t xml:space="preserve"> </w:t>
      </w:r>
      <w:r>
        <w:t xml:space="preserve">= 18% of total streams and</w:t>
      </w:r>
      <w:r>
        <w:t xml:space="preserve"> </w:t>
      </w:r>
      <w:r>
        <w:rPr>
          <w:bCs/>
          <w:b/>
        </w:rPr>
        <w:t xml:space="preserve">52% of merch sales</w:t>
      </w:r>
      <w:r>
        <w:t xml:space="preserve"> </w:t>
      </w:r>
      <w:r>
        <w:t xml:space="preserve">(Spotify data)</w:t>
      </w:r>
    </w:p>
    <w:p>
      <w:pPr>
        <w:numPr>
          <w:ilvl w:val="0"/>
          <w:numId w:val="1002"/>
        </w:numPr>
        <w:pStyle w:val="Compact"/>
      </w:pPr>
      <w:r>
        <w:rPr>
          <w:bCs/>
          <w:b/>
        </w:rPr>
        <w:t xml:space="preserve">15-20% of US population</w:t>
      </w:r>
      <w:r>
        <w:t xml:space="preserve"> </w:t>
      </w:r>
      <w:r>
        <w:t xml:space="preserve">qualifies as music superfans (Luminate)</w:t>
      </w:r>
    </w:p>
    <w:p>
      <w:pPr>
        <w:numPr>
          <w:ilvl w:val="0"/>
          <w:numId w:val="1002"/>
        </w:numPr>
        <w:pStyle w:val="Compact"/>
      </w:pPr>
      <w:r>
        <w:t xml:space="preserve">Superfans spend</w:t>
      </w:r>
      <w:r>
        <w:t xml:space="preserve"> </w:t>
      </w:r>
      <w:r>
        <w:rPr>
          <w:bCs/>
          <w:b/>
        </w:rPr>
        <w:t xml:space="preserve">$200-$1,000+ annually</w:t>
      </w:r>
      <w:r>
        <w:t xml:space="preserve"> </w:t>
      </w:r>
      <w:r>
        <w:t xml:space="preserve">across music, merch, and experiences</w:t>
      </w:r>
    </w:p>
    <w:p>
      <w:pPr>
        <w:numPr>
          <w:ilvl w:val="0"/>
          <w:numId w:val="1002"/>
        </w:numPr>
        <w:pStyle w:val="Compact"/>
      </w:pPr>
      <w:r>
        <w:t xml:space="preserve">Physical music buyers are</w:t>
      </w:r>
      <w:r>
        <w:t xml:space="preserve"> </w:t>
      </w:r>
      <w:r>
        <w:rPr>
          <w:bCs/>
          <w:b/>
        </w:rPr>
        <w:t xml:space="preserve">128% more likely to be superfans</w:t>
      </w:r>
    </w:p>
    <w:p>
      <w:pPr>
        <w:numPr>
          <w:ilvl w:val="0"/>
          <w:numId w:val="1002"/>
        </w:numPr>
        <w:pStyle w:val="Compact"/>
      </w:pPr>
      <w:r>
        <w:t xml:space="preserve">Goldman Sachs estimates</w:t>
      </w:r>
      <w:r>
        <w:t xml:space="preserve"> </w:t>
      </w:r>
      <w:r>
        <w:rPr>
          <w:bCs/>
          <w:b/>
        </w:rPr>
        <w:t xml:space="preserve">$4.5 billion addressable market</w:t>
      </w:r>
      <w:r>
        <w:t xml:space="preserve"> </w:t>
      </w:r>
      <w:r>
        <w:t xml:space="preserve">for superfan monetization</w:t>
      </w:r>
    </w:p>
    <w:bookmarkEnd w:id="63"/>
    <w:bookmarkStart w:id="64" w:name="gen-z-the-paradoxical-core-demographic"/>
    <w:p>
      <w:pPr>
        <w:pStyle w:val="Heading3"/>
      </w:pPr>
      <w:r>
        <w:t xml:space="preserve">6.2 Gen Z: The Paradoxical Core Demographic</w:t>
      </w:r>
    </w:p>
    <w:p>
      <w:pPr>
        <w:pStyle w:val="FirstParagraph"/>
      </w:pPr>
      <w:r>
        <w:t xml:space="preserve">Gen Z simultaneously presents the most complex and valuable consumer profile:</w:t>
      </w:r>
    </w:p>
    <w:p>
      <w:pPr>
        <w:numPr>
          <w:ilvl w:val="0"/>
          <w:numId w:val="1003"/>
        </w:numPr>
        <w:pStyle w:val="Compact"/>
      </w:pPr>
      <w:r>
        <w:rPr>
          <w:bCs/>
          <w:b/>
        </w:rPr>
        <w:t xml:space="preserve">$450 billion</w:t>
      </w:r>
      <w:r>
        <w:t xml:space="preserve"> </w:t>
      </w:r>
      <w:r>
        <w:t xml:space="preserve">global purchasing power (expected $12 trillion by 2030)</w:t>
      </w:r>
    </w:p>
    <w:p>
      <w:pPr>
        <w:numPr>
          <w:ilvl w:val="0"/>
          <w:numId w:val="1003"/>
        </w:numPr>
        <w:pStyle w:val="Compact"/>
      </w:pPr>
      <w:r>
        <w:rPr>
          <w:bCs/>
          <w:b/>
        </w:rPr>
        <w:t xml:space="preserve">75% of purchases</w:t>
      </w:r>
      <w:r>
        <w:t xml:space="preserve"> </w:t>
      </w:r>
      <w:r>
        <w:t xml:space="preserve">are in fashion</w:t>
      </w:r>
    </w:p>
    <w:p>
      <w:pPr>
        <w:numPr>
          <w:ilvl w:val="0"/>
          <w:numId w:val="1003"/>
        </w:numPr>
        <w:pStyle w:val="Compact"/>
      </w:pPr>
      <w:r>
        <w:rPr>
          <w:bCs/>
          <w:b/>
        </w:rPr>
        <w:t xml:space="preserve">2.6x more likely</w:t>
      </w:r>
      <w:r>
        <w:t xml:space="preserve"> </w:t>
      </w:r>
      <w:r>
        <w:t xml:space="preserve">to buy clothing weekly than other generations</w:t>
      </w:r>
    </w:p>
    <w:p>
      <w:pPr>
        <w:numPr>
          <w:ilvl w:val="0"/>
          <w:numId w:val="1003"/>
        </w:numPr>
        <w:pStyle w:val="Compact"/>
      </w:pPr>
      <w:r>
        <w:rPr>
          <w:bCs/>
          <w:b/>
        </w:rPr>
        <w:t xml:space="preserve">76% willing</w:t>
      </w:r>
      <w:r>
        <w:t xml:space="preserve"> </w:t>
      </w:r>
      <w:r>
        <w:t xml:space="preserve">to pay a premium for sustainable products</w:t>
      </w:r>
    </w:p>
    <w:p>
      <w:pPr>
        <w:numPr>
          <w:ilvl w:val="0"/>
          <w:numId w:val="1003"/>
        </w:numPr>
        <w:pStyle w:val="Compact"/>
      </w:pPr>
      <w:r>
        <w:rPr>
          <w:bCs/>
          <w:b/>
        </w:rPr>
        <w:t xml:space="preserve">73% seek</w:t>
      </w:r>
      <w:r>
        <w:t xml:space="preserve"> </w:t>
      </w:r>
      <w:r>
        <w:t xml:space="preserve">sustainable options specifically</w:t>
      </w:r>
    </w:p>
    <w:p>
      <w:pPr>
        <w:numPr>
          <w:ilvl w:val="0"/>
          <w:numId w:val="1003"/>
        </w:numPr>
        <w:pStyle w:val="Compact"/>
      </w:pPr>
      <w:r>
        <w:rPr>
          <w:bCs/>
          <w:b/>
        </w:rPr>
        <w:t xml:space="preserve">82% plan to buy</w:t>
      </w:r>
      <w:r>
        <w:t xml:space="preserve"> </w:t>
      </w:r>
      <w:r>
        <w:t xml:space="preserve">“</w:t>
      </w:r>
      <w:r>
        <w:t xml:space="preserve">dupes</w:t>
      </w:r>
      <w:r>
        <w:t xml:space="preserve">”</w:t>
      </w:r>
      <w:r>
        <w:t xml:space="preserve"> </w:t>
      </w:r>
      <w:r>
        <w:t xml:space="preserve">(affordable alternatives)</w:t>
      </w:r>
    </w:p>
    <w:p>
      <w:pPr>
        <w:numPr>
          <w:ilvl w:val="0"/>
          <w:numId w:val="1003"/>
        </w:numPr>
        <w:pStyle w:val="Compact"/>
      </w:pPr>
      <w:r>
        <w:rPr>
          <w:bCs/>
          <w:b/>
        </w:rPr>
        <w:t xml:space="preserve">80% purchased</w:t>
      </w:r>
      <w:r>
        <w:t xml:space="preserve"> </w:t>
      </w:r>
      <w:r>
        <w:t xml:space="preserve">after seeing on social media</w:t>
      </w:r>
    </w:p>
    <w:p>
      <w:pPr>
        <w:numPr>
          <w:ilvl w:val="0"/>
          <w:numId w:val="1003"/>
        </w:numPr>
        <w:pStyle w:val="Compact"/>
      </w:pPr>
      <w:r>
        <w:t xml:space="preserve">Yet only</w:t>
      </w:r>
      <w:r>
        <w:t xml:space="preserve"> </w:t>
      </w:r>
      <w:r>
        <w:rPr>
          <w:bCs/>
          <w:b/>
        </w:rPr>
        <w:t xml:space="preserve">64% pay extra</w:t>
      </w:r>
      <w:r>
        <w:t xml:space="preserve"> </w:t>
      </w:r>
      <w:r>
        <w:t xml:space="preserve">for authentic brand loyalty</w:t>
      </w:r>
    </w:p>
    <w:p>
      <w:pPr>
        <w:pStyle w:val="FirstParagraph"/>
      </w:pPr>
      <w:r>
        <w:t xml:space="preserve">This paradox — buying dupes while paying premiums for trusted brands — resolves when viewed through the lens of</w:t>
      </w:r>
      <w:r>
        <w:t xml:space="preserve"> </w:t>
      </w:r>
      <w:r>
        <w:rPr>
          <w:bCs/>
          <w:b/>
        </w:rPr>
        <w:t xml:space="preserve">authenticity signaling</w:t>
      </w:r>
      <w:r>
        <w:t xml:space="preserve">. Gen Z pays more for demonstrated, verifiable sustainability and authentic community connection, not for generic branded merchandise.</w:t>
      </w:r>
    </w:p>
    <w:bookmarkEnd w:id="64"/>
    <w:bookmarkStart w:id="65" w:name="purchase-drivers-and-psychology"/>
    <w:p>
      <w:pPr>
        <w:pStyle w:val="Heading3"/>
      </w:pPr>
      <w:r>
        <w:t xml:space="preserve">6.3 Purchase Drivers and Psychology</w:t>
      </w:r>
    </w:p>
    <w:tbl>
      <w:tblPr>
        <w:tblStyle w:val="Table"/>
        <w:tblW w:type="pct" w:w="5000"/>
        <w:tblLook w:firstRow="1" w:lastRow="0" w:firstColumn="0" w:lastColumn="0" w:noHBand="0" w:noVBand="0" w:val="0020"/>
      </w:tblPr>
      <w:tblGrid>
        <w:gridCol w:w="2346"/>
        <w:gridCol w:w="2346"/>
        <w:gridCol w:w="3226"/>
      </w:tblGrid>
      <w:tr>
        <w:trPr>
          <w:tblHeader w:val="true"/>
        </w:trPr>
        <w:tc>
          <w:tcPr/>
          <w:p>
            <w:pPr>
              <w:pStyle w:val="Compact"/>
              <w:jc w:val="left"/>
            </w:pPr>
            <w:r>
              <w:t xml:space="preserve">Driver</w:t>
            </w:r>
          </w:p>
        </w:tc>
        <w:tc>
          <w:tcPr/>
          <w:p>
            <w:pPr>
              <w:pStyle w:val="Compact"/>
              <w:jc w:val="left"/>
            </w:pPr>
            <w:r>
              <w:t xml:space="preserve">Impact</w:t>
            </w:r>
          </w:p>
        </w:tc>
        <w:tc>
          <w:tcPr/>
          <w:p>
            <w:pPr>
              <w:pStyle w:val="Compact"/>
              <w:jc w:val="left"/>
            </w:pPr>
            <w:r>
              <w:t xml:space="preserve">Mechanism</w:t>
            </w:r>
          </w:p>
        </w:tc>
      </w:tr>
      <w:tr>
        <w:tc>
          <w:tcPr/>
          <w:p>
            <w:pPr>
              <w:pStyle w:val="Compact"/>
              <w:jc w:val="left"/>
            </w:pPr>
            <w:r>
              <w:t xml:space="preserve">Scarcity messaging</w:t>
            </w:r>
          </w:p>
        </w:tc>
        <w:tc>
          <w:tcPr/>
          <w:p>
            <w:pPr>
              <w:pStyle w:val="Compact"/>
              <w:jc w:val="left"/>
            </w:pPr>
            <w:r>
              <w:t xml:space="preserve">+40% purchase intent</w:t>
            </w:r>
          </w:p>
        </w:tc>
        <w:tc>
          <w:tcPr/>
          <w:p>
            <w:pPr>
              <w:pStyle w:val="Compact"/>
              <w:jc w:val="left"/>
            </w:pPr>
            <w:r>
              <w:t xml:space="preserve">FOMO, limited editions, drop culture</w:t>
            </w:r>
          </w:p>
        </w:tc>
      </w:tr>
      <w:tr>
        <w:tc>
          <w:tcPr/>
          <w:p>
            <w:pPr>
              <w:pStyle w:val="Compact"/>
              <w:jc w:val="left"/>
            </w:pPr>
            <w:r>
              <w:t xml:space="preserve">Social proof</w:t>
            </w:r>
          </w:p>
        </w:tc>
        <w:tc>
          <w:tcPr/>
          <w:p>
            <w:pPr>
              <w:pStyle w:val="Compact"/>
              <w:jc w:val="left"/>
            </w:pPr>
            <w:r>
              <w:t xml:space="preserve">+35% conversion</w:t>
            </w:r>
          </w:p>
        </w:tc>
        <w:tc>
          <w:tcPr/>
          <w:p>
            <w:pPr>
              <w:pStyle w:val="Compact"/>
              <w:jc w:val="left"/>
            </w:pPr>
            <w:r>
              <w:t xml:space="preserve">Peer influence, social media visibility</w:t>
            </w:r>
          </w:p>
        </w:tc>
      </w:tr>
      <w:tr>
        <w:tc>
          <w:tcPr/>
          <w:p>
            <w:pPr>
              <w:pStyle w:val="Compact"/>
              <w:jc w:val="left"/>
            </w:pPr>
            <w:r>
              <w:t xml:space="preserve">Artist connection</w:t>
            </w:r>
          </w:p>
        </w:tc>
        <w:tc>
          <w:tcPr/>
          <w:p>
            <w:pPr>
              <w:pStyle w:val="Compact"/>
              <w:jc w:val="left"/>
            </w:pPr>
            <w:r>
              <w:t xml:space="preserve">+50% willingness to pay</w:t>
            </w:r>
          </w:p>
        </w:tc>
        <w:tc>
          <w:tcPr/>
          <w:p>
            <w:pPr>
              <w:pStyle w:val="Compact"/>
              <w:jc w:val="left"/>
            </w:pPr>
            <w:r>
              <w:t xml:space="preserve">Identity, belonging, emotional reciprocity</w:t>
            </w:r>
          </w:p>
        </w:tc>
      </w:tr>
      <w:tr>
        <w:tc>
          <w:tcPr/>
          <w:p>
            <w:pPr>
              <w:pStyle w:val="Compact"/>
              <w:jc w:val="left"/>
            </w:pPr>
            <w:r>
              <w:t xml:space="preserve">Sustainability</w:t>
            </w:r>
          </w:p>
        </w:tc>
        <w:tc>
          <w:tcPr/>
          <w:p>
            <w:pPr>
              <w:pStyle w:val="Compact"/>
              <w:jc w:val="left"/>
            </w:pPr>
            <w:r>
              <w:t xml:space="preserve">+25% price tolerance</w:t>
            </w:r>
          </w:p>
        </w:tc>
        <w:tc>
          <w:tcPr/>
          <w:p>
            <w:pPr>
              <w:pStyle w:val="Compact"/>
              <w:jc w:val="left"/>
            </w:pPr>
            <w:r>
              <w:t xml:space="preserve">Values alignment, Gen Z priority</w:t>
            </w:r>
          </w:p>
        </w:tc>
      </w:tr>
      <w:tr>
        <w:tc>
          <w:tcPr/>
          <w:p>
            <w:pPr>
              <w:pStyle w:val="Compact"/>
              <w:jc w:val="left"/>
            </w:pPr>
            <w:r>
              <w:t xml:space="preserve">Concert experience</w:t>
            </w:r>
          </w:p>
        </w:tc>
        <w:tc>
          <w:tcPr/>
          <w:p>
            <w:pPr>
              <w:pStyle w:val="Compact"/>
              <w:jc w:val="left"/>
            </w:pPr>
            <w:r>
              <w:t xml:space="preserve">23% purchase rate</w:t>
            </w:r>
          </w:p>
        </w:tc>
        <w:tc>
          <w:tcPr/>
          <w:p>
            <w:pPr>
              <w:pStyle w:val="Compact"/>
              <w:jc w:val="left"/>
            </w:pPr>
            <w:r>
              <w:t xml:space="preserve">Emotional peak, memory anchoring</w:t>
            </w:r>
          </w:p>
        </w:tc>
      </w:tr>
      <w:tr>
        <w:tc>
          <w:tcPr/>
          <w:p>
            <w:pPr>
              <w:pStyle w:val="Compact"/>
              <w:jc w:val="left"/>
            </w:pPr>
            <w:r>
              <w:t xml:space="preserve">Exclusivity</w:t>
            </w:r>
          </w:p>
        </w:tc>
        <w:tc>
          <w:tcPr/>
          <w:p>
            <w:pPr>
              <w:pStyle w:val="Compact"/>
              <w:jc w:val="left"/>
            </w:pPr>
            <w:r>
              <w:t xml:space="preserve">Premium pricing power</w:t>
            </w:r>
          </w:p>
        </w:tc>
        <w:tc>
          <w:tcPr/>
          <w:p>
            <w:pPr>
              <w:pStyle w:val="Compact"/>
              <w:jc w:val="left"/>
            </w:pPr>
            <w:r>
              <w:t xml:space="preserve">Limited quantities, numbered editions</w:t>
            </w:r>
          </w:p>
        </w:tc>
      </w:tr>
    </w:tbl>
    <w:bookmarkEnd w:id="65"/>
    <w:bookmarkStart w:id="69" w:name="top-selling-merch-items"/>
    <w:p>
      <w:pPr>
        <w:pStyle w:val="Heading3"/>
      </w:pPr>
      <w:r>
        <w:t xml:space="preserve">6.4 Top-Selling Merch Items</w:t>
      </w:r>
    </w:p>
    <w:p>
      <w:pPr>
        <w:pStyle w:val="CaptionedFigure"/>
      </w:pPr>
      <w:r>
        <w:drawing>
          <wp:inline>
            <wp:extent cx="5334000" cy="2297283"/>
            <wp:effectExtent b="0" l="0" r="0" t="0"/>
            <wp:docPr descr="Top Items" title="" id="67" name="Picture"/>
            <a:graphic>
              <a:graphicData uri="http://schemas.openxmlformats.org/drawingml/2006/picture">
                <pic:pic>
                  <pic:nvPicPr>
                    <pic:cNvPr descr="/mnt/agents/output/charts/top_items_future_projections.png" id="68" name="Picture"/>
                    <pic:cNvPicPr>
                      <a:picLocks noChangeArrowheads="1" noChangeAspect="1"/>
                    </pic:cNvPicPr>
                  </pic:nvPicPr>
                  <pic:blipFill>
                    <a:blip r:embed="rId66"/>
                    <a:stretch>
                      <a:fillRect/>
                    </a:stretch>
                  </pic:blipFill>
                  <pic:spPr bwMode="auto">
                    <a:xfrm>
                      <a:off x="0" y="0"/>
                      <a:ext cx="5334000" cy="2297283"/>
                    </a:xfrm>
                    <a:prstGeom prst="rect">
                      <a:avLst/>
                    </a:prstGeom>
                    <a:noFill/>
                    <a:ln w="9525">
                      <a:noFill/>
                      <a:headEnd/>
                      <a:tailEnd/>
                    </a:ln>
                  </pic:spPr>
                </pic:pic>
              </a:graphicData>
            </a:graphic>
          </wp:inline>
        </w:drawing>
      </w:r>
    </w:p>
    <w:p>
      <w:pPr>
        <w:pStyle w:val="ImageCaption"/>
      </w:pPr>
      <w:r>
        <w:t xml:space="preserve">Top Items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Rank</w:t>
            </w:r>
          </w:p>
        </w:tc>
        <w:tc>
          <w:tcPr/>
          <w:p>
            <w:pPr>
              <w:pStyle w:val="Compact"/>
              <w:jc w:val="left"/>
            </w:pPr>
            <w:r>
              <w:t xml:space="preserve">Item</w:t>
            </w:r>
          </w:p>
        </w:tc>
        <w:tc>
          <w:tcPr/>
          <w:p>
            <w:pPr>
              <w:pStyle w:val="Compact"/>
              <w:jc w:val="left"/>
            </w:pPr>
            <w:r>
              <w:t xml:space="preserve">% of Sales</w:t>
            </w:r>
          </w:p>
        </w:tc>
        <w:tc>
          <w:tcPr/>
          <w:p>
            <w:pPr>
              <w:pStyle w:val="Compact"/>
              <w:jc w:val="left"/>
            </w:pPr>
            <w:r>
              <w:t xml:space="preserve">Avg Price</w:t>
            </w:r>
          </w:p>
        </w:tc>
      </w:tr>
      <w:tr>
        <w:tc>
          <w:tcPr/>
          <w:p>
            <w:pPr>
              <w:pStyle w:val="Compact"/>
              <w:jc w:val="left"/>
            </w:pPr>
            <w:r>
              <w:t xml:space="preserve">1</w:t>
            </w:r>
          </w:p>
        </w:tc>
        <w:tc>
          <w:tcPr/>
          <w:p>
            <w:pPr>
              <w:pStyle w:val="Compact"/>
              <w:jc w:val="left"/>
            </w:pPr>
            <w:r>
              <w:t xml:space="preserve">T-Shirt</w:t>
            </w:r>
          </w:p>
        </w:tc>
        <w:tc>
          <w:tcPr/>
          <w:p>
            <w:pPr>
              <w:pStyle w:val="Compact"/>
              <w:jc w:val="left"/>
            </w:pPr>
            <w:r>
              <w:t xml:space="preserve">56%</w:t>
            </w:r>
          </w:p>
        </w:tc>
        <w:tc>
          <w:tcPr/>
          <w:p>
            <w:pPr>
              <w:pStyle w:val="Compact"/>
              <w:jc w:val="left"/>
            </w:pPr>
            <w:r>
              <w:t xml:space="preserve">$37</w:t>
            </w:r>
          </w:p>
        </w:tc>
      </w:tr>
      <w:tr>
        <w:tc>
          <w:tcPr/>
          <w:p>
            <w:pPr>
              <w:pStyle w:val="Compact"/>
              <w:jc w:val="left"/>
            </w:pPr>
            <w:r>
              <w:t xml:space="preserve">2</w:t>
            </w:r>
          </w:p>
        </w:tc>
        <w:tc>
          <w:tcPr/>
          <w:p>
            <w:pPr>
              <w:pStyle w:val="Compact"/>
              <w:jc w:val="left"/>
            </w:pPr>
            <w:r>
              <w:t xml:space="preserve">Pullover Hoodie</w:t>
            </w:r>
          </w:p>
        </w:tc>
        <w:tc>
          <w:tcPr/>
          <w:p>
            <w:pPr>
              <w:pStyle w:val="Compact"/>
              <w:jc w:val="left"/>
            </w:pPr>
            <w:r>
              <w:t xml:space="preserve">12%</w:t>
            </w:r>
          </w:p>
        </w:tc>
        <w:tc>
          <w:tcPr/>
          <w:p>
            <w:pPr>
              <w:pStyle w:val="Compact"/>
              <w:jc w:val="left"/>
            </w:pPr>
            <w:r>
              <w:t xml:space="preserve">$65</w:t>
            </w:r>
          </w:p>
        </w:tc>
      </w:tr>
      <w:tr>
        <w:tc>
          <w:tcPr/>
          <w:p>
            <w:pPr>
              <w:pStyle w:val="Compact"/>
              <w:jc w:val="left"/>
            </w:pPr>
            <w:r>
              <w:t xml:space="preserve">3</w:t>
            </w:r>
          </w:p>
        </w:tc>
        <w:tc>
          <w:tcPr/>
          <w:p>
            <w:pPr>
              <w:pStyle w:val="Compact"/>
              <w:jc w:val="left"/>
            </w:pPr>
            <w:r>
              <w:t xml:space="preserve">Hat</w:t>
            </w:r>
          </w:p>
        </w:tc>
        <w:tc>
          <w:tcPr/>
          <w:p>
            <w:pPr>
              <w:pStyle w:val="Compact"/>
              <w:jc w:val="left"/>
            </w:pPr>
            <w:r>
              <w:t xml:space="preserve">8%</w:t>
            </w:r>
          </w:p>
        </w:tc>
        <w:tc>
          <w:tcPr/>
          <w:p>
            <w:pPr>
              <w:pStyle w:val="Compact"/>
              <w:jc w:val="left"/>
            </w:pPr>
            <w:r>
              <w:t xml:space="preserve">$32</w:t>
            </w:r>
          </w:p>
        </w:tc>
      </w:tr>
      <w:tr>
        <w:tc>
          <w:tcPr/>
          <w:p>
            <w:pPr>
              <w:pStyle w:val="Compact"/>
              <w:jc w:val="left"/>
            </w:pPr>
            <w:r>
              <w:t xml:space="preserve">4</w:t>
            </w:r>
          </w:p>
        </w:tc>
        <w:tc>
          <w:tcPr/>
          <w:p>
            <w:pPr>
              <w:pStyle w:val="Compact"/>
              <w:jc w:val="left"/>
            </w:pPr>
            <w:r>
              <w:t xml:space="preserve">Koozie</w:t>
            </w:r>
          </w:p>
        </w:tc>
        <w:tc>
          <w:tcPr/>
          <w:p>
            <w:pPr>
              <w:pStyle w:val="Compact"/>
              <w:jc w:val="left"/>
            </w:pPr>
            <w:r>
              <w:t xml:space="preserve">5%</w:t>
            </w:r>
          </w:p>
        </w:tc>
        <w:tc>
          <w:tcPr/>
          <w:p>
            <w:pPr>
              <w:pStyle w:val="Compact"/>
              <w:jc w:val="left"/>
            </w:pPr>
            <w:r>
              <w:t xml:space="preserve">$8</w:t>
            </w:r>
          </w:p>
        </w:tc>
      </w:tr>
      <w:tr>
        <w:tc>
          <w:tcPr/>
          <w:p>
            <w:pPr>
              <w:pStyle w:val="Compact"/>
              <w:jc w:val="left"/>
            </w:pPr>
            <w:r>
              <w:t xml:space="preserve">5</w:t>
            </w:r>
          </w:p>
        </w:tc>
        <w:tc>
          <w:tcPr/>
          <w:p>
            <w:pPr>
              <w:pStyle w:val="Compact"/>
              <w:jc w:val="left"/>
            </w:pPr>
            <w:r>
              <w:t xml:space="preserve">Poster</w:t>
            </w:r>
          </w:p>
        </w:tc>
        <w:tc>
          <w:tcPr/>
          <w:p>
            <w:pPr>
              <w:pStyle w:val="Compact"/>
              <w:jc w:val="left"/>
            </w:pPr>
            <w:r>
              <w:t xml:space="preserve">4%</w:t>
            </w:r>
          </w:p>
        </w:tc>
        <w:tc>
          <w:tcPr/>
          <w:p>
            <w:pPr>
              <w:pStyle w:val="Compact"/>
              <w:jc w:val="left"/>
            </w:pPr>
            <w:r>
              <w:t xml:space="preserve">$18</w:t>
            </w:r>
          </w:p>
        </w:tc>
      </w:tr>
      <w:tr>
        <w:tc>
          <w:tcPr/>
          <w:p>
            <w:pPr>
              <w:pStyle w:val="Compact"/>
              <w:jc w:val="left"/>
            </w:pPr>
            <w:r>
              <w:t xml:space="preserve">6</w:t>
            </w:r>
          </w:p>
        </w:tc>
        <w:tc>
          <w:tcPr/>
          <w:p>
            <w:pPr>
              <w:pStyle w:val="Compact"/>
              <w:jc w:val="left"/>
            </w:pPr>
            <w:r>
              <w:t xml:space="preserve">Sweatshirt</w:t>
            </w:r>
          </w:p>
        </w:tc>
        <w:tc>
          <w:tcPr/>
          <w:p>
            <w:pPr>
              <w:pStyle w:val="Compact"/>
              <w:jc w:val="left"/>
            </w:pPr>
            <w:r>
              <w:t xml:space="preserve">4%</w:t>
            </w:r>
          </w:p>
        </w:tc>
        <w:tc>
          <w:tcPr/>
          <w:p>
            <w:pPr>
              <w:pStyle w:val="Compact"/>
              <w:jc w:val="left"/>
            </w:pPr>
            <w:r>
              <w:t xml:space="preserve">$55</w:t>
            </w:r>
          </w:p>
        </w:tc>
      </w:tr>
      <w:tr>
        <w:tc>
          <w:tcPr/>
          <w:p>
            <w:pPr>
              <w:pStyle w:val="Compact"/>
              <w:jc w:val="left"/>
            </w:pPr>
            <w:r>
              <w:t xml:space="preserve">7</w:t>
            </w:r>
          </w:p>
        </w:tc>
        <w:tc>
          <w:tcPr/>
          <w:p>
            <w:pPr>
              <w:pStyle w:val="Compact"/>
              <w:jc w:val="left"/>
            </w:pPr>
            <w:r>
              <w:t xml:space="preserve">Bag/Tote</w:t>
            </w:r>
          </w:p>
        </w:tc>
        <w:tc>
          <w:tcPr/>
          <w:p>
            <w:pPr>
              <w:pStyle w:val="Compact"/>
              <w:jc w:val="left"/>
            </w:pPr>
            <w:r>
              <w:t xml:space="preserve">3%</w:t>
            </w:r>
          </w:p>
        </w:tc>
        <w:tc>
          <w:tcPr/>
          <w:p>
            <w:pPr>
              <w:pStyle w:val="Compact"/>
              <w:jc w:val="left"/>
            </w:pPr>
            <w:r>
              <w:t xml:space="preserve">$28</w:t>
            </w:r>
          </w:p>
        </w:tc>
      </w:tr>
      <w:tr>
        <w:tc>
          <w:tcPr/>
          <w:p>
            <w:pPr>
              <w:pStyle w:val="Compact"/>
              <w:jc w:val="left"/>
            </w:pPr>
            <w:r>
              <w:t xml:space="preserve">8</w:t>
            </w:r>
          </w:p>
        </w:tc>
        <w:tc>
          <w:tcPr/>
          <w:p>
            <w:pPr>
              <w:pStyle w:val="Compact"/>
              <w:jc w:val="left"/>
            </w:pPr>
            <w:r>
              <w:t xml:space="preserve">Long Sleeve</w:t>
            </w:r>
          </w:p>
        </w:tc>
        <w:tc>
          <w:tcPr/>
          <w:p>
            <w:pPr>
              <w:pStyle w:val="Compact"/>
              <w:jc w:val="left"/>
            </w:pPr>
            <w:r>
              <w:t xml:space="preserve">3%</w:t>
            </w:r>
          </w:p>
        </w:tc>
        <w:tc>
          <w:tcPr/>
          <w:p>
            <w:pPr>
              <w:pStyle w:val="Compact"/>
              <w:jc w:val="left"/>
            </w:pPr>
            <w:r>
              <w:t xml:space="preserve">$40</w:t>
            </w:r>
          </w:p>
        </w:tc>
      </w:tr>
      <w:tr>
        <w:tc>
          <w:tcPr/>
          <w:p>
            <w:pPr>
              <w:pStyle w:val="Compact"/>
              <w:jc w:val="left"/>
            </w:pPr>
            <w:r>
              <w:t xml:space="preserve">9</w:t>
            </w:r>
          </w:p>
        </w:tc>
        <w:tc>
          <w:tcPr/>
          <w:p>
            <w:pPr>
              <w:pStyle w:val="Compact"/>
              <w:jc w:val="left"/>
            </w:pPr>
            <w:r>
              <w:t xml:space="preserve">Vinyl Record</w:t>
            </w:r>
          </w:p>
        </w:tc>
        <w:tc>
          <w:tcPr/>
          <w:p>
            <w:pPr>
              <w:pStyle w:val="Compact"/>
              <w:jc w:val="left"/>
            </w:pPr>
            <w:r>
              <w:t xml:space="preserve">3%</w:t>
            </w:r>
          </w:p>
        </w:tc>
        <w:tc>
          <w:tcPr/>
          <w:p>
            <w:pPr>
              <w:pStyle w:val="Compact"/>
              <w:jc w:val="left"/>
            </w:pPr>
            <w:r>
              <w:t xml:space="preserve">$37</w:t>
            </w:r>
          </w:p>
        </w:tc>
      </w:tr>
      <w:tr>
        <w:tc>
          <w:tcPr/>
          <w:p>
            <w:pPr>
              <w:pStyle w:val="Compact"/>
              <w:jc w:val="left"/>
            </w:pPr>
            <w:r>
              <w:t xml:space="preserve">10</w:t>
            </w:r>
          </w:p>
        </w:tc>
        <w:tc>
          <w:tcPr/>
          <w:p>
            <w:pPr>
              <w:pStyle w:val="Compact"/>
              <w:jc w:val="left"/>
            </w:pPr>
            <w:r>
              <w:t xml:space="preserve">Stickers</w:t>
            </w:r>
          </w:p>
        </w:tc>
        <w:tc>
          <w:tcPr/>
          <w:p>
            <w:pPr>
              <w:pStyle w:val="Compact"/>
              <w:jc w:val="left"/>
            </w:pPr>
            <w:r>
              <w:t xml:space="preserve">2%</w:t>
            </w:r>
          </w:p>
        </w:tc>
        <w:tc>
          <w:tcPr/>
          <w:p>
            <w:pPr>
              <w:pStyle w:val="Compact"/>
              <w:jc w:val="left"/>
            </w:pPr>
            <w:r>
              <w:t xml:space="preserve">$5</w:t>
            </w:r>
          </w:p>
        </w:tc>
      </w:tr>
    </w:tbl>
    <w:p>
      <w:r>
        <w:pict>
          <v:rect style="width:0;height:1.5pt" o:hralign="center" o:hrstd="t" o:hr="t"/>
        </w:pict>
      </w:r>
    </w:p>
    <w:bookmarkEnd w:id="69"/>
    <w:bookmarkEnd w:id="70"/>
    <w:bookmarkStart w:id="77" w:name="music-industry-merchandise"/>
    <w:p>
      <w:pPr>
        <w:pStyle w:val="Heading2"/>
      </w:pPr>
      <w:r>
        <w:t xml:space="preserve">7. Music Industry Merchandise</w:t>
      </w:r>
    </w:p>
    <w:bookmarkStart w:id="74" w:name="major-players"/>
    <w:p>
      <w:pPr>
        <w:pStyle w:val="Heading3"/>
      </w:pPr>
      <w:r>
        <w:t xml:space="preserve">7.1 Major Players</w:t>
      </w:r>
    </w:p>
    <w:p>
      <w:pPr>
        <w:pStyle w:val="CaptionedFigure"/>
      </w:pPr>
      <w:r>
        <w:drawing>
          <wp:inline>
            <wp:extent cx="5334000" cy="3020225"/>
            <wp:effectExtent b="0" l="0" r="0" t="0"/>
            <wp:docPr descr="Top Tours" title="" id="72" name="Picture"/>
            <a:graphic>
              <a:graphicData uri="http://schemas.openxmlformats.org/drawingml/2006/picture">
                <pic:pic>
                  <pic:nvPicPr>
                    <pic:cNvPr descr="/mnt/agents/output/charts/top_tours_merch.png" id="73" name="Picture"/>
                    <pic:cNvPicPr>
                      <a:picLocks noChangeArrowheads="1" noChangeAspect="1"/>
                    </pic:cNvPicPr>
                  </pic:nvPicPr>
                  <pic:blipFill>
                    <a:blip r:embed="rId71"/>
                    <a:stretch>
                      <a:fillRect/>
                    </a:stretch>
                  </pic:blipFill>
                  <pic:spPr bwMode="auto">
                    <a:xfrm>
                      <a:off x="0" y="0"/>
                      <a:ext cx="5334000" cy="3020225"/>
                    </a:xfrm>
                    <a:prstGeom prst="rect">
                      <a:avLst/>
                    </a:prstGeom>
                    <a:noFill/>
                    <a:ln w="9525">
                      <a:noFill/>
                      <a:headEnd/>
                      <a:tailEnd/>
                    </a:ln>
                  </pic:spPr>
                </pic:pic>
              </a:graphicData>
            </a:graphic>
          </wp:inline>
        </w:drawing>
      </w:r>
    </w:p>
    <w:p>
      <w:pPr>
        <w:pStyle w:val="ImageCaption"/>
      </w:pPr>
      <w:r>
        <w:t xml:space="preserve">Top Tours</w:t>
      </w:r>
    </w:p>
    <w:p>
      <w:pPr>
        <w:pStyle w:val="BodyText"/>
      </w:pPr>
      <w:r>
        <w:rPr>
          <w:bCs/>
          <w:b/>
        </w:rPr>
        <w:t xml:space="preserve">Bravado (Universal Music Group):</w:t>
      </w:r>
      <w:r>
        <w:t xml:space="preserve"> </w:t>
      </w:r>
      <w:r>
        <w:t xml:space="preserve">- Revenue: €811 million ($885M) in 2025</w:t>
      </w:r>
      <w:r>
        <w:t xml:space="preserve"> </w:t>
      </w:r>
      <w:r>
        <w:t xml:space="preserve">- EBITDA margin:</w:t>
      </w:r>
      <w:r>
        <w:t xml:space="preserve"> </w:t>
      </w:r>
      <w:r>
        <w:rPr>
          <w:bCs/>
          <w:b/>
        </w:rPr>
        <w:t xml:space="preserve">2.0%</w:t>
      </w:r>
      <w:r>
        <w:t xml:space="preserve"> </w:t>
      </w:r>
      <w:r>
        <w:t xml:space="preserve">(compressed from 5.1% in 2024)</w:t>
      </w:r>
      <w:r>
        <w:t xml:space="preserve"> </w:t>
      </w:r>
      <w:r>
        <w:t xml:space="preserve">- Operations: 1,600+ artist online stores, 200M+ registered fans</w:t>
      </w:r>
      <w:r>
        <w:t xml:space="preserve"> </w:t>
      </w:r>
      <w:r>
        <w:t xml:space="preserve">- Client roster: Taylor Swift, BTS, The Weeknd, Ariana Grande, Billie Eilish, Elton John, The Rolling Stones, Travis Scott, Bad Bunny, Olivia Rodrigo, Madonna</w:t>
      </w:r>
      <w:r>
        <w:t xml:space="preserve"> </w:t>
      </w:r>
      <w:r>
        <w:t xml:space="preserve">- Four revenue streams: touring income, retail wholesale, licensing, e-commerce/D2C</w:t>
      </w:r>
    </w:p>
    <w:p>
      <w:pPr>
        <w:pStyle w:val="BodyText"/>
      </w:pPr>
      <w:r>
        <w:rPr>
          <w:bCs/>
          <w:b/>
        </w:rPr>
        <w:t xml:space="preserve">Live Nation Entertainment:</w:t>
      </w:r>
      <w:r>
        <w:t xml:space="preserve"> </w:t>
      </w:r>
      <w:r>
        <w:t xml:space="preserve">- Revenue:</w:t>
      </w:r>
      <w:r>
        <w:t xml:space="preserve"> </w:t>
      </w:r>
      <w:r>
        <w:rPr>
          <w:bCs/>
          <w:b/>
        </w:rPr>
        <w:t xml:space="preserve">$25.2 billion</w:t>
      </w:r>
      <w:r>
        <w:t xml:space="preserve"> </w:t>
      </w:r>
      <w:r>
        <w:t xml:space="preserve">in 2025 (up 9% YoY)</w:t>
      </w:r>
      <w:r>
        <w:t xml:space="preserve"> </w:t>
      </w:r>
      <w:r>
        <w:t xml:space="preserve">- Fan attendance: 159 million across 55,000+ shows</w:t>
      </w:r>
      <w:r>
        <w:t xml:space="preserve"> </w:t>
      </w:r>
      <w:r>
        <w:t xml:space="preserve">- Venue network: 200+ venues, 40,000+ events annually</w:t>
      </w:r>
      <w:r>
        <w:t xml:space="preserve"> </w:t>
      </w:r>
      <w:r>
        <w:t xml:space="preserve">- Concert Adjusted Operating Income: record $687 million (up 30% YoY)</w:t>
      </w:r>
    </w:p>
    <w:p>
      <w:pPr>
        <w:pStyle w:val="BodyText"/>
      </w:pPr>
      <w:r>
        <w:rPr>
          <w:bCs/>
          <w:b/>
        </w:rPr>
        <w:t xml:space="preserve">Warner Music Group:</w:t>
      </w:r>
      <w:r>
        <w:t xml:space="preserve"> </w:t>
      </w:r>
      <w:r>
        <w:t xml:space="preserve">- Artist Services revenue: $327 million in Q3 2025 (up 64.3% YoY)</w:t>
      </w:r>
      <w:r>
        <w:t xml:space="preserve"> </w:t>
      </w:r>
      <w:r>
        <w:t xml:space="preserve">-</w:t>
      </w:r>
      <w:r>
        <w:t xml:space="preserve"> </w:t>
      </w:r>
      <w:r>
        <w:t xml:space="preserve">“</w:t>
      </w:r>
      <w:r>
        <w:t xml:space="preserve">Expanded rights</w:t>
      </w:r>
      <w:r>
        <w:t xml:space="preserve">”</w:t>
      </w:r>
      <w:r>
        <w:t xml:space="preserve"> </w:t>
      </w:r>
      <w:r>
        <w:t xml:space="preserve">(merch, live, branding) is the fastest-growing segment</w:t>
      </w:r>
    </w:p>
    <w:bookmarkEnd w:id="74"/>
    <w:bookmarkStart w:id="75" w:name="case-study-taylor-swift-eras-tour"/>
    <w:p>
      <w:pPr>
        <w:pStyle w:val="Heading3"/>
      </w:pPr>
      <w:r>
        <w:t xml:space="preserve">7.2 Case Study: Taylor Swift Eras Tour</w:t>
      </w:r>
    </w:p>
    <w:p>
      <w:pPr>
        <w:pStyle w:val="FirstParagraph"/>
      </w:pPr>
      <w:r>
        <w:t xml:space="preserve">The Eras Tour represents the most commercially successful live event in history and a masterclass in merchandise strategy:</w:t>
      </w:r>
    </w:p>
    <w:tbl>
      <w:tblPr>
        <w:tblStyle w:val="Table"/>
        <w:tblW w:type="pct" w:w="5000"/>
        <w:tblLook w:firstRow="1" w:lastRow="0" w:firstColumn="0" w:lastColumn="0" w:noHBand="0" w:noVBand="0" w:val="0020"/>
      </w:tblPr>
      <w:tblGrid>
        <w:gridCol w:w="4224"/>
        <w:gridCol w:w="3696"/>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ticket sales</w:t>
            </w:r>
          </w:p>
        </w:tc>
        <w:tc>
          <w:tcPr/>
          <w:p>
            <w:pPr>
              <w:pStyle w:val="Compact"/>
              <w:jc w:val="left"/>
            </w:pPr>
            <w:r>
              <w:rPr>
                <w:bCs/>
                <w:b/>
              </w:rPr>
              <w:t xml:space="preserve">$2.078 billion</w:t>
            </w:r>
            <w:r>
              <w:t xml:space="preserve"> </w:t>
            </w:r>
            <w:r>
              <w:t xml:space="preserve">(first tour to surpass $2B)</w:t>
            </w:r>
          </w:p>
        </w:tc>
      </w:tr>
      <w:tr>
        <w:tc>
          <w:tcPr/>
          <w:p>
            <w:pPr>
              <w:pStyle w:val="Compact"/>
              <w:jc w:val="left"/>
            </w:pPr>
            <w:r>
              <w:t xml:space="preserve">Estimated merchandise revenue</w:t>
            </w:r>
          </w:p>
        </w:tc>
        <w:tc>
          <w:tcPr/>
          <w:p>
            <w:pPr>
              <w:pStyle w:val="Compact"/>
              <w:jc w:val="left"/>
            </w:pPr>
            <w:r>
              <w:rPr>
                <w:bCs/>
                <w:b/>
              </w:rPr>
              <w:t xml:space="preserve">$440.8 million</w:t>
            </w:r>
          </w:p>
        </w:tc>
      </w:tr>
      <w:tr>
        <w:tc>
          <w:tcPr/>
          <w:p>
            <w:pPr>
              <w:pStyle w:val="Compact"/>
              <w:jc w:val="left"/>
            </w:pPr>
            <w:r>
              <w:t xml:space="preserve">Average merch spend per fan</w:t>
            </w:r>
          </w:p>
        </w:tc>
        <w:tc>
          <w:tcPr/>
          <w:p>
            <w:pPr>
              <w:pStyle w:val="Compact"/>
              <w:jc w:val="left"/>
            </w:pPr>
            <w:r>
              <w:rPr>
                <w:bCs/>
                <w:b/>
              </w:rPr>
              <w:t xml:space="preserve">$40</w:t>
            </w:r>
          </w:p>
        </w:tc>
      </w:tr>
      <w:tr>
        <w:tc>
          <w:tcPr/>
          <w:p>
            <w:pPr>
              <w:pStyle w:val="Compact"/>
              <w:jc w:val="left"/>
            </w:pPr>
            <w:r>
              <w:t xml:space="preserve">Total shows</w:t>
            </w:r>
          </w:p>
        </w:tc>
        <w:tc>
          <w:tcPr/>
          <w:p>
            <w:pPr>
              <w:pStyle w:val="Compact"/>
              <w:jc w:val="left"/>
            </w:pPr>
            <w:r>
              <w:t xml:space="preserve">149 (10.17 million tickets)</w:t>
            </w:r>
          </w:p>
        </w:tc>
      </w:tr>
      <w:tr>
        <w:tc>
          <w:tcPr/>
          <w:p>
            <w:pPr>
              <w:pStyle w:val="Compact"/>
              <w:jc w:val="left"/>
            </w:pPr>
            <w:r>
              <w:t xml:space="preserve">Economic impact (North America)</w:t>
            </w:r>
          </w:p>
        </w:tc>
        <w:tc>
          <w:tcPr/>
          <w:p>
            <w:pPr>
              <w:pStyle w:val="Compact"/>
              <w:jc w:val="left"/>
            </w:pPr>
            <w:r>
              <w:rPr>
                <w:bCs/>
                <w:b/>
              </w:rPr>
              <w:t xml:space="preserve">$7 billion</w:t>
            </w:r>
            <w:r>
              <w:t xml:space="preserve"> </w:t>
            </w:r>
            <w:r>
              <w:t xml:space="preserve">in retail sales</w:t>
            </w:r>
          </w:p>
        </w:tc>
      </w:tr>
      <w:tr>
        <w:tc>
          <w:tcPr/>
          <w:p>
            <w:pPr>
              <w:pStyle w:val="Compact"/>
              <w:jc w:val="left"/>
            </w:pPr>
            <w:r>
              <w:t xml:space="preserve">Per-fan total spend</w:t>
            </w:r>
          </w:p>
        </w:tc>
        <w:tc>
          <w:tcPr/>
          <w:p>
            <w:pPr>
              <w:pStyle w:val="Compact"/>
              <w:jc w:val="left"/>
            </w:pPr>
            <w:r>
              <w:t xml:space="preserve">$1,572 (including travel, accommodation)</w:t>
            </w:r>
          </w:p>
        </w:tc>
      </w:tr>
      <w:tr>
        <w:tc>
          <w:tcPr/>
          <w:p>
            <w:pPr>
              <w:pStyle w:val="Compact"/>
              <w:jc w:val="left"/>
            </w:pPr>
            <w:r>
              <w:t xml:space="preserve">Concert movie gross</w:t>
            </w:r>
          </w:p>
        </w:tc>
        <w:tc>
          <w:tcPr/>
          <w:p>
            <w:pPr>
              <w:pStyle w:val="Compact"/>
              <w:jc w:val="left"/>
            </w:pPr>
            <w:r>
              <w:t xml:space="preserve">$261.66 million (highest-grossing concert film ever)</w:t>
            </w:r>
          </w:p>
        </w:tc>
      </w:tr>
      <w:tr>
        <w:tc>
          <w:tcPr/>
          <w:p>
            <w:pPr>
              <w:pStyle w:val="Compact"/>
              <w:jc w:val="left"/>
            </w:pPr>
            <w:r>
              <w:t xml:space="preserve">Crew bonuses distributed</w:t>
            </w:r>
          </w:p>
        </w:tc>
        <w:tc>
          <w:tcPr/>
          <w:p>
            <w:pPr>
              <w:pStyle w:val="Compact"/>
              <w:jc w:val="left"/>
            </w:pPr>
            <w:r>
              <w:t xml:space="preserve">$197 million</w:t>
            </w:r>
          </w:p>
        </w:tc>
      </w:tr>
    </w:tbl>
    <w:p>
      <w:pPr>
        <w:pStyle w:val="BodyText"/>
      </w:pPr>
      <w:r>
        <w:t xml:space="preserve">Swift’s merchandise strategy combined limited-edition drops, pop-up retail experiences, and D2C pre-orders to maximize per-fan revenue while maintaining brand exclusivity.</w:t>
      </w:r>
    </w:p>
    <w:bookmarkEnd w:id="75"/>
    <w:bookmarkStart w:id="76" w:name="independent-artist-merch-economics"/>
    <w:p>
      <w:pPr>
        <w:pStyle w:val="Heading3"/>
      </w:pPr>
      <w:r>
        <w:t xml:space="preserve">7.3 Independent Artist Merch Economics</w:t>
      </w:r>
    </w:p>
    <w:p>
      <w:pPr>
        <w:pStyle w:val="FirstParagraph"/>
      </w:pPr>
      <w:r>
        <w:t xml:space="preserve">For artists outside the major label system, merchandise represents an even more critical revenue source: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Venue Size</w:t>
            </w:r>
          </w:p>
        </w:tc>
        <w:tc>
          <w:tcPr/>
          <w:p>
            <w:pPr>
              <w:pStyle w:val="Compact"/>
              <w:jc w:val="left"/>
            </w:pPr>
            <w:r>
              <w:t xml:space="preserve">Merch per Head</w:t>
            </w:r>
          </w:p>
        </w:tc>
        <w:tc>
          <w:tcPr/>
          <w:p>
            <w:pPr>
              <w:pStyle w:val="Compact"/>
              <w:jc w:val="left"/>
            </w:pPr>
            <w:r>
              <w:t xml:space="preserve">Annual Potential</w:t>
            </w:r>
          </w:p>
        </w:tc>
      </w:tr>
      <w:tr>
        <w:tc>
          <w:tcPr/>
          <w:p>
            <w:pPr>
              <w:pStyle w:val="Compact"/>
              <w:jc w:val="left"/>
            </w:pPr>
            <w:r>
              <w:t xml:space="preserve">200-cap club</w:t>
            </w:r>
          </w:p>
        </w:tc>
        <w:tc>
          <w:tcPr/>
          <w:p>
            <w:pPr>
              <w:pStyle w:val="Compact"/>
              <w:jc w:val="left"/>
            </w:pPr>
            <w:r>
              <w:t xml:space="preserve">$5-8</w:t>
            </w:r>
          </w:p>
        </w:tc>
        <w:tc>
          <w:tcPr/>
          <w:p>
            <w:pPr>
              <w:pStyle w:val="Compact"/>
              <w:jc w:val="left"/>
            </w:pPr>
            <w:r>
              <w:t xml:space="preserve">$10-20K (50 shows)</w:t>
            </w:r>
          </w:p>
        </w:tc>
      </w:tr>
      <w:tr>
        <w:tc>
          <w:tcPr/>
          <w:p>
            <w:pPr>
              <w:pStyle w:val="Compact"/>
              <w:jc w:val="left"/>
            </w:pPr>
            <w:r>
              <w:t xml:space="preserve">500-cap venue</w:t>
            </w:r>
          </w:p>
        </w:tc>
        <w:tc>
          <w:tcPr/>
          <w:p>
            <w:pPr>
              <w:pStyle w:val="Compact"/>
              <w:jc w:val="left"/>
            </w:pPr>
            <w:r>
              <w:t xml:space="preserve">$8-12</w:t>
            </w:r>
          </w:p>
        </w:tc>
        <w:tc>
          <w:tcPr/>
          <w:p>
            <w:pPr>
              <w:pStyle w:val="Compact"/>
              <w:jc w:val="left"/>
            </w:pPr>
            <w:r>
              <w:t xml:space="preserve">$40-80K (100 shows)</w:t>
            </w:r>
          </w:p>
        </w:tc>
      </w:tr>
      <w:tr>
        <w:tc>
          <w:tcPr/>
          <w:p>
            <w:pPr>
              <w:pStyle w:val="Compact"/>
              <w:jc w:val="left"/>
            </w:pPr>
            <w:r>
              <w:t xml:space="preserve">1,500-cap theater</w:t>
            </w:r>
          </w:p>
        </w:tc>
        <w:tc>
          <w:tcPr/>
          <w:p>
            <w:pPr>
              <w:pStyle w:val="Compact"/>
              <w:jc w:val="left"/>
            </w:pPr>
            <w:r>
              <w:t xml:space="preserve">$8-10</w:t>
            </w:r>
          </w:p>
        </w:tc>
        <w:tc>
          <w:tcPr/>
          <w:p>
            <w:pPr>
              <w:pStyle w:val="Compact"/>
              <w:jc w:val="left"/>
            </w:pPr>
            <w:r>
              <w:t xml:space="preserve">$80-150K (100 shows)</w:t>
            </w:r>
          </w:p>
        </w:tc>
      </w:tr>
      <w:tr>
        <w:tc>
          <w:tcPr/>
          <w:p>
            <w:pPr>
              <w:pStyle w:val="Compact"/>
              <w:jc w:val="left"/>
            </w:pPr>
            <w:r>
              <w:t xml:space="preserve">3,000-cap hall</w:t>
            </w:r>
          </w:p>
        </w:tc>
        <w:tc>
          <w:tcPr/>
          <w:p>
            <w:pPr>
              <w:pStyle w:val="Compact"/>
              <w:jc w:val="left"/>
            </w:pPr>
            <w:r>
              <w:t xml:space="preserve">$5-8</w:t>
            </w:r>
          </w:p>
        </w:tc>
        <w:tc>
          <w:tcPr/>
          <w:p>
            <w:pPr>
              <w:pStyle w:val="Compact"/>
              <w:jc w:val="left"/>
            </w:pPr>
            <w:r>
              <w:t xml:space="preserve">$150-240K (80 shows)</w:t>
            </w:r>
          </w:p>
        </w:tc>
      </w:tr>
    </w:tbl>
    <w:p>
      <w:pPr>
        <w:pStyle w:val="BodyText"/>
      </w:pPr>
      <w:r>
        <w:t xml:space="preserve">The key principle:</w:t>
      </w:r>
      <w:r>
        <w:t xml:space="preserve"> </w:t>
      </w:r>
      <w:r>
        <w:rPr>
          <w:bCs/>
          <w:b/>
        </w:rPr>
        <w:t xml:space="preserve">merch routinely outearns ticket revenue</w:t>
      </w:r>
      <w:r>
        <w:t xml:space="preserve"> </w:t>
      </w:r>
      <w:r>
        <w:t xml:space="preserve">at the sub-3,000 capacity level. Independent artists on Bandcamp keep</w:t>
      </w:r>
      <w:r>
        <w:t xml:space="preserve"> </w:t>
      </w:r>
      <w:r>
        <w:rPr>
          <w:bCs/>
          <w:b/>
        </w:rPr>
        <w:t xml:space="preserve">85-90% of revenue</w:t>
      </w:r>
      <w:r>
        <w:t xml:space="preserve">, while those using Shopify retain ~75%.</w:t>
      </w:r>
    </w:p>
    <w:p>
      <w:r>
        <w:pict>
          <v:rect style="width:0;height:1.5pt" o:hralign="center" o:hrstd="t" o:hr="t"/>
        </w:pict>
      </w:r>
    </w:p>
    <w:bookmarkEnd w:id="76"/>
    <w:bookmarkEnd w:id="77"/>
    <w:bookmarkStart w:id="84" w:name="k-pop-merchandise-ecosystem"/>
    <w:p>
      <w:pPr>
        <w:pStyle w:val="Heading2"/>
      </w:pPr>
      <w:r>
        <w:t xml:space="preserve">8. K-Pop Merchandise Ecosystem</w:t>
      </w:r>
    </w:p>
    <w:bookmarkStart w:id="81" w:name="the-k-pop-merchandise-machine"/>
    <w:p>
      <w:pPr>
        <w:pStyle w:val="Heading3"/>
      </w:pPr>
      <w:r>
        <w:t xml:space="preserve">8.1 The K-Pop Merchandise Machine</w:t>
      </w:r>
    </w:p>
    <w:p>
      <w:pPr>
        <w:pStyle w:val="CaptionedFigure"/>
      </w:pPr>
      <w:r>
        <w:drawing>
          <wp:inline>
            <wp:extent cx="5334000" cy="2304005"/>
            <wp:effectExtent b="0" l="0" r="0" t="0"/>
            <wp:docPr descr="K-Pop Data" title="" id="79" name="Picture"/>
            <a:graphic>
              <a:graphicData uri="http://schemas.openxmlformats.org/drawingml/2006/picture">
                <pic:pic>
                  <pic:nvPicPr>
                    <pic:cNvPr descr="/mnt/agents/output/charts/kpop_genre_spending.png" id="80" name="Picture"/>
                    <pic:cNvPicPr>
                      <a:picLocks noChangeArrowheads="1" noChangeAspect="1"/>
                    </pic:cNvPicPr>
                  </pic:nvPicPr>
                  <pic:blipFill>
                    <a:blip r:embed="rId78"/>
                    <a:stretch>
                      <a:fillRect/>
                    </a:stretch>
                  </pic:blipFill>
                  <pic:spPr bwMode="auto">
                    <a:xfrm>
                      <a:off x="0" y="0"/>
                      <a:ext cx="5334000" cy="2304005"/>
                    </a:xfrm>
                    <a:prstGeom prst="rect">
                      <a:avLst/>
                    </a:prstGeom>
                    <a:noFill/>
                    <a:ln w="9525">
                      <a:noFill/>
                      <a:headEnd/>
                      <a:tailEnd/>
                    </a:ln>
                  </pic:spPr>
                </pic:pic>
              </a:graphicData>
            </a:graphic>
          </wp:inline>
        </w:drawing>
      </w:r>
    </w:p>
    <w:p>
      <w:pPr>
        <w:pStyle w:val="ImageCaption"/>
      </w:pPr>
      <w:r>
        <w:t xml:space="preserve">K-Pop Data</w:t>
      </w:r>
    </w:p>
    <w:p>
      <w:pPr>
        <w:pStyle w:val="BodyText"/>
      </w:pPr>
      <w:r>
        <w:t xml:space="preserve">K-pop operates a fundamentally different merchandise model than Western music — one that treats merch as a core revenue pillar rather than an ancillary income source. The</w:t>
      </w:r>
      <w:r>
        <w:t xml:space="preserve"> </w:t>
      </w:r>
      <w:r>
        <w:t xml:space="preserve">“</w:t>
      </w:r>
      <w:r>
        <w:t xml:space="preserve">Big 4</w:t>
      </w:r>
      <w:r>
        <w:t xml:space="preserve">”</w:t>
      </w:r>
      <w:r>
        <w:t xml:space="preserve"> </w:t>
      </w:r>
      <w:r>
        <w:t xml:space="preserve">agencies (HYBE, SM, JYP, YG) are forecast to generate a combined</w:t>
      </w:r>
      <w:r>
        <w:t xml:space="preserve"> </w:t>
      </w:r>
      <w:r>
        <w:rPr>
          <w:bCs/>
          <w:b/>
        </w:rPr>
        <w:t xml:space="preserve">$760 million in merchandise revenue in 2025</w:t>
      </w:r>
      <w:r>
        <w:t xml:space="preserve">, a 26% increase from 2024.</w:t>
      </w:r>
    </w:p>
    <w:p>
      <w:pPr>
        <w:pStyle w:val="BodyText"/>
      </w:pPr>
      <w:r>
        <w:rPr>
          <w:bCs/>
          <w:b/>
        </w:rPr>
        <w:t xml:space="preserve">HYBE (Parent of BTS, SEVENTEEN, ENHYPEN, TOMORROW X TOGETHER):</w:t>
      </w:r>
      <w:r>
        <w:t xml:space="preserve"> </w:t>
      </w:r>
      <w:r>
        <w:t xml:space="preserve">- Annual revenue:</w:t>
      </w:r>
      <w:r>
        <w:t xml:space="preserve"> </w:t>
      </w:r>
      <w:r>
        <w:rPr>
          <w:bCs/>
          <w:b/>
        </w:rPr>
        <w:t xml:space="preserve">$1.86 billion</w:t>
      </w:r>
      <w:r>
        <w:t xml:space="preserve"> </w:t>
      </w:r>
      <w:r>
        <w:t xml:space="preserve">(2025)</w:t>
      </w:r>
      <w:r>
        <w:t xml:space="preserve"> </w:t>
      </w:r>
      <w:r>
        <w:t xml:space="preserve">- Merchandise + licensing Q3 2025: KRW 168.3 billion (</w:t>
      </w:r>
      <w:r>
        <w:rPr>
          <w:bCs/>
          <w:b/>
        </w:rPr>
        <w:t xml:space="preserve">$115 million, up 70% YoY</w:t>
      </w:r>
      <w:r>
        <w:t xml:space="preserve">)</w:t>
      </w:r>
      <w:r>
        <w:t xml:space="preserve"> </w:t>
      </w:r>
      <w:r>
        <w:t xml:space="preserve">- Weverse platform:</w:t>
      </w:r>
      <w:r>
        <w:t xml:space="preserve"> </w:t>
      </w:r>
      <w:r>
        <w:rPr>
          <w:bCs/>
          <w:b/>
        </w:rPr>
        <w:t xml:space="preserve">13.37 million MAU</w:t>
      </w:r>
      <w:r>
        <w:t xml:space="preserve">, turned profitable in 2025</w:t>
      </w:r>
      <w:r>
        <w:t xml:space="preserve"> </w:t>
      </w:r>
      <w:r>
        <w:t xml:space="preserve">- 178 artists on platform</w:t>
      </w:r>
    </w:p>
    <w:bookmarkEnd w:id="81"/>
    <w:bookmarkStart w:id="82" w:name="unique-k-pop-merch-categories"/>
    <w:p>
      <w:pPr>
        <w:pStyle w:val="Heading3"/>
      </w:pPr>
      <w:r>
        <w:t xml:space="preserve">8.2 Unique K-Pop Merch Categories</w:t>
      </w:r>
    </w:p>
    <w:p>
      <w:pPr>
        <w:pStyle w:val="FirstParagraph"/>
      </w:pPr>
      <w:r>
        <w:rPr>
          <w:bCs/>
          <w:b/>
        </w:rPr>
        <w:t xml:space="preserve">Light Sticks:</w:t>
      </w:r>
      <w:r>
        <w:t xml:space="preserve"> </w:t>
      </w:r>
      <w:r>
        <w:t xml:space="preserve">Officially branded Bluetooth-enabled concert props that have become collectible items in their own right. BTS light sticks (ARMY Bomb) retail for ~$33 but command</w:t>
      </w:r>
      <w:r>
        <w:t xml:space="preserve"> </w:t>
      </w:r>
      <w:r>
        <w:rPr>
          <w:bCs/>
          <w:b/>
        </w:rPr>
        <w:t xml:space="preserve">$100-200 resale</w:t>
      </w:r>
      <w:r>
        <w:t xml:space="preserve"> </w:t>
      </w:r>
      <w:r>
        <w:t xml:space="preserve">($300 for limited editions), representing a 500-900% premium. Light stick transaction volume surged</w:t>
      </w:r>
      <w:r>
        <w:t xml:space="preserve"> </w:t>
      </w:r>
      <w:r>
        <w:rPr>
          <w:bCs/>
          <w:b/>
        </w:rPr>
        <w:t xml:space="preserve">513%</w:t>
      </w:r>
      <w:r>
        <w:t xml:space="preserve"> </w:t>
      </w:r>
      <w:r>
        <w:t xml:space="preserve">on resale platform Kream ahead of BTS’s 2026 comeback concert.</w:t>
      </w:r>
    </w:p>
    <w:p>
      <w:pPr>
        <w:pStyle w:val="BodyText"/>
      </w:pPr>
      <w:r>
        <w:rPr>
          <w:bCs/>
          <w:b/>
        </w:rPr>
        <w:t xml:space="preserve">Photocards:</w:t>
      </w:r>
      <w:r>
        <w:t xml:space="preserve"> </w:t>
      </w:r>
      <w:r>
        <w:t xml:space="preserve">Trading cards included in albums and sold as standalone collectibles. Top photocards sell for</w:t>
      </w:r>
      <w:r>
        <w:t xml:space="preserve"> </w:t>
      </w:r>
      <w:r>
        <w:rPr>
          <w:bCs/>
          <w:b/>
        </w:rPr>
        <w:t xml:space="preserve">$1,500-$3,000+</w:t>
      </w:r>
      <w:r>
        <w:t xml:space="preserve"> </w:t>
      </w:r>
      <w:r>
        <w:t xml:space="preserve">on secondary markets. Stray Kids leads photocard sales globally. Bunjang (Korean resale marketplace) has 3.6 million active monthly users, with North America accounting for 50%+ of global sales.</w:t>
      </w:r>
    </w:p>
    <w:p>
      <w:pPr>
        <w:pStyle w:val="BodyText"/>
      </w:pPr>
      <w:r>
        <w:rPr>
          <w:bCs/>
          <w:b/>
        </w:rPr>
        <w:t xml:space="preserve">Multi-Version Albums:</w:t>
      </w:r>
      <w:r>
        <w:t xml:space="preserve"> </w:t>
      </w:r>
      <w:r>
        <w:t xml:space="preserve">K-pop agencies release albums in 4-30+ versions, each with exclusive photocards, posters, and inclusions. This strategy transforms music releases into collectible merchandise events. Taylor Swift adopted this tactic with</w:t>
      </w:r>
      <w:r>
        <w:t xml:space="preserve"> </w:t>
      </w:r>
      <w:r>
        <w:rPr>
          <w:bCs/>
          <w:b/>
        </w:rPr>
        <w:t xml:space="preserve">30+ album variants</w:t>
      </w:r>
      <w:r>
        <w:t xml:space="preserve">, driving vinyl sales to 1.6 million copies for a single album — 5x the #2 album.</w:t>
      </w:r>
    </w:p>
    <w:bookmarkEnd w:id="82"/>
    <w:bookmarkStart w:id="83" w:name="why-k-pop-fans-spend-more"/>
    <w:p>
      <w:pPr>
        <w:pStyle w:val="Heading3"/>
      </w:pPr>
      <w:r>
        <w:t xml:space="preserve">8.3 Why K-Pop Fans Spend More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Factor</w:t>
            </w:r>
          </w:p>
        </w:tc>
        <w:tc>
          <w:tcPr/>
          <w:p>
            <w:pPr>
              <w:pStyle w:val="Compact"/>
              <w:jc w:val="left"/>
            </w:pPr>
            <w:r>
              <w:t xml:space="preserve">K-Pop</w:t>
            </w:r>
          </w:p>
        </w:tc>
        <w:tc>
          <w:tcPr/>
          <w:p>
            <w:pPr>
              <w:pStyle w:val="Compact"/>
              <w:jc w:val="left"/>
            </w:pPr>
            <w:r>
              <w:t xml:space="preserve">Western Average</w:t>
            </w:r>
          </w:p>
        </w:tc>
      </w:tr>
      <w:tr>
        <w:tc>
          <w:tcPr/>
          <w:p>
            <w:pPr>
              <w:pStyle w:val="Compact"/>
              <w:jc w:val="left"/>
            </w:pPr>
            <w:r>
              <w:t xml:space="preserve">Purchase rate at events</w:t>
            </w:r>
          </w:p>
        </w:tc>
        <w:tc>
          <w:tcPr/>
          <w:p>
            <w:pPr>
              <w:pStyle w:val="Compact"/>
              <w:jc w:val="left"/>
            </w:pPr>
            <w:r>
              <w:rPr>
                <w:bCs/>
                <w:b/>
              </w:rPr>
              <w:t xml:space="preserve">37%</w:t>
            </w:r>
          </w:p>
        </w:tc>
        <w:tc>
          <w:tcPr/>
          <w:p>
            <w:pPr>
              <w:pStyle w:val="Compact"/>
              <w:jc w:val="left"/>
            </w:pPr>
            <w:r>
              <w:t xml:space="preserve">23%</w:t>
            </w:r>
          </w:p>
        </w:tc>
      </w:tr>
      <w:tr>
        <w:tc>
          <w:tcPr/>
          <w:p>
            <w:pPr>
              <w:pStyle w:val="Compact"/>
              <w:jc w:val="left"/>
            </w:pPr>
            <w:r>
              <w:t xml:space="preserve">Spend per head</w:t>
            </w:r>
          </w:p>
        </w:tc>
        <w:tc>
          <w:tcPr/>
          <w:p>
            <w:pPr>
              <w:pStyle w:val="Compact"/>
              <w:jc w:val="left"/>
            </w:pPr>
            <w:r>
              <w:rPr>
                <w:bCs/>
                <w:b/>
              </w:rPr>
              <w:t xml:space="preserve">$48.32</w:t>
            </w:r>
            <w:r>
              <w:t xml:space="preserve"> </w:t>
            </w:r>
            <w:r>
              <w:t xml:space="preserve">(+61% YoY)</w:t>
            </w:r>
          </w:p>
        </w:tc>
        <w:tc>
          <w:tcPr/>
          <w:p>
            <w:pPr>
              <w:pStyle w:val="Compact"/>
              <w:jc w:val="left"/>
            </w:pPr>
            <w:r>
              <w:t xml:space="preserve">$10.29</w:t>
            </w:r>
          </w:p>
        </w:tc>
      </w:tr>
      <w:tr>
        <w:tc>
          <w:tcPr/>
          <w:p>
            <w:pPr>
              <w:pStyle w:val="Compact"/>
              <w:jc w:val="left"/>
            </w:pPr>
            <w:r>
              <w:t xml:space="preserve">Album versions per release</w:t>
            </w:r>
          </w:p>
        </w:tc>
        <w:tc>
          <w:tcPr/>
          <w:p>
            <w:pPr>
              <w:pStyle w:val="Compact"/>
              <w:jc w:val="left"/>
            </w:pPr>
            <w:r>
              <w:t xml:space="preserve">4-30+</w:t>
            </w:r>
          </w:p>
        </w:tc>
        <w:tc>
          <w:tcPr/>
          <w:p>
            <w:pPr>
              <w:pStyle w:val="Compact"/>
              <w:jc w:val="left"/>
            </w:pPr>
            <w:r>
              <w:t xml:space="preserve">1-3</w:t>
            </w:r>
          </w:p>
        </w:tc>
      </w:tr>
      <w:tr>
        <w:tc>
          <w:tcPr/>
          <w:p>
            <w:pPr>
              <w:pStyle w:val="Compact"/>
              <w:jc w:val="left"/>
            </w:pPr>
            <w:r>
              <w:t xml:space="preserve">Light stick ownership</w:t>
            </w:r>
          </w:p>
        </w:tc>
        <w:tc>
          <w:tcPr/>
          <w:p>
            <w:pPr>
              <w:pStyle w:val="Compact"/>
              <w:jc w:val="left"/>
            </w:pPr>
            <w:r>
              <w:t xml:space="preserve">~80% of concertgoers</w:t>
            </w:r>
          </w:p>
        </w:tc>
        <w:tc>
          <w:tcPr/>
          <w:p>
            <w:pPr>
              <w:pStyle w:val="Compact"/>
              <w:jc w:val="left"/>
            </w:pPr>
            <w:r>
              <w:t xml:space="preserve">N/A</w:t>
            </w:r>
          </w:p>
        </w:tc>
      </w:tr>
      <w:tr>
        <w:tc>
          <w:tcPr/>
          <w:p>
            <w:pPr>
              <w:pStyle w:val="Compact"/>
              <w:jc w:val="left"/>
            </w:pPr>
            <w:r>
              <w:t xml:space="preserve">Photocard trading participation</w:t>
            </w:r>
          </w:p>
        </w:tc>
        <w:tc>
          <w:tcPr/>
          <w:p>
            <w:pPr>
              <w:pStyle w:val="Compact"/>
              <w:jc w:val="left"/>
            </w:pPr>
            <w:r>
              <w:t xml:space="preserve">~60% of fans</w:t>
            </w:r>
          </w:p>
        </w:tc>
        <w:tc>
          <w:tcPr/>
          <w:p>
            <w:pPr>
              <w:pStyle w:val="Compact"/>
              <w:jc w:val="left"/>
            </w:pPr>
            <w:r>
              <w:t xml:space="preserve">N/A</w:t>
            </w:r>
          </w:p>
        </w:tc>
      </w:tr>
      <w:tr>
        <w:tc>
          <w:tcPr/>
          <w:p>
            <w:pPr>
              <w:pStyle w:val="Compact"/>
              <w:jc w:val="left"/>
            </w:pPr>
            <w:r>
              <w:t xml:space="preserve">Secondary market engagement</w:t>
            </w:r>
          </w:p>
        </w:tc>
        <w:tc>
          <w:tcPr/>
          <w:p>
            <w:pPr>
              <w:pStyle w:val="Compact"/>
              <w:jc w:val="left"/>
            </w:pPr>
            <w:r>
              <w:t xml:space="preserve">High (Bunjang, eBay)</w:t>
            </w:r>
          </w:p>
        </w:tc>
        <w:tc>
          <w:tcPr/>
          <w:p>
            <w:pPr>
              <w:pStyle w:val="Compact"/>
              <w:jc w:val="left"/>
            </w:pPr>
            <w:r>
              <w:t xml:space="preserve">Low</w:t>
            </w:r>
          </w:p>
        </w:tc>
      </w:tr>
    </w:tbl>
    <w:p>
      <w:pPr>
        <w:pStyle w:val="BodyText"/>
      </w:pPr>
      <w:r>
        <w:t xml:space="preserve">K-pop’s merchandise success rests on three structural pillars that are difficult to replicate: (1) agency-controlled training systems that create deep artist-fan bonds before debut, (2) fandom platforms (Weverse/Bubble) that capture 100% of fan engagement data, and (3) cultural collectivism that normalizes group identity through fandom. Western artists can adopt K-pop’s merchandising tactics but not its fandom architecture — creating a hybrid model that captures an estimated 50-70% of K-pop’s per-head economics.</w:t>
      </w:r>
    </w:p>
    <w:p>
      <w:r>
        <w:pict>
          <v:rect style="width:0;height:1.5pt" o:hralign="center" o:hrstd="t" o:hr="t"/>
        </w:pict>
      </w:r>
    </w:p>
    <w:bookmarkEnd w:id="83"/>
    <w:bookmarkEnd w:id="84"/>
    <w:bookmarkStart w:id="92" w:name="visual-artists-digital-creators"/>
    <w:p>
      <w:pPr>
        <w:pStyle w:val="Heading2"/>
      </w:pPr>
      <w:r>
        <w:t xml:space="preserve">9. Visual Artists &amp; Digital Creators</w:t>
      </w:r>
    </w:p>
    <w:bookmarkStart w:id="88" w:name="the-pod-market-opportunity"/>
    <w:p>
      <w:pPr>
        <w:pStyle w:val="Heading3"/>
      </w:pPr>
      <w:r>
        <w:t xml:space="preserve">9.1 The POD Market Opportunity</w:t>
      </w:r>
    </w:p>
    <w:p>
      <w:pPr>
        <w:pStyle w:val="CaptionedFigure"/>
      </w:pPr>
      <w:r>
        <w:drawing>
          <wp:inline>
            <wp:extent cx="5334000" cy="2299456"/>
            <wp:effectExtent b="0" l="0" r="0" t="0"/>
            <wp:docPr descr="POD Growth" title="" id="86" name="Picture"/>
            <a:graphic>
              <a:graphicData uri="http://schemas.openxmlformats.org/drawingml/2006/picture">
                <pic:pic>
                  <pic:nvPicPr>
                    <pic:cNvPr descr="/mnt/agents/output/charts/regional_pod_growth.png" id="87" name="Picture"/>
                    <pic:cNvPicPr>
                      <a:picLocks noChangeArrowheads="1" noChangeAspect="1"/>
                    </pic:cNvPicPr>
                  </pic:nvPicPr>
                  <pic:blipFill>
                    <a:blip r:embed="rId85"/>
                    <a:stretch>
                      <a:fillRect/>
                    </a:stretch>
                  </pic:blipFill>
                  <pic:spPr bwMode="auto">
                    <a:xfrm>
                      <a:off x="0" y="0"/>
                      <a:ext cx="5334000" cy="2299456"/>
                    </a:xfrm>
                    <a:prstGeom prst="rect">
                      <a:avLst/>
                    </a:prstGeom>
                    <a:noFill/>
                    <a:ln w="9525">
                      <a:noFill/>
                      <a:headEnd/>
                      <a:tailEnd/>
                    </a:ln>
                  </pic:spPr>
                </pic:pic>
              </a:graphicData>
            </a:graphic>
          </wp:inline>
        </w:drawing>
      </w:r>
    </w:p>
    <w:p>
      <w:pPr>
        <w:pStyle w:val="ImageCaption"/>
      </w:pPr>
      <w:r>
        <w:t xml:space="preserve">POD Growth</w:t>
      </w:r>
    </w:p>
    <w:p>
      <w:pPr>
        <w:pStyle w:val="BodyText"/>
      </w:pPr>
      <w:r>
        <w:t xml:space="preserve">The print-on-demand market was valued at</w:t>
      </w:r>
      <w:r>
        <w:t xml:space="preserve"> </w:t>
      </w:r>
      <w:r>
        <w:rPr>
          <w:bCs/>
          <w:b/>
        </w:rPr>
        <w:t xml:space="preserve">$10.78 billion in 2025</w:t>
      </w:r>
      <w:r>
        <w:t xml:space="preserve"> </w:t>
      </w:r>
      <w:r>
        <w:t xml:space="preserve">and is projected to reach</w:t>
      </w:r>
      <w:r>
        <w:t xml:space="preserve"> </w:t>
      </w:r>
      <w:r>
        <w:rPr>
          <w:bCs/>
          <w:b/>
        </w:rPr>
        <w:t xml:space="preserve">$57.49 billion by 2033</w:t>
      </w:r>
      <w:r>
        <w:t xml:space="preserve"> </w:t>
      </w:r>
      <w:r>
        <w:t xml:space="preserve">at a 23.6% CAGR. For visual artists, illustrators, and digital-first creators, POD represents the lowest-barrier entry point into merchandise.</w:t>
      </w:r>
    </w:p>
    <w:p>
      <w:pPr>
        <w:pStyle w:val="BodyText"/>
      </w:pPr>
      <w:r>
        <w:rPr>
          <w:bCs/>
          <w:b/>
        </w:rPr>
        <w:t xml:space="preserve">POD Market Dynamics:</w:t>
      </w:r>
      <w:r>
        <w:t xml:space="preserve"> </w:t>
      </w:r>
      <w:r>
        <w:t xml:space="preserve">- North America: 36% share</w:t>
      </w:r>
      <w:r>
        <w:t xml:space="preserve"> </w:t>
      </w:r>
      <w:r>
        <w:t xml:space="preserve">- Asia-Pacific: Fastest growing at 24.8%+ CAGR</w:t>
      </w:r>
      <w:r>
        <w:t xml:space="preserve"> </w:t>
      </w:r>
      <w:r>
        <w:t xml:space="preserve">- Apparel: 39.5% of POD revenue</w:t>
      </w:r>
      <w:r>
        <w:t xml:space="preserve"> </w:t>
      </w:r>
      <w:r>
        <w:t xml:space="preserve">- Home décor: Fastest-growing category</w:t>
      </w:r>
    </w:p>
    <w:bookmarkEnd w:id="88"/>
    <w:bookmarkStart w:id="89" w:name="platform-realities-for-visual-artists"/>
    <w:p>
      <w:pPr>
        <w:pStyle w:val="Heading3"/>
      </w:pPr>
      <w:r>
        <w:t xml:space="preserve">9.2 Platform Realities for Visual Artists</w:t>
      </w:r>
    </w:p>
    <w:p>
      <w:pPr>
        <w:pStyle w:val="FirstParagraph"/>
      </w:pPr>
      <w:r>
        <w:rPr>
          <w:bCs/>
          <w:b/>
        </w:rPr>
        <w:t xml:space="preserve">Redbubble/Articore (Declining):</w:t>
      </w:r>
      <w:r>
        <w:t xml:space="preserve"> </w:t>
      </w:r>
      <w:r>
        <w:t xml:space="preserve">Revenue down 10% to $379M; net losses widening to $11.3M. The company imposed new tiered artist fees (20-50% on standard tier), triggering a mass artist exodus. Share price collapsed 98% from peak.</w:t>
      </w:r>
      <w:r>
        <w:t xml:space="preserve"> </w:t>
      </w:r>
      <w:r>
        <w:rPr>
          <w:bCs/>
          <w:b/>
        </w:rPr>
        <w:t xml:space="preserve">Verdict: Avoid for new artists.</w:t>
      </w:r>
    </w:p>
    <w:p>
      <w:pPr>
        <w:pStyle w:val="BodyText"/>
      </w:pPr>
      <w:r>
        <w:rPr>
          <w:bCs/>
          <w:b/>
        </w:rPr>
        <w:t xml:space="preserve">Society6 (Artist-Hostile):</w:t>
      </w:r>
      <w:r>
        <w:t xml:space="preserve"> </w:t>
      </w:r>
      <w:r>
        <w:t xml:space="preserve">Mass artist account closures in February 2025; royalties slashed to fixed 5-10% of retail price.</w:t>
      </w:r>
      <w:r>
        <w:t xml:space="preserve"> </w:t>
      </w:r>
      <w:r>
        <w:rPr>
          <w:bCs/>
          <w:b/>
        </w:rPr>
        <w:t xml:space="preserve">Verdict: Avoid entirely.</w:t>
      </w:r>
    </w:p>
    <w:p>
      <w:pPr>
        <w:pStyle w:val="BodyText"/>
      </w:pPr>
      <w:r>
        <w:rPr>
          <w:bCs/>
          <w:b/>
        </w:rPr>
        <w:t xml:space="preserve">Etsy:</w:t>
      </w:r>
      <w:r>
        <w:t xml:space="preserve"> </w:t>
      </w:r>
      <w:r>
        <w:t xml:space="preserve">$2.8 billion platform revenue, $12.6 billion GMS, 8.1 million sellers. However, GMS declining 3 years straight while take rate rises to 16.8%. Still viable for handmade/unique items but increasingly competitive.</w:t>
      </w:r>
    </w:p>
    <w:p>
      <w:pPr>
        <w:pStyle w:val="BodyText"/>
      </w:pPr>
      <w:r>
        <w:rPr>
          <w:bCs/>
          <w:b/>
        </w:rPr>
        <w:t xml:space="preserve">Best Strategy for Visual Artists:</w:t>
      </w:r>
      <w:r>
        <w:t xml:space="preserve"> </w:t>
      </w:r>
      <w:r>
        <w:t xml:space="preserve">Multi-platform approach using</w:t>
      </w:r>
      <w:r>
        <w:t xml:space="preserve"> </w:t>
      </w:r>
      <w:r>
        <w:rPr>
          <w:bCs/>
          <w:b/>
        </w:rPr>
        <w:t xml:space="preserve">3+ platforms</w:t>
      </w:r>
      <w:r>
        <w:t xml:space="preserve"> </w:t>
      </w:r>
      <w:r>
        <w:t xml:space="preserve">with 1,000-2,500 active listings needed for $5-10K/month. Top earners ($10K+/month) maintain 5,000+ listings across Etsy, Shopify, Amazon Merch, and independent stores.</w:t>
      </w:r>
    </w:p>
    <w:bookmarkEnd w:id="89"/>
    <w:bookmarkStart w:id="90" w:name="youtuber-streamer-merch"/>
    <w:p>
      <w:pPr>
        <w:pStyle w:val="Heading3"/>
      </w:pPr>
      <w:r>
        <w:t xml:space="preserve">9.3 YouTuber &amp; Streamer Merch</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Creator</w:t>
            </w:r>
          </w:p>
        </w:tc>
        <w:tc>
          <w:tcPr/>
          <w:p>
            <w:pPr>
              <w:pStyle w:val="Compact"/>
              <w:jc w:val="left"/>
            </w:pPr>
            <w:r>
              <w:t xml:space="preserve">Merch/Brand</w:t>
            </w:r>
          </w:p>
        </w:tc>
        <w:tc>
          <w:tcPr/>
          <w:p>
            <w:pPr>
              <w:pStyle w:val="Compact"/>
              <w:jc w:val="left"/>
            </w:pPr>
            <w:r>
              <w:t xml:space="preserve">Estimated Revenue</w:t>
            </w:r>
          </w:p>
        </w:tc>
      </w:tr>
      <w:tr>
        <w:tc>
          <w:tcPr/>
          <w:p>
            <w:pPr>
              <w:pStyle w:val="Compact"/>
              <w:jc w:val="left"/>
            </w:pPr>
            <w:r>
              <w:t xml:space="preserve">MrBeast</w:t>
            </w:r>
          </w:p>
        </w:tc>
        <w:tc>
          <w:tcPr/>
          <w:p>
            <w:pPr>
              <w:pStyle w:val="Compact"/>
              <w:jc w:val="left"/>
            </w:pPr>
            <w:r>
              <w:t xml:space="preserve">Feastables</w:t>
            </w:r>
          </w:p>
        </w:tc>
        <w:tc>
          <w:tcPr/>
          <w:p>
            <w:pPr>
              <w:pStyle w:val="Compact"/>
              <w:jc w:val="left"/>
            </w:pPr>
            <w:r>
              <w:t xml:space="preserve">$250M (2024), $20M profit</w:t>
            </w:r>
          </w:p>
        </w:tc>
      </w:tr>
      <w:tr>
        <w:tc>
          <w:tcPr/>
          <w:p>
            <w:pPr>
              <w:pStyle w:val="Compact"/>
              <w:jc w:val="left"/>
            </w:pPr>
            <w:r>
              <w:t xml:space="preserve">Emma Chamberlain</w:t>
            </w:r>
          </w:p>
        </w:tc>
        <w:tc>
          <w:tcPr/>
          <w:p>
            <w:pPr>
              <w:pStyle w:val="Compact"/>
              <w:jc w:val="left"/>
            </w:pPr>
            <w:r>
              <w:t xml:space="preserve">Chamberlain Coffee</w:t>
            </w:r>
          </w:p>
        </w:tc>
        <w:tc>
          <w:tcPr/>
          <w:p>
            <w:pPr>
              <w:pStyle w:val="Compact"/>
              <w:jc w:val="left"/>
            </w:pPr>
            <w:r>
              <w:t xml:space="preserve">$22M revenue</w:t>
            </w:r>
          </w:p>
        </w:tc>
      </w:tr>
      <w:tr>
        <w:tc>
          <w:tcPr/>
          <w:p>
            <w:pPr>
              <w:pStyle w:val="Compact"/>
              <w:jc w:val="left"/>
            </w:pPr>
            <w:r>
              <w:t xml:space="preserve">PewDiePie</w:t>
            </w:r>
          </w:p>
        </w:tc>
        <w:tc>
          <w:tcPr/>
          <w:p>
            <w:pPr>
              <w:pStyle w:val="Compact"/>
              <w:jc w:val="left"/>
            </w:pPr>
            <w:r>
              <w:t xml:space="preserve">Tsuki (lifetime)</w:t>
            </w:r>
          </w:p>
        </w:tc>
        <w:tc>
          <w:tcPr/>
          <w:p>
            <w:pPr>
              <w:pStyle w:val="Compact"/>
              <w:jc w:val="left"/>
            </w:pPr>
            <w:r>
              <w:t xml:space="preserve">$42M</w:t>
            </w:r>
          </w:p>
        </w:tc>
      </w:tr>
      <w:tr>
        <w:tc>
          <w:tcPr/>
          <w:p>
            <w:pPr>
              <w:pStyle w:val="Compact"/>
              <w:jc w:val="left"/>
            </w:pPr>
            <w:r>
              <w:t xml:space="preserve">Typical successful YouTuber</w:t>
            </w:r>
          </w:p>
        </w:tc>
        <w:tc>
          <w:tcPr/>
          <w:p>
            <w:pPr>
              <w:pStyle w:val="Compact"/>
              <w:jc w:val="left"/>
            </w:pPr>
            <w:r>
              <w:t xml:space="preserve">Shopify + POD</w:t>
            </w:r>
          </w:p>
        </w:tc>
        <w:tc>
          <w:tcPr/>
          <w:p>
            <w:pPr>
              <w:pStyle w:val="Compact"/>
              <w:jc w:val="left"/>
            </w:pPr>
            <w:r>
              <w:t xml:space="preserve">$50K-500K/year</w:t>
            </w:r>
          </w:p>
        </w:tc>
      </w:tr>
    </w:tbl>
    <w:bookmarkEnd w:id="90"/>
    <w:bookmarkStart w:id="91" w:name="the-creator-middle-class"/>
    <w:p>
      <w:pPr>
        <w:pStyle w:val="Heading3"/>
      </w:pPr>
      <w:r>
        <w:t xml:space="preserve">9.4 The Creator</w:t>
      </w:r>
      <w:r>
        <w:t xml:space="preserve"> </w:t>
      </w:r>
      <w:r>
        <w:t xml:space="preserve">“</w:t>
      </w:r>
      <w:r>
        <w:t xml:space="preserve">Middle Class</w:t>
      </w:r>
      <w:r>
        <w:t xml:space="preserve">”</w:t>
      </w:r>
    </w:p>
    <w:p>
      <w:pPr>
        <w:pStyle w:val="FirstParagraph"/>
      </w:pPr>
      <w:r>
        <w:t xml:space="preserve">Contrary to popular belief, a creator</w:t>
      </w:r>
      <w:r>
        <w:t xml:space="preserve"> </w:t>
      </w:r>
      <w:r>
        <w:t xml:space="preserve">“</w:t>
      </w:r>
      <w:r>
        <w:t xml:space="preserve">middle class</w:t>
      </w:r>
      <w:r>
        <w:t xml:space="preserve">”</w:t>
      </w:r>
      <w:r>
        <w:t xml:space="preserve"> </w:t>
      </w:r>
      <w:r>
        <w:t xml:space="preserve">is emerging:</w:t>
      </w:r>
      <w:r>
        <w:t xml:space="preserve"> </w:t>
      </w:r>
      <w:r>
        <w:t xml:space="preserve">-</w:t>
      </w:r>
      <w:r>
        <w:t xml:space="preserve"> </w:t>
      </w:r>
      <w:r>
        <w:rPr>
          <w:bCs/>
          <w:b/>
        </w:rPr>
        <w:t xml:space="preserve">45.6%</w:t>
      </w:r>
      <w:r>
        <w:t xml:space="preserve"> </w:t>
      </w:r>
      <w:r>
        <w:t xml:space="preserve">of creators earn $10K-$100K annually (</w:t>
      </w:r>
      <w:r>
        <w:t xml:space="preserve">“</w:t>
      </w:r>
      <w:r>
        <w:t xml:space="preserve">emerging middle class</w:t>
      </w:r>
      <w:r>
        <w:t xml:space="preserve">”</w:t>
      </w:r>
      <w:r>
        <w:t xml:space="preserve">)</w:t>
      </w:r>
      <w:r>
        <w:t xml:space="preserve"> </w:t>
      </w:r>
      <w:r>
        <w:t xml:space="preserve">-</w:t>
      </w:r>
      <w:r>
        <w:t xml:space="preserve"> </w:t>
      </w:r>
      <w:r>
        <w:rPr>
          <w:bCs/>
          <w:b/>
        </w:rPr>
        <w:t xml:space="preserve">48.7%</w:t>
      </w:r>
      <w:r>
        <w:t xml:space="preserve"> </w:t>
      </w:r>
      <w:r>
        <w:t xml:space="preserve">earn under $10K</w:t>
      </w:r>
      <w:r>
        <w:t xml:space="preserve"> </w:t>
      </w:r>
      <w:r>
        <w:t xml:space="preserve">- Only</w:t>
      </w:r>
      <w:r>
        <w:t xml:space="preserve"> </w:t>
      </w:r>
      <w:r>
        <w:rPr>
          <w:bCs/>
          <w:b/>
        </w:rPr>
        <w:t xml:space="preserve">5.7%</w:t>
      </w:r>
      <w:r>
        <w:t xml:space="preserve"> </w:t>
      </w:r>
      <w:r>
        <w:t xml:space="preserve">earn $100K+</w:t>
      </w:r>
      <w:r>
        <w:t xml:space="preserve"> </w:t>
      </w:r>
      <w:r>
        <w:t xml:space="preserve">- Top 10% receive 62% of platform payouts</w:t>
      </w:r>
    </w:p>
    <w:p>
      <w:pPr>
        <w:pStyle w:val="BodyText"/>
      </w:pPr>
      <w:r>
        <w:t xml:space="preserve">Creators with 3+ revenue streams earn an average of</w:t>
      </w:r>
      <w:r>
        <w:t xml:space="preserve"> </w:t>
      </w:r>
      <w:r>
        <w:rPr>
          <w:bCs/>
          <w:b/>
        </w:rPr>
        <w:t xml:space="preserve">$75,000 more annually</w:t>
      </w:r>
      <w:r>
        <w:t xml:space="preserve"> </w:t>
      </w:r>
      <w:r>
        <w:t xml:space="preserve">than single-source creators — making merchandise diversification a critical strategy for sustainable creator careers.</w:t>
      </w:r>
    </w:p>
    <w:p>
      <w:r>
        <w:pict>
          <v:rect style="width:0;height:1.5pt" o:hralign="center" o:hrstd="t" o:hr="t"/>
        </w:pict>
      </w:r>
    </w:p>
    <w:bookmarkEnd w:id="91"/>
    <w:bookmarkEnd w:id="92"/>
    <w:bookmarkStart w:id="96" w:name="social-commerce-discovery"/>
    <w:p>
      <w:pPr>
        <w:pStyle w:val="Heading2"/>
      </w:pPr>
      <w:r>
        <w:t xml:space="preserve">10. Social Commerce &amp; Discovery</w:t>
      </w:r>
    </w:p>
    <w:bookmarkStart w:id="93" w:name="tiktok-shop-the-new-merch-frontier"/>
    <w:p>
      <w:pPr>
        <w:pStyle w:val="Heading3"/>
      </w:pPr>
      <w:r>
        <w:t xml:space="preserve">10.1 TikTok Shop: The New Merch Frontier</w:t>
      </w:r>
    </w:p>
    <w:p>
      <w:pPr>
        <w:pStyle w:val="FirstParagraph"/>
      </w:pPr>
      <w:r>
        <w:t xml:space="preserve">TikTok Shop has become the dominant force in social commerce:</w:t>
      </w:r>
      <w:r>
        <w:t xml:space="preserve"> </w:t>
      </w:r>
      <w:r>
        <w:t xml:space="preserve">-</w:t>
      </w:r>
      <w:r>
        <w:t xml:space="preserve"> </w:t>
      </w:r>
      <w:r>
        <w:rPr>
          <w:bCs/>
          <w:b/>
        </w:rPr>
        <w:t xml:space="preserve">$33.2 billion GMV</w:t>
      </w:r>
      <w:r>
        <w:t xml:space="preserve"> </w:t>
      </w:r>
      <w:r>
        <w:t xml:space="preserve">in 2024 (+202% YoY)</w:t>
      </w:r>
      <w:r>
        <w:t xml:space="preserve"> </w:t>
      </w:r>
      <w:r>
        <w:t xml:space="preserve">- Projected</w:t>
      </w:r>
      <w:r>
        <w:t xml:space="preserve"> </w:t>
      </w:r>
      <w:r>
        <w:rPr>
          <w:bCs/>
          <w:b/>
        </w:rPr>
        <w:t xml:space="preserve">$66 billion</w:t>
      </w:r>
      <w:r>
        <w:t xml:space="preserve"> </w:t>
      </w:r>
      <w:r>
        <w:t xml:space="preserve">in 2025</w:t>
      </w:r>
      <w:r>
        <w:t xml:space="preserve"> </w:t>
      </w:r>
      <w:r>
        <w:t xml:space="preserve">-</w:t>
      </w:r>
      <w:r>
        <w:t xml:space="preserve"> </w:t>
      </w:r>
      <w:r>
        <w:rPr>
          <w:bCs/>
          <w:b/>
        </w:rPr>
        <w:t xml:space="preserve">68.1%</w:t>
      </w:r>
      <w:r>
        <w:t xml:space="preserve"> </w:t>
      </w:r>
      <w:r>
        <w:t xml:space="preserve">of total social shopping GMV</w:t>
      </w:r>
      <w:r>
        <w:t xml:space="preserve"> </w:t>
      </w:r>
      <w:r>
        <w:t xml:space="preserve">- 7 million+ creator affiliates</w:t>
      </w:r>
      <w:r>
        <w:t xml:space="preserve"> </w:t>
      </w:r>
      <w:r>
        <w:t xml:space="preserve">-</w:t>
      </w:r>
      <w:r>
        <w:t xml:space="preserve"> </w:t>
      </w:r>
      <w:r>
        <w:rPr>
          <w:bCs/>
          <w:b/>
        </w:rPr>
        <w:t xml:space="preserve">5-8% conversion rates</w:t>
      </w:r>
      <w:r>
        <w:t xml:space="preserve"> </w:t>
      </w:r>
      <w:r>
        <w:t xml:space="preserve">(vs. 2-4% traditional e-commerce)</w:t>
      </w:r>
      <w:r>
        <w:t xml:space="preserve"> </w:t>
      </w:r>
      <w:r>
        <w:t xml:space="preserve">- 15.3 million creators on platform; 851,000 actively selling</w:t>
      </w:r>
    </w:p>
    <w:p>
      <w:pPr>
        <w:pStyle w:val="BodyText"/>
      </w:pPr>
      <w:r>
        <w:rPr>
          <w:bCs/>
          <w:b/>
        </w:rPr>
        <w:t xml:space="preserve">The TikTok Paradox:</w:t>
      </w:r>
      <w:r>
        <w:t xml:space="preserve"> </w:t>
      </w:r>
      <w:r>
        <w:t xml:space="preserve">While TikTok Shop offers the highest conversion rates and lowest customer acquisition costs, it also carries the highest existential risk. Ongoing US legislative threats to ban TikTok create uncertainty for creators building businesses on the platform. The rational strategy is to use TikTok Shop for discovery and first purchase, then immediately migrate customers to owned channels (email, SMS, D2C store) for repeat purchases. However, TikTok Shop gives creators zero customer data — creating a structural tension between the best acquisition channel and long-term business sustainability.</w:t>
      </w:r>
    </w:p>
    <w:bookmarkEnd w:id="93"/>
    <w:bookmarkStart w:id="94" w:name="youtube-shopping-instagram-commerce"/>
    <w:p>
      <w:pPr>
        <w:pStyle w:val="Heading3"/>
      </w:pPr>
      <w:r>
        <w:t xml:space="preserve">10.2 YouTube Shopping &amp; Instagram Commerce</w:t>
      </w:r>
    </w:p>
    <w:p>
      <w:pPr>
        <w:pStyle w:val="FirstParagraph"/>
      </w:pPr>
      <w:r>
        <w:rPr>
          <w:bCs/>
          <w:b/>
        </w:rPr>
        <w:t xml:space="preserve">YouTube Shopping:</w:t>
      </w:r>
      <w:r>
        <w:t xml:space="preserve"> </w:t>
      </w:r>
      <w:r>
        <w:t xml:space="preserve">Opened its affiliate program to creators with 500+ subscribers in March 2026. Median commission rate is ~15%, with 30-50 day attribution windows. Videos with product tags and timestamps saw 43% more clicks than description links alone. Early signals suggest 15x revenue increase for some creators.</w:t>
      </w:r>
    </w:p>
    <w:p>
      <w:pPr>
        <w:pStyle w:val="BodyText"/>
      </w:pPr>
      <w:r>
        <w:rPr>
          <w:bCs/>
          <w:b/>
        </w:rPr>
        <w:t xml:space="preserve">Instagram:</w:t>
      </w:r>
      <w:r>
        <w:t xml:space="preserve"> </w:t>
      </w:r>
      <w:r>
        <w:t xml:space="preserve">Relaunched creator affiliate commerce in March 2026 after shutting it down in 2022-2025. However, faces a</w:t>
      </w:r>
      <w:r>
        <w:t xml:space="preserve"> </w:t>
      </w:r>
      <w:r>
        <w:t xml:space="preserve">“</w:t>
      </w:r>
      <w:r>
        <w:t xml:space="preserve">trust deficit</w:t>
      </w:r>
      <w:r>
        <w:t xml:space="preserve">”</w:t>
      </w:r>
      <w:r>
        <w:t xml:space="preserve"> </w:t>
      </w:r>
      <w:r>
        <w:t xml:space="preserve">after the controversial</w:t>
      </w:r>
      <w:r>
        <w:t xml:space="preserve"> </w:t>
      </w:r>
      <w:r>
        <w:t xml:space="preserve">“</w:t>
      </w:r>
      <w:r>
        <w:t xml:space="preserve">Shop the Look</w:t>
      </w:r>
      <w:r>
        <w:t xml:space="preserve">”</w:t>
      </w:r>
      <w:r>
        <w:t xml:space="preserve"> </w:t>
      </w:r>
      <w:r>
        <w:t xml:space="preserve">AI auto-tagging feature linked creators to knockoff products without consent — creating a significant hurdle for creator adoption.</w:t>
      </w:r>
    </w:p>
    <w:bookmarkEnd w:id="94"/>
    <w:bookmarkStart w:id="95" w:name="social-commerce-conversion-comparison"/>
    <w:p>
      <w:pPr>
        <w:pStyle w:val="Heading3"/>
      </w:pPr>
      <w:r>
        <w:t xml:space="preserve">10.3 Social Commerce Conversion Comparison</w:t>
      </w:r>
    </w:p>
    <w:tbl>
      <w:tblPr>
        <w:tblStyle w:val="Table"/>
        <w:tblW w:type="pct" w:w="5000"/>
        <w:tblLook w:firstRow="1" w:lastRow="0" w:firstColumn="0" w:lastColumn="0" w:noHBand="0" w:noVBand="0" w:val="0020"/>
      </w:tblPr>
      <w:tblGrid>
        <w:gridCol w:w="1147"/>
        <w:gridCol w:w="1836"/>
        <w:gridCol w:w="2180"/>
        <w:gridCol w:w="2754"/>
      </w:tblGrid>
      <w:tr>
        <w:trPr>
          <w:tblHeader w:val="true"/>
        </w:trPr>
        <w:tc>
          <w:tcPr/>
          <w:p>
            <w:pPr>
              <w:pStyle w:val="Compact"/>
              <w:jc w:val="left"/>
            </w:pPr>
            <w:r>
              <w:t xml:space="preserve">Platform</w:t>
            </w:r>
          </w:p>
        </w:tc>
        <w:tc>
          <w:tcPr/>
          <w:p>
            <w:pPr>
              <w:pStyle w:val="Compact"/>
              <w:jc w:val="left"/>
            </w:pPr>
            <w:r>
              <w:t xml:space="preserve">Conversion Rate</w:t>
            </w:r>
          </w:p>
        </w:tc>
        <w:tc>
          <w:tcPr/>
          <w:p>
            <w:pPr>
              <w:pStyle w:val="Compact"/>
              <w:jc w:val="left"/>
            </w:pPr>
            <w:r>
              <w:t xml:space="preserve">Creator Commission</w:t>
            </w:r>
          </w:p>
        </w:tc>
        <w:tc>
          <w:tcPr/>
          <w:p>
            <w:pPr>
              <w:pStyle w:val="Compact"/>
              <w:jc w:val="left"/>
            </w:pPr>
            <w:r>
              <w:t xml:space="preserve">Customer Data Ownership</w:t>
            </w:r>
          </w:p>
        </w:tc>
      </w:tr>
      <w:tr>
        <w:tc>
          <w:tcPr/>
          <w:p>
            <w:pPr>
              <w:pStyle w:val="Compact"/>
              <w:jc w:val="left"/>
            </w:pPr>
            <w:r>
              <w:t xml:space="preserve">TikTok Shop</w:t>
            </w:r>
          </w:p>
        </w:tc>
        <w:tc>
          <w:tcPr/>
          <w:p>
            <w:pPr>
              <w:pStyle w:val="Compact"/>
              <w:jc w:val="left"/>
            </w:pPr>
            <w:r>
              <w:t xml:space="preserve">5-8%</w:t>
            </w:r>
          </w:p>
        </w:tc>
        <w:tc>
          <w:tcPr/>
          <w:p>
            <w:pPr>
              <w:pStyle w:val="Compact"/>
              <w:jc w:val="left"/>
            </w:pPr>
            <w:r>
              <w:t xml:space="preserve">2-15% by category</w:t>
            </w:r>
          </w:p>
        </w:tc>
        <w:tc>
          <w:tcPr/>
          <w:p>
            <w:pPr>
              <w:pStyle w:val="Compact"/>
              <w:jc w:val="left"/>
            </w:pPr>
            <w:r>
              <w:t xml:space="preserve">None</w:t>
            </w:r>
          </w:p>
        </w:tc>
      </w:tr>
      <w:tr>
        <w:tc>
          <w:tcPr/>
          <w:p>
            <w:pPr>
              <w:pStyle w:val="Compact"/>
              <w:jc w:val="left"/>
            </w:pPr>
            <w:r>
              <w:t xml:space="preserve">YouTube Shopping</w:t>
            </w:r>
          </w:p>
        </w:tc>
        <w:tc>
          <w:tcPr/>
          <w:p>
            <w:pPr>
              <w:pStyle w:val="Compact"/>
              <w:jc w:val="left"/>
            </w:pPr>
            <w:r>
              <w:t xml:space="preserve">3-5%</w:t>
            </w:r>
          </w:p>
        </w:tc>
        <w:tc>
          <w:tcPr/>
          <w:p>
            <w:pPr>
              <w:pStyle w:val="Compact"/>
              <w:jc w:val="left"/>
            </w:pPr>
            <w:r>
              <w:t xml:space="preserve">~15% median</w:t>
            </w:r>
          </w:p>
        </w:tc>
        <w:tc>
          <w:tcPr/>
          <w:p>
            <w:pPr>
              <w:pStyle w:val="Compact"/>
              <w:jc w:val="left"/>
            </w:pPr>
            <w:r>
              <w:t xml:space="preserve">Partial</w:t>
            </w:r>
          </w:p>
        </w:tc>
      </w:tr>
      <w:tr>
        <w:tc>
          <w:tcPr/>
          <w:p>
            <w:pPr>
              <w:pStyle w:val="Compact"/>
              <w:jc w:val="left"/>
            </w:pPr>
            <w:r>
              <w:t xml:space="preserve">Instagram</w:t>
            </w:r>
          </w:p>
        </w:tc>
        <w:tc>
          <w:tcPr/>
          <w:p>
            <w:pPr>
              <w:pStyle w:val="Compact"/>
              <w:jc w:val="left"/>
            </w:pPr>
            <w:r>
              <w:t xml:space="preserve">2-4%</w:t>
            </w:r>
          </w:p>
        </w:tc>
        <w:tc>
          <w:tcPr/>
          <w:p>
            <w:pPr>
              <w:pStyle w:val="Compact"/>
              <w:jc w:val="left"/>
            </w:pPr>
            <w:r>
              <w:t xml:space="preserve">Variable</w:t>
            </w:r>
          </w:p>
        </w:tc>
        <w:tc>
          <w:tcPr/>
          <w:p>
            <w:pPr>
              <w:pStyle w:val="Compact"/>
              <w:jc w:val="left"/>
            </w:pPr>
            <w:r>
              <w:t xml:space="preserve">Partial</w:t>
            </w:r>
          </w:p>
        </w:tc>
      </w:tr>
      <w:tr>
        <w:tc>
          <w:tcPr/>
          <w:p>
            <w:pPr>
              <w:pStyle w:val="Compact"/>
              <w:jc w:val="left"/>
            </w:pPr>
            <w:r>
              <w:t xml:space="preserve">Traditional E-commerce</w:t>
            </w:r>
          </w:p>
        </w:tc>
        <w:tc>
          <w:tcPr/>
          <w:p>
            <w:pPr>
              <w:pStyle w:val="Compact"/>
              <w:jc w:val="left"/>
            </w:pPr>
            <w:r>
              <w:t xml:space="preserve">2-4%</w:t>
            </w:r>
          </w:p>
        </w:tc>
        <w:tc>
          <w:tcPr/>
          <w:p>
            <w:pPr>
              <w:pStyle w:val="Compact"/>
              <w:jc w:val="left"/>
            </w:pPr>
            <w:r>
              <w:t xml:space="preserve">N/A (D2C)</w:t>
            </w:r>
          </w:p>
        </w:tc>
        <w:tc>
          <w:tcPr/>
          <w:p>
            <w:pPr>
              <w:pStyle w:val="Compact"/>
              <w:jc w:val="left"/>
            </w:pPr>
            <w:r>
              <w:t xml:space="preserve">Full</w:t>
            </w:r>
          </w:p>
        </w:tc>
      </w:tr>
    </w:tbl>
    <w:p>
      <w:r>
        <w:pict>
          <v:rect style="width:0;height:1.5pt" o:hralign="center" o:hrstd="t" o:hr="t"/>
        </w:pict>
      </w:r>
    </w:p>
    <w:bookmarkEnd w:id="95"/>
    <w:bookmarkEnd w:id="96"/>
    <w:bookmarkStart w:id="101" w:name="emerging-technologies"/>
    <w:p>
      <w:pPr>
        <w:pStyle w:val="Heading2"/>
      </w:pPr>
      <w:r>
        <w:t xml:space="preserve">11. Emerging Technologies</w:t>
      </w:r>
    </w:p>
    <w:bookmarkStart w:id="97" w:name="ai-in-creator-merchandise"/>
    <w:p>
      <w:pPr>
        <w:pStyle w:val="Heading3"/>
      </w:pPr>
      <w:r>
        <w:t xml:space="preserve">11.1 AI in Creator Merchandise</w:t>
      </w:r>
    </w:p>
    <w:p>
      <w:pPr>
        <w:pStyle w:val="FirstParagraph"/>
      </w:pPr>
      <w:r>
        <w:t xml:space="preserve">AI tools have achieved near-universal adoption among creators:</w:t>
      </w:r>
      <w:r>
        <w:t xml:space="preserve"> </w:t>
      </w:r>
      <w:r>
        <w:t xml:space="preserve">-</w:t>
      </w:r>
      <w:r>
        <w:t xml:space="preserve"> </w:t>
      </w:r>
      <w:r>
        <w:rPr>
          <w:bCs/>
          <w:b/>
        </w:rPr>
        <w:t xml:space="preserve">91% of creators</w:t>
      </w:r>
      <w:r>
        <w:t xml:space="preserve"> </w:t>
      </w:r>
      <w:r>
        <w:t xml:space="preserve">now use generative AI tools</w:t>
      </w:r>
      <w:r>
        <w:t xml:space="preserve"> </w:t>
      </w:r>
      <w:r>
        <w:t xml:space="preserve">-</w:t>
      </w:r>
      <w:r>
        <w:t xml:space="preserve"> </w:t>
      </w:r>
      <w:r>
        <w:rPr>
          <w:bCs/>
          <w:b/>
        </w:rPr>
        <w:t xml:space="preserve">65% of organizations</w:t>
      </w:r>
      <w:r>
        <w:t xml:space="preserve"> </w:t>
      </w:r>
      <w:r>
        <w:t xml:space="preserve">use generative AI regularly</w:t>
      </w:r>
      <w:r>
        <w:t xml:space="preserve"> </w:t>
      </w:r>
      <w:r>
        <w:t xml:space="preserve">- AI reduces design cycle time by</w:t>
      </w:r>
      <w:r>
        <w:t xml:space="preserve"> </w:t>
      </w:r>
      <w:r>
        <w:rPr>
          <w:bCs/>
          <w:b/>
        </w:rPr>
        <w:t xml:space="preserve">70%</w:t>
      </w:r>
      <w:r>
        <w:t xml:space="preserve"> </w:t>
      </w:r>
      <w:r>
        <w:t xml:space="preserve">- Leading tools: Midjourney, Kittl, Canva AI, Printify AI Generator, Ideogram</w:t>
      </w:r>
    </w:p>
    <w:p>
      <w:pPr>
        <w:pStyle w:val="BodyText"/>
      </w:pPr>
      <w:r>
        <w:rPr>
          <w:bCs/>
          <w:b/>
        </w:rPr>
        <w:t xml:space="preserve">The AI Dual-Use Dilemma:</w:t>
      </w:r>
      <w:r>
        <w:t xml:space="preserve"> </w:t>
      </w:r>
      <w:r>
        <w:t xml:space="preserve">AI simultaneously lowers barriers for legitimate creators (reducing design costs by 70%) while flooding marketplaces with low-quality</w:t>
      </w:r>
      <w:r>
        <w:t xml:space="preserve"> </w:t>
      </w:r>
      <w:r>
        <w:t xml:space="preserve">“</w:t>
      </w:r>
      <w:r>
        <w:t xml:space="preserve">AI slop</w:t>
      </w:r>
      <w:r>
        <w:t xml:space="preserve">”</w:t>
      </w:r>
      <w:r>
        <w:t xml:space="preserve"> </w:t>
      </w:r>
      <w:r>
        <w:t xml:space="preserve">that erodes consumer trust. Amazon Merch’s 50% royalty cut combined with its $200B/year AI investment signals a potential strategic shift: replace human artists with AI-generated designs. The winning strategy is</w:t>
      </w:r>
      <w:r>
        <w:t xml:space="preserve"> </w:t>
      </w:r>
      <w:r>
        <w:rPr>
          <w:bCs/>
          <w:b/>
        </w:rPr>
        <w:t xml:space="preserve">“</w:t>
      </w:r>
      <w:r>
        <w:rPr>
          <w:bCs/>
          <w:b/>
        </w:rPr>
        <w:t xml:space="preserve">AI-augmented authenticity</w:t>
      </w:r>
      <w:r>
        <w:rPr>
          <w:bCs/>
          <w:b/>
        </w:rPr>
        <w:t xml:space="preserve">”</w:t>
      </w:r>
      <w:r>
        <w:t xml:space="preserve"> </w:t>
      </w:r>
      <w:r>
        <w:t xml:space="preserve">— using AI for execution while owning the creative concept and fan relationship.</w:t>
      </w:r>
    </w:p>
    <w:bookmarkEnd w:id="97"/>
    <w:bookmarkStart w:id="98" w:name="web3-nfts-phygital-products"/>
    <w:p>
      <w:pPr>
        <w:pStyle w:val="Heading3"/>
      </w:pPr>
      <w:r>
        <w:t xml:space="preserve">11.2 Web3, NFTs &amp; Phygital Products</w:t>
      </w:r>
    </w:p>
    <w:p>
      <w:pPr>
        <w:pStyle w:val="FirstParagraph"/>
      </w:pPr>
      <w:r>
        <w:t xml:space="preserve">While the NFT market crashed from its $17 billion peak to approximately $2.4 billion, the underlying technology is finding practical applications in creator merchandise:</w:t>
      </w:r>
    </w:p>
    <w:p>
      <w:pPr>
        <w:numPr>
          <w:ilvl w:val="0"/>
          <w:numId w:val="1004"/>
        </w:numPr>
        <w:pStyle w:val="Compact"/>
      </w:pPr>
      <w:r>
        <w:rPr>
          <w:bCs/>
          <w:b/>
        </w:rPr>
        <w:t xml:space="preserve">Phygital products:</w:t>
      </w:r>
      <w:r>
        <w:t xml:space="preserve"> </w:t>
      </w:r>
      <w:r>
        <w:t xml:space="preserve">Physical items bundled with digital twins (Nike CryptoKicks, Prada Timecapsule)</w:t>
      </w:r>
    </w:p>
    <w:p>
      <w:pPr>
        <w:numPr>
          <w:ilvl w:val="0"/>
          <w:numId w:val="1004"/>
        </w:numPr>
        <w:pStyle w:val="Compact"/>
      </w:pPr>
      <w:r>
        <w:rPr>
          <w:bCs/>
          <w:b/>
        </w:rPr>
        <w:t xml:space="preserve">NFC chip integration:</w:t>
      </w:r>
      <w:r>
        <w:t xml:space="preserve"> </w:t>
      </w:r>
      <w:r>
        <w:t xml:space="preserve">Avenged Sevenfold shipped 170,000 NFC-chipped items; smart packaging market projected $36.2B → $63.8B by 2030</w:t>
      </w:r>
    </w:p>
    <w:p>
      <w:pPr>
        <w:numPr>
          <w:ilvl w:val="0"/>
          <w:numId w:val="1004"/>
        </w:numPr>
        <w:pStyle w:val="Compact"/>
      </w:pPr>
      <w:r>
        <w:rPr>
          <w:bCs/>
          <w:b/>
        </w:rPr>
        <w:t xml:space="preserve">Blockchain resale royalties:</w:t>
      </w:r>
      <w:r>
        <w:t xml:space="preserve"> </w:t>
      </w:r>
      <w:r>
        <w:t xml:space="preserve">Smart contracts automatically distribute 5% resale royalties to creators on secondary market sales</w:t>
      </w:r>
    </w:p>
    <w:p>
      <w:pPr>
        <w:numPr>
          <w:ilvl w:val="0"/>
          <w:numId w:val="1004"/>
        </w:numPr>
        <w:pStyle w:val="Compact"/>
      </w:pPr>
      <w:r>
        <w:rPr>
          <w:bCs/>
          <w:b/>
        </w:rPr>
        <w:t xml:space="preserve">Token-gated merch:</w:t>
      </w:r>
      <w:r>
        <w:t xml:space="preserve"> </w:t>
      </w:r>
      <w:r>
        <w:t xml:space="preserve">NFT ownership unlocks exclusive physical merchandise access</w:t>
      </w:r>
    </w:p>
    <w:bookmarkEnd w:id="98"/>
    <w:bookmarkStart w:id="99" w:name="arvr-and-virtual-merchandise"/>
    <w:p>
      <w:pPr>
        <w:pStyle w:val="Heading3"/>
      </w:pPr>
      <w:r>
        <w:t xml:space="preserve">11.3 AR/VR and Virtual Merchandise</w:t>
      </w:r>
    </w:p>
    <w:p>
      <w:pPr>
        <w:numPr>
          <w:ilvl w:val="0"/>
          <w:numId w:val="1005"/>
        </w:numPr>
        <w:pStyle w:val="Compact"/>
      </w:pPr>
      <w:r>
        <w:rPr>
          <w:bCs/>
          <w:b/>
        </w:rPr>
        <w:t xml:space="preserve">AR try-on:</w:t>
      </w:r>
      <w:r>
        <w:t xml:space="preserve"> </w:t>
      </w:r>
      <w:r>
        <w:t xml:space="preserve">94% higher conversion on Shopify with 3D/AR product visualization</w:t>
      </w:r>
    </w:p>
    <w:p>
      <w:pPr>
        <w:numPr>
          <w:ilvl w:val="0"/>
          <w:numId w:val="1005"/>
        </w:numPr>
        <w:pStyle w:val="Compact"/>
      </w:pPr>
      <w:r>
        <w:rPr>
          <w:bCs/>
          <w:b/>
        </w:rPr>
        <w:t xml:space="preserve">Virtual concerts:</w:t>
      </w:r>
      <w:r>
        <w:t xml:space="preserve"> </w:t>
      </w:r>
      <w:r>
        <w:t xml:space="preserve">$7.6 billion market, projected $12.5 billion by 2032</w:t>
      </w:r>
    </w:p>
    <w:p>
      <w:pPr>
        <w:numPr>
          <w:ilvl w:val="0"/>
          <w:numId w:val="1005"/>
        </w:numPr>
        <w:pStyle w:val="Compact"/>
      </w:pPr>
      <w:r>
        <w:rPr>
          <w:bCs/>
          <w:b/>
        </w:rPr>
        <w:t xml:space="preserve">Roblox creator payouts:</w:t>
      </w:r>
      <w:r>
        <w:t xml:space="preserve"> </w:t>
      </w:r>
      <w:r>
        <w:t xml:space="preserve">$923 million to creators in 2024; top creators average $1.3 million</w:t>
      </w:r>
    </w:p>
    <w:p>
      <w:pPr>
        <w:numPr>
          <w:ilvl w:val="0"/>
          <w:numId w:val="1005"/>
        </w:numPr>
        <w:pStyle w:val="Compact"/>
      </w:pPr>
      <w:r>
        <w:rPr>
          <w:bCs/>
          <w:b/>
        </w:rPr>
        <w:t xml:space="preserve">Digital fashion:</w:t>
      </w:r>
      <w:r>
        <w:t xml:space="preserve"> </w:t>
      </w:r>
      <w:r>
        <w:t xml:space="preserve">$1.9 billion market, projected $6.3 billion by 2030</w:t>
      </w:r>
    </w:p>
    <w:bookmarkEnd w:id="99"/>
    <w:bookmarkStart w:id="100" w:name="future-tech-projections"/>
    <w:p>
      <w:pPr>
        <w:pStyle w:val="Heading3"/>
      </w:pPr>
      <w:r>
        <w:t xml:space="preserve">11.4 Future Tech Projections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Technology</w:t>
            </w:r>
          </w:p>
        </w:tc>
        <w:tc>
          <w:tcPr/>
          <w:p>
            <w:pPr>
              <w:pStyle w:val="Compact"/>
              <w:jc w:val="left"/>
            </w:pPr>
            <w:r>
              <w:t xml:space="preserve">2025 Value</w:t>
            </w:r>
          </w:p>
        </w:tc>
        <w:tc>
          <w:tcPr/>
          <w:p>
            <w:pPr>
              <w:pStyle w:val="Compact"/>
              <w:jc w:val="left"/>
            </w:pPr>
            <w:r>
              <w:t xml:space="preserve">2030-34 Projection</w:t>
            </w:r>
          </w:p>
        </w:tc>
        <w:tc>
          <w:tcPr/>
          <w:p>
            <w:pPr>
              <w:pStyle w:val="Compact"/>
              <w:jc w:val="left"/>
            </w:pPr>
            <w:r>
              <w:t xml:space="preserve">CAGR</w:t>
            </w:r>
          </w:p>
        </w:tc>
      </w:tr>
      <w:tr>
        <w:tc>
          <w:tcPr/>
          <w:p>
            <w:pPr>
              <w:pStyle w:val="Compact"/>
              <w:jc w:val="left"/>
            </w:pPr>
            <w:r>
              <w:t xml:space="preserve">POD Market</w:t>
            </w:r>
          </w:p>
        </w:tc>
        <w:tc>
          <w:tcPr/>
          <w:p>
            <w:pPr>
              <w:pStyle w:val="Compact"/>
              <w:jc w:val="left"/>
            </w:pPr>
            <w:r>
              <w:t xml:space="preserve">$10.8B</w:t>
            </w:r>
          </w:p>
        </w:tc>
        <w:tc>
          <w:tcPr/>
          <w:p>
            <w:pPr>
              <w:pStyle w:val="Compact"/>
              <w:jc w:val="left"/>
            </w:pPr>
            <w:r>
              <w:t xml:space="preserve">$57.5B</w:t>
            </w:r>
          </w:p>
        </w:tc>
        <w:tc>
          <w:tcPr/>
          <w:p>
            <w:pPr>
              <w:pStyle w:val="Compact"/>
              <w:jc w:val="left"/>
            </w:pPr>
            <w:r>
              <w:t xml:space="preserve">23.6%</w:t>
            </w:r>
          </w:p>
        </w:tc>
      </w:tr>
      <w:tr>
        <w:tc>
          <w:tcPr/>
          <w:p>
            <w:pPr>
              <w:pStyle w:val="Compact"/>
              <w:jc w:val="left"/>
            </w:pPr>
            <w:r>
              <w:t xml:space="preserve">AI in Fashion</w:t>
            </w:r>
          </w:p>
        </w:tc>
        <w:tc>
          <w:tcPr/>
          <w:p>
            <w:pPr>
              <w:pStyle w:val="Compact"/>
              <w:jc w:val="left"/>
            </w:pPr>
            <w:r>
              <w:t xml:space="preserve">$2.2B</w:t>
            </w:r>
          </w:p>
        </w:tc>
        <w:tc>
          <w:tcPr/>
          <w:p>
            <w:pPr>
              <w:pStyle w:val="Compact"/>
              <w:jc w:val="left"/>
            </w:pPr>
            <w:r>
              <w:t xml:space="preserve">$40-60B</w:t>
            </w:r>
          </w:p>
        </w:tc>
        <w:tc>
          <w:tcPr/>
          <w:p>
            <w:pPr>
              <w:pStyle w:val="Compact"/>
              <w:jc w:val="left"/>
            </w:pPr>
            <w:r>
              <w:t xml:space="preserve">39-41%</w:t>
            </w:r>
          </w:p>
        </w:tc>
      </w:tr>
      <w:tr>
        <w:tc>
          <w:tcPr/>
          <w:p>
            <w:pPr>
              <w:pStyle w:val="Compact"/>
              <w:jc w:val="left"/>
            </w:pPr>
            <w:r>
              <w:t xml:space="preserve">Digital Fashion</w:t>
            </w:r>
          </w:p>
        </w:tc>
        <w:tc>
          <w:tcPr/>
          <w:p>
            <w:pPr>
              <w:pStyle w:val="Compact"/>
              <w:jc w:val="left"/>
            </w:pPr>
            <w:r>
              <w:t xml:space="preserve">$1.9B</w:t>
            </w:r>
          </w:p>
        </w:tc>
        <w:tc>
          <w:tcPr/>
          <w:p>
            <w:pPr>
              <w:pStyle w:val="Compact"/>
              <w:jc w:val="left"/>
            </w:pPr>
            <w:r>
              <w:t xml:space="preserve">$6.3B</w:t>
            </w:r>
          </w:p>
        </w:tc>
        <w:tc>
          <w:tcPr/>
          <w:p>
            <w:pPr>
              <w:pStyle w:val="Compact"/>
              <w:jc w:val="left"/>
            </w:pPr>
            <w:r>
              <w:t xml:space="preserve">22.4%</w:t>
            </w:r>
          </w:p>
        </w:tc>
      </w:tr>
      <w:tr>
        <w:tc>
          <w:tcPr/>
          <w:p>
            <w:pPr>
              <w:pStyle w:val="Compact"/>
              <w:jc w:val="left"/>
            </w:pPr>
            <w:r>
              <w:t xml:space="preserve">Smart Packaging</w:t>
            </w:r>
          </w:p>
        </w:tc>
        <w:tc>
          <w:tcPr/>
          <w:p>
            <w:pPr>
              <w:pStyle w:val="Compact"/>
              <w:jc w:val="left"/>
            </w:pPr>
            <w:r>
              <w:t xml:space="preserve">$23.7B</w:t>
            </w:r>
          </w:p>
        </w:tc>
        <w:tc>
          <w:tcPr/>
          <w:p>
            <w:pPr>
              <w:pStyle w:val="Compact"/>
              <w:jc w:val="left"/>
            </w:pPr>
            <w:r>
              <w:t xml:space="preserve">$54.4B</w:t>
            </w:r>
          </w:p>
        </w:tc>
        <w:tc>
          <w:tcPr/>
          <w:p>
            <w:pPr>
              <w:pStyle w:val="Compact"/>
              <w:jc w:val="left"/>
            </w:pPr>
            <w:r>
              <w:t xml:space="preserve">9.7%</w:t>
            </w:r>
          </w:p>
        </w:tc>
      </w:tr>
      <w:tr>
        <w:tc>
          <w:tcPr/>
          <w:p>
            <w:pPr>
              <w:pStyle w:val="Compact"/>
              <w:jc w:val="left"/>
            </w:pPr>
            <w:r>
              <w:t xml:space="preserve">Web3</w:t>
            </w:r>
          </w:p>
        </w:tc>
        <w:tc>
          <w:tcPr/>
          <w:p>
            <w:pPr>
              <w:pStyle w:val="Compact"/>
              <w:jc w:val="left"/>
            </w:pPr>
            <w:r>
              <w:t xml:space="preserve">$4.6B</w:t>
            </w:r>
          </w:p>
        </w:tc>
        <w:tc>
          <w:tcPr/>
          <w:p>
            <w:pPr>
              <w:pStyle w:val="Compact"/>
              <w:jc w:val="left"/>
            </w:pPr>
            <w:r>
              <w:t xml:space="preserve">$176B</w:t>
            </w:r>
          </w:p>
        </w:tc>
        <w:tc>
          <w:tcPr/>
          <w:p>
            <w:pPr>
              <w:pStyle w:val="Compact"/>
              <w:jc w:val="left"/>
            </w:pPr>
            <w:r>
              <w:t xml:space="preserve">49.8%</w:t>
            </w:r>
          </w:p>
        </w:tc>
      </w:tr>
    </w:tbl>
    <w:p>
      <w:r>
        <w:pict>
          <v:rect style="width:0;height:1.5pt" o:hralign="center" o:hrstd="t" o:hr="t"/>
        </w:pict>
      </w:r>
    </w:p>
    <w:bookmarkEnd w:id="100"/>
    <w:bookmarkEnd w:id="101"/>
    <w:bookmarkStart w:id="106" w:name="sustainability-ethics"/>
    <w:p>
      <w:pPr>
        <w:pStyle w:val="Heading2"/>
      </w:pPr>
      <w:r>
        <w:t xml:space="preserve">12. Sustainability &amp; Ethics</w:t>
      </w:r>
    </w:p>
    <w:bookmarkStart w:id="102" w:name="environmental-impact"/>
    <w:p>
      <w:pPr>
        <w:pStyle w:val="Heading3"/>
      </w:pPr>
      <w:r>
        <w:t xml:space="preserve">12.1 Environmental Impact</w:t>
      </w:r>
    </w:p>
    <w:p>
      <w:pPr>
        <w:pStyle w:val="FirstParagraph"/>
      </w:pPr>
      <w:r>
        <w:t xml:space="preserve">The merchandise industry faces mounting environmental scrutiny:</w:t>
      </w:r>
      <w:r>
        <w:t xml:space="preserve"> </w:t>
      </w:r>
      <w:r>
        <w:t xml:space="preserve">- Fashion industry:</w:t>
      </w:r>
      <w:r>
        <w:t xml:space="preserve"> </w:t>
      </w:r>
      <w:r>
        <w:rPr>
          <w:bCs/>
          <w:b/>
        </w:rPr>
        <w:t xml:space="preserve">~10% of global CO2 emissions</w:t>
      </w:r>
      <w:r>
        <w:t xml:space="preserve"> </w:t>
      </w:r>
      <w:r>
        <w:t xml:space="preserve">- Textile waste:</w:t>
      </w:r>
      <w:r>
        <w:t xml:space="preserve"> </w:t>
      </w:r>
      <w:r>
        <w:rPr>
          <w:bCs/>
          <w:b/>
        </w:rPr>
        <w:t xml:space="preserve">92 million tons annually</w:t>
      </w:r>
      <w:r>
        <w:t xml:space="preserve"> </w:t>
      </w:r>
      <w:r>
        <w:t xml:space="preserve">- Single-use festival outfits: 7.5 million outfits, $307 million market</w:t>
      </w:r>
      <w:r>
        <w:t xml:space="preserve"> </w:t>
      </w:r>
      <w:r>
        <w:t xml:space="preserve">- Water usage: 2,700 liters per cotton t-shirt</w:t>
      </w:r>
    </w:p>
    <w:bookmarkEnd w:id="102"/>
    <w:bookmarkStart w:id="103" w:name="leading-sustainability-initiatives"/>
    <w:p>
      <w:pPr>
        <w:pStyle w:val="Heading3"/>
      </w:pPr>
      <w:r>
        <w:t xml:space="preserve">12.2 Leading Sustainability Initiatives</w:t>
      </w:r>
    </w:p>
    <w:p>
      <w:pPr>
        <w:pStyle w:val="FirstParagraph"/>
      </w:pPr>
      <w:r>
        <w:rPr>
          <w:bCs/>
          <w:b/>
        </w:rPr>
        <w:t xml:space="preserve">Billie Eilish / Bravado:</w:t>
      </w:r>
      <w:r>
        <w:t xml:space="preserve"> </w:t>
      </w:r>
      <w:r>
        <w:t xml:space="preserve">Upcycled</w:t>
      </w:r>
      <w:r>
        <w:t xml:space="preserve"> </w:t>
      </w:r>
      <w:r>
        <w:rPr>
          <w:bCs/>
          <w:b/>
        </w:rPr>
        <w:t xml:space="preserve">400,000 shirts into 280,000 new garments</w:t>
      </w:r>
      <w:r>
        <w:t xml:space="preserve"> </w:t>
      </w:r>
      <w:r>
        <w:t xml:space="preserve">— a large-scale circularity demonstration that proved sustainable merch at scale is commercially viable.</w:t>
      </w:r>
    </w:p>
    <w:p>
      <w:pPr>
        <w:pStyle w:val="BodyText"/>
      </w:pPr>
      <w:r>
        <w:rPr>
          <w:bCs/>
          <w:b/>
        </w:rPr>
        <w:t xml:space="preserve">Coldplay:</w:t>
      </w:r>
      <w:r>
        <w:t xml:space="preserve"> </w:t>
      </w:r>
      <w:r>
        <w:t xml:space="preserve">Achieved</w:t>
      </w:r>
      <w:r>
        <w:t xml:space="preserve"> </w:t>
      </w:r>
      <w:r>
        <w:rPr>
          <w:bCs/>
          <w:b/>
        </w:rPr>
        <w:t xml:space="preserve">59% CO2 emission reduction</w:t>
      </w:r>
      <w:r>
        <w:t xml:space="preserve"> </w:t>
      </w:r>
      <w:r>
        <w:t xml:space="preserve">on their Music of the Spheres tour (MIT-verified), setting the benchmark for sustainable touring.</w:t>
      </w:r>
    </w:p>
    <w:p>
      <w:pPr>
        <w:pStyle w:val="BodyText"/>
      </w:pPr>
      <w:r>
        <w:rPr>
          <w:bCs/>
          <w:b/>
        </w:rPr>
        <w:t xml:space="preserve">Industry Standards:</w:t>
      </w:r>
      <w:r>
        <w:t xml:space="preserve"> </w:t>
      </w:r>
      <w:r>
        <w:t xml:space="preserve">Organic cotton carries a 20-50% cost premium over conventional cotton, while recycled polyester (rPET) has reached near price parity with virgin polyester. The sustainable merch premium ceiling appears to be approximately</w:t>
      </w:r>
      <w:r>
        <w:t xml:space="preserve"> </w:t>
      </w:r>
      <w:r>
        <w:rPr>
          <w:bCs/>
          <w:b/>
        </w:rPr>
        <w:t xml:space="preserve">30% above conventional pricing</w:t>
      </w:r>
      <w:r>
        <w:t xml:space="preserve"> </w:t>
      </w:r>
      <w:r>
        <w:t xml:space="preserve">before demand elasticity kicks in.</w:t>
      </w:r>
    </w:p>
    <w:bookmarkEnd w:id="103"/>
    <w:bookmarkStart w:id="104" w:name="counterfeit-crisis"/>
    <w:p>
      <w:pPr>
        <w:pStyle w:val="Heading3"/>
      </w:pPr>
      <w:r>
        <w:t xml:space="preserve">12.3 Counterfeit Crisis</w:t>
      </w:r>
    </w:p>
    <w:p>
      <w:pPr>
        <w:pStyle w:val="FirstParagraph"/>
      </w:pPr>
      <w:r>
        <w:t xml:space="preserve">Counterfeit merchandise represents an existential threat to creator revenue:</w:t>
      </w:r>
      <w:r>
        <w:t xml:space="preserve"> </w:t>
      </w:r>
      <w:r>
        <w:t xml:space="preserve">-</w:t>
      </w:r>
      <w:r>
        <w:t xml:space="preserve"> </w:t>
      </w:r>
      <w:r>
        <w:rPr>
          <w:bCs/>
          <w:b/>
        </w:rPr>
        <w:t xml:space="preserve">$467 billion</w:t>
      </w:r>
      <w:r>
        <w:t xml:space="preserve"> </w:t>
      </w:r>
      <w:r>
        <w:t xml:space="preserve">global counterfeit trade (OECD/EUIPO, 2021)</w:t>
      </w:r>
      <w:r>
        <w:t xml:space="preserve"> </w:t>
      </w:r>
      <w:r>
        <w:t xml:space="preserve">- Projected</w:t>
      </w:r>
      <w:r>
        <w:t xml:space="preserve"> </w:t>
      </w:r>
      <w:r>
        <w:rPr>
          <w:bCs/>
          <w:b/>
        </w:rPr>
        <w:t xml:space="preserve">$1.79 trillion by 2030</w:t>
      </w:r>
      <w:r>
        <w:t xml:space="preserve"> </w:t>
      </w:r>
      <w:r>
        <w:t xml:space="preserve">(5% of world trade)</w:t>
      </w:r>
      <w:r>
        <w:t xml:space="preserve"> </w:t>
      </w:r>
      <w:r>
        <w:t xml:space="preserve">- Apparel/footwear =</w:t>
      </w:r>
      <w:r>
        <w:t xml:space="preserve"> </w:t>
      </w:r>
      <w:r>
        <w:rPr>
          <w:bCs/>
          <w:b/>
        </w:rPr>
        <w:t xml:space="preserve">62% of customs seizures</w:t>
      </w:r>
      <w:r>
        <w:t xml:space="preserve"> </w:t>
      </w:r>
      <w:r>
        <w:t xml:space="preserve">- CBP seizures increased</w:t>
      </w:r>
      <w:r>
        <w:t xml:space="preserve"> </w:t>
      </w:r>
      <w:r>
        <w:rPr>
          <w:bCs/>
          <w:b/>
        </w:rPr>
        <w:t xml:space="preserve">95% by MSRP</w:t>
      </w:r>
      <w:r>
        <w:t xml:space="preserve"> </w:t>
      </w:r>
      <w:r>
        <w:t xml:space="preserve">in FY2024</w:t>
      </w:r>
      <w:r>
        <w:t xml:space="preserve"> </w:t>
      </w:r>
      <w:r>
        <w:t xml:space="preserve">- Amazon seized 15 million counterfeits in 2024</w:t>
      </w:r>
    </w:p>
    <w:p>
      <w:pPr>
        <w:pStyle w:val="BodyText"/>
      </w:pPr>
      <w:r>
        <w:rPr>
          <w:bCs/>
          <w:b/>
        </w:rPr>
        <w:t xml:space="preserve">The Counterfeit Paradox:</w:t>
      </w:r>
      <w:r>
        <w:t xml:space="preserve"> </w:t>
      </w:r>
      <w:r>
        <w:t xml:space="preserve">Counterfeit volume correlates with brand value. However, counterfeits satisfy functional needs (a t-shirt to wear) but cannot satisfy identity needs (a badge of tribal membership). Creators should emphasize community-building, limited editions, and experiential elements (NFC chips, signed items, fan club access) that make authentic merch irreplaceable.</w:t>
      </w:r>
    </w:p>
    <w:bookmarkEnd w:id="104"/>
    <w:bookmarkStart w:id="105" w:name="eu-regulatory-landscape"/>
    <w:p>
      <w:pPr>
        <w:pStyle w:val="Heading3"/>
      </w:pPr>
      <w:r>
        <w:t xml:space="preserve">12.4 EU Regulatory Landscape</w:t>
      </w:r>
    </w:p>
    <w:p>
      <w:pPr>
        <w:pStyle w:val="FirstParagraph"/>
      </w:pPr>
      <w:r>
        <w:t xml:space="preserve">The European Union is implementing the world’s strictest merchandise regulations:</w:t>
      </w:r>
    </w:p>
    <w:p>
      <w:pPr>
        <w:numPr>
          <w:ilvl w:val="0"/>
          <w:numId w:val="1006"/>
        </w:numPr>
        <w:pStyle w:val="Compact"/>
      </w:pPr>
      <w:r>
        <w:rPr>
          <w:bCs/>
          <w:b/>
        </w:rPr>
        <w:t xml:space="preserve">ECGT Directive (Sept 2026):</w:t>
      </w:r>
      <w:r>
        <w:t xml:space="preserve"> </w:t>
      </w:r>
      <w:r>
        <w:t xml:space="preserve">Bans generic environmental claims (</w:t>
      </w:r>
      <w:r>
        <w:t xml:space="preserve">“</w:t>
      </w:r>
      <w:r>
        <w:t xml:space="preserve">eco-friendly,</w:t>
      </w:r>
      <w:r>
        <w:t xml:space="preserve">”</w:t>
      </w:r>
      <w:r>
        <w:t xml:space="preserve"> </w:t>
      </w:r>
      <w:r>
        <w:t xml:space="preserve">“</w:t>
      </w:r>
      <w:r>
        <w:t xml:space="preserve">green,</w:t>
      </w:r>
      <w:r>
        <w:t xml:space="preserve">”</w:t>
      </w:r>
      <w:r>
        <w:t xml:space="preserve"> </w:t>
      </w:r>
      <w:r>
        <w:t xml:space="preserve">“</w:t>
      </w:r>
      <w:r>
        <w:t xml:space="preserve">sustainable</w:t>
      </w:r>
      <w:r>
        <w:t xml:space="preserve">”</w:t>
      </w:r>
      <w:r>
        <w:t xml:space="preserve">) unless third-party certified. Penalties: up to 4% of annual turnover.</w:t>
      </w:r>
    </w:p>
    <w:p>
      <w:pPr>
        <w:numPr>
          <w:ilvl w:val="0"/>
          <w:numId w:val="1006"/>
        </w:numPr>
        <w:pStyle w:val="Compact"/>
      </w:pPr>
      <w:r>
        <w:rPr>
          <w:bCs/>
          <w:b/>
        </w:rPr>
        <w:t xml:space="preserve">GPSR (Dec 2024):</w:t>
      </w:r>
      <w:r>
        <w:t xml:space="preserve"> </w:t>
      </w:r>
      <w:r>
        <w:t xml:space="preserve">General Product Safety Regulation mandates full supply chain traceability.</w:t>
      </w:r>
    </w:p>
    <w:p>
      <w:pPr>
        <w:numPr>
          <w:ilvl w:val="0"/>
          <w:numId w:val="1006"/>
        </w:numPr>
        <w:pStyle w:val="Compact"/>
      </w:pPr>
      <w:r>
        <w:rPr>
          <w:bCs/>
          <w:b/>
        </w:rPr>
        <w:t xml:space="preserve">July 2026 duty changes:</w:t>
      </w:r>
      <w:r>
        <w:t xml:space="preserve"> </w:t>
      </w:r>
      <w:r>
        <w:t xml:space="preserve">Removes €150 customs duty exemption; flat €3 duty per tariff heading on low-value e-commerce shipments.</w:t>
      </w:r>
    </w:p>
    <w:p>
      <w:r>
        <w:pict>
          <v:rect style="width:0;height:1.5pt" o:hralign="center" o:hrstd="t" o:hr="t"/>
        </w:pict>
      </w:r>
    </w:p>
    <w:bookmarkEnd w:id="105"/>
    <w:bookmarkEnd w:id="106"/>
    <w:bookmarkStart w:id="111" w:name="regional-dynamics"/>
    <w:p>
      <w:pPr>
        <w:pStyle w:val="Heading2"/>
      </w:pPr>
      <w:r>
        <w:t xml:space="preserve">13. Regional Dynamics</w:t>
      </w:r>
    </w:p>
    <w:bookmarkStart w:id="109" w:name="market-size-by-region"/>
    <w:p>
      <w:pPr>
        <w:pStyle w:val="Heading3"/>
      </w:pPr>
      <w:r>
        <w:t xml:space="preserve">13.1 Market Size by Region</w:t>
      </w:r>
    </w:p>
    <w:p>
      <w:pPr>
        <w:pStyle w:val="CaptionedFigure"/>
      </w:pPr>
      <w:r>
        <w:drawing>
          <wp:inline>
            <wp:extent cx="5334000" cy="2299456"/>
            <wp:effectExtent b="0" l="0" r="0" t="0"/>
            <wp:docPr descr="Regional Data" title="" id="107" name="Picture"/>
            <a:graphic>
              <a:graphicData uri="http://schemas.openxmlformats.org/drawingml/2006/picture">
                <pic:pic>
                  <pic:nvPicPr>
                    <pic:cNvPr descr="/mnt/agents/output/charts/regional_pod_growth.png" id="108" name="Picture"/>
                    <pic:cNvPicPr>
                      <a:picLocks noChangeArrowheads="1" noChangeAspect="1"/>
                    </pic:cNvPicPr>
                  </pic:nvPicPr>
                  <pic:blipFill>
                    <a:blip r:embed="rId85"/>
                    <a:stretch>
                      <a:fillRect/>
                    </a:stretch>
                  </pic:blipFill>
                  <pic:spPr bwMode="auto">
                    <a:xfrm>
                      <a:off x="0" y="0"/>
                      <a:ext cx="5334000" cy="2299456"/>
                    </a:xfrm>
                    <a:prstGeom prst="rect">
                      <a:avLst/>
                    </a:prstGeom>
                    <a:noFill/>
                    <a:ln w="9525">
                      <a:noFill/>
                      <a:headEnd/>
                      <a:tailEnd/>
                    </a:ln>
                  </pic:spPr>
                </pic:pic>
              </a:graphicData>
            </a:graphic>
          </wp:inline>
        </w:drawing>
      </w:r>
    </w:p>
    <w:p>
      <w:pPr>
        <w:pStyle w:val="ImageCaption"/>
      </w:pPr>
      <w:r>
        <w:t xml:space="preserve">Regional Data</w:t>
      </w:r>
    </w:p>
    <w:tbl>
      <w:tblPr>
        <w:tblStyle w:val="Table"/>
        <w:tblW w:type="pct" w:w="5000"/>
        <w:tblLook w:firstRow="1" w:lastRow="0" w:firstColumn="0" w:lastColumn="0" w:noHBand="0" w:noVBand="0" w:val="0020"/>
      </w:tblPr>
      <w:tblGrid>
        <w:gridCol w:w="763"/>
        <w:gridCol w:w="2099"/>
        <w:gridCol w:w="1813"/>
        <w:gridCol w:w="1240"/>
        <w:gridCol w:w="2003"/>
      </w:tblGrid>
      <w:tr>
        <w:trPr>
          <w:tblHeader w:val="true"/>
        </w:trPr>
        <w:tc>
          <w:tcPr/>
          <w:p>
            <w:pPr>
              <w:pStyle w:val="Compact"/>
              <w:jc w:val="left"/>
            </w:pPr>
            <w:r>
              <w:t xml:space="preserve">Region</w:t>
            </w:r>
          </w:p>
        </w:tc>
        <w:tc>
          <w:tcPr/>
          <w:p>
            <w:pPr>
              <w:pStyle w:val="Compact"/>
              <w:jc w:val="left"/>
            </w:pPr>
            <w:r>
              <w:t xml:space="preserve">Creator Economy (2025)</w:t>
            </w:r>
          </w:p>
        </w:tc>
        <w:tc>
          <w:tcPr/>
          <w:p>
            <w:pPr>
              <w:pStyle w:val="Compact"/>
              <w:jc w:val="left"/>
            </w:pPr>
            <w:r>
              <w:t xml:space="preserve">Artist Merch Share</w:t>
            </w:r>
          </w:p>
        </w:tc>
        <w:tc>
          <w:tcPr/>
          <w:p>
            <w:pPr>
              <w:pStyle w:val="Compact"/>
              <w:jc w:val="left"/>
            </w:pPr>
            <w:r>
              <w:t xml:space="preserve">Growth Rate</w:t>
            </w:r>
          </w:p>
        </w:tc>
        <w:tc>
          <w:tcPr/>
          <w:p>
            <w:pPr>
              <w:pStyle w:val="Compact"/>
              <w:jc w:val="left"/>
            </w:pPr>
            <w:r>
              <w:t xml:space="preserve">Key Characteristics</w:t>
            </w:r>
          </w:p>
        </w:tc>
      </w:tr>
      <w:tr>
        <w:tc>
          <w:tcPr/>
          <w:p>
            <w:pPr>
              <w:pStyle w:val="Compact"/>
              <w:jc w:val="left"/>
            </w:pPr>
            <w:r>
              <w:rPr>
                <w:bCs/>
                <w:b/>
              </w:rPr>
              <w:t xml:space="preserve">North America</w:t>
            </w:r>
          </w:p>
        </w:tc>
        <w:tc>
          <w:tcPr/>
          <w:p>
            <w:pPr>
              <w:pStyle w:val="Compact"/>
              <w:jc w:val="left"/>
            </w:pPr>
            <w:r>
              <w:t xml:space="preserve">$55.8B</w:t>
            </w:r>
          </w:p>
        </w:tc>
        <w:tc>
          <w:tcPr/>
          <w:p>
            <w:pPr>
              <w:pStyle w:val="Compact"/>
              <w:jc w:val="left"/>
            </w:pPr>
            <w:r>
              <w:t xml:space="preserve">36.2% ($2.46B)</w:t>
            </w:r>
          </w:p>
        </w:tc>
        <w:tc>
          <w:tcPr/>
          <w:p>
            <w:pPr>
              <w:pStyle w:val="Compact"/>
              <w:jc w:val="left"/>
            </w:pPr>
            <w:r>
              <w:t xml:space="preserve">19.5% CAGR</w:t>
            </w:r>
          </w:p>
        </w:tc>
        <w:tc>
          <w:tcPr/>
          <w:p>
            <w:pPr>
              <w:pStyle w:val="Compact"/>
              <w:jc w:val="left"/>
            </w:pPr>
            <w:r>
              <w:t xml:space="preserve">Mature, D2C-driven, high per-capita</w:t>
            </w:r>
          </w:p>
        </w:tc>
      </w:tr>
      <w:tr>
        <w:tc>
          <w:tcPr/>
          <w:p>
            <w:pPr>
              <w:pStyle w:val="Compact"/>
              <w:jc w:val="left"/>
            </w:pPr>
            <w:r>
              <w:rPr>
                <w:bCs/>
                <w:b/>
              </w:rPr>
              <w:t xml:space="preserve">Asia-Pacific</w:t>
            </w:r>
          </w:p>
        </w:tc>
        <w:tc>
          <w:tcPr/>
          <w:p>
            <w:pPr>
              <w:pStyle w:val="Compact"/>
              <w:jc w:val="left"/>
            </w:pPr>
            <w:r>
              <w:t xml:space="preserve">$24.7B</w:t>
            </w:r>
          </w:p>
        </w:tc>
        <w:tc>
          <w:tcPr/>
          <w:p>
            <w:pPr>
              <w:pStyle w:val="Compact"/>
              <w:jc w:val="left"/>
            </w:pPr>
            <w:r>
              <w:t xml:space="preserve">20%+</w:t>
            </w:r>
          </w:p>
        </w:tc>
        <w:tc>
          <w:tcPr/>
          <w:p>
            <w:pPr>
              <w:pStyle w:val="Compact"/>
              <w:jc w:val="left"/>
            </w:pPr>
            <w:r>
              <w:rPr>
                <w:bCs/>
                <w:b/>
              </w:rPr>
              <w:t xml:space="preserve">36.8% CAGR</w:t>
            </w:r>
          </w:p>
        </w:tc>
        <w:tc>
          <w:tcPr/>
          <w:p>
            <w:pPr>
              <w:pStyle w:val="Compact"/>
              <w:jc w:val="left"/>
            </w:pPr>
            <w:r>
              <w:t xml:space="preserve">Fastest growing; K-pop, Douyin</w:t>
            </w:r>
          </w:p>
        </w:tc>
      </w:tr>
      <w:tr>
        <w:tc>
          <w:tcPr/>
          <w:p>
            <w:pPr>
              <w:pStyle w:val="Compact"/>
              <w:jc w:val="left"/>
            </w:pPr>
            <w:r>
              <w:rPr>
                <w:bCs/>
                <w:b/>
              </w:rPr>
              <w:t xml:space="preserve">Europe</w:t>
            </w:r>
          </w:p>
        </w:tc>
        <w:tc>
          <w:tcPr/>
          <w:p>
            <w:pPr>
              <w:pStyle w:val="Compact"/>
              <w:jc w:val="left"/>
            </w:pPr>
            <w:r>
              <w:t xml:space="preserve">$14.3B</w:t>
            </w:r>
          </w:p>
        </w:tc>
        <w:tc>
          <w:tcPr/>
          <w:p>
            <w:pPr>
              <w:pStyle w:val="Compact"/>
              <w:jc w:val="left"/>
            </w:pPr>
            <w:r>
              <w:t xml:space="preserve">~25%</w:t>
            </w:r>
          </w:p>
        </w:tc>
        <w:tc>
          <w:tcPr/>
          <w:p>
            <w:pPr>
              <w:pStyle w:val="Compact"/>
              <w:jc w:val="left"/>
            </w:pPr>
            <w:r>
              <w:t xml:space="preserve">22.9% CAGR</w:t>
            </w:r>
          </w:p>
        </w:tc>
        <w:tc>
          <w:tcPr/>
          <w:p>
            <w:pPr>
              <w:pStyle w:val="Compact"/>
              <w:jc w:val="left"/>
            </w:pPr>
            <w:r>
              <w:t xml:space="preserve">Festival culture, regulatory leadership</w:t>
            </w:r>
          </w:p>
        </w:tc>
      </w:tr>
      <w:tr>
        <w:tc>
          <w:tcPr/>
          <w:p>
            <w:pPr>
              <w:pStyle w:val="Compact"/>
              <w:jc w:val="left"/>
            </w:pPr>
            <w:r>
              <w:rPr>
                <w:bCs/>
                <w:b/>
              </w:rPr>
              <w:t xml:space="preserve">Latin America</w:t>
            </w:r>
          </w:p>
        </w:tc>
        <w:tc>
          <w:tcPr/>
          <w:p>
            <w:pPr>
              <w:pStyle w:val="Compact"/>
              <w:jc w:val="left"/>
            </w:pPr>
            <w:r>
              <w:t xml:space="preserve">$10.8B</w:t>
            </w:r>
          </w:p>
        </w:tc>
        <w:tc>
          <w:tcPr/>
          <w:p>
            <w:pPr>
              <w:pStyle w:val="Compact"/>
              <w:jc w:val="left"/>
            </w:pPr>
            <w:r>
              <w:t xml:space="preserve">Growing</w:t>
            </w:r>
          </w:p>
        </w:tc>
        <w:tc>
          <w:tcPr/>
          <w:p>
            <w:pPr>
              <w:pStyle w:val="Compact"/>
              <w:jc w:val="left"/>
            </w:pPr>
            <w:r>
              <w:t xml:space="preserve">27.9% CAGR</w:t>
            </w:r>
          </w:p>
        </w:tc>
        <w:tc>
          <w:tcPr/>
          <w:p>
            <w:pPr>
              <w:pStyle w:val="Compact"/>
              <w:jc w:val="left"/>
            </w:pPr>
            <w:r>
              <w:t xml:space="preserve">Brazil 106M creators (50% of population)</w:t>
            </w:r>
          </w:p>
        </w:tc>
      </w:tr>
      <w:tr>
        <w:tc>
          <w:tcPr/>
          <w:p>
            <w:pPr>
              <w:pStyle w:val="Compact"/>
              <w:jc w:val="left"/>
            </w:pPr>
            <w:r>
              <w:rPr>
                <w:bCs/>
                <w:b/>
              </w:rPr>
              <w:t xml:space="preserve">Africa</w:t>
            </w:r>
          </w:p>
        </w:tc>
        <w:tc>
          <w:tcPr/>
          <w:p>
            <w:pPr>
              <w:pStyle w:val="Compact"/>
              <w:jc w:val="left"/>
            </w:pPr>
            <w:r>
              <w:t xml:space="preserve">$3.1-5.1B</w:t>
            </w:r>
          </w:p>
        </w:tc>
        <w:tc>
          <w:tcPr/>
          <w:p>
            <w:pPr>
              <w:pStyle w:val="Compact"/>
              <w:jc w:val="left"/>
            </w:pPr>
            <w:r>
              <w:t xml:space="preserve">Emerging</w:t>
            </w:r>
          </w:p>
        </w:tc>
        <w:tc>
          <w:tcPr/>
          <w:p>
            <w:pPr>
              <w:pStyle w:val="Compact"/>
              <w:jc w:val="left"/>
            </w:pPr>
            <w:r>
              <w:rPr>
                <w:bCs/>
                <w:b/>
              </w:rPr>
              <w:t xml:space="preserve">28.7% CAGR</w:t>
            </w:r>
          </w:p>
        </w:tc>
        <w:tc>
          <w:tcPr/>
          <w:p>
            <w:pPr>
              <w:pStyle w:val="Compact"/>
              <w:jc w:val="left"/>
            </w:pPr>
            <w:r>
              <w:t xml:space="preserve">Mobile-first, highest growth potential</w:t>
            </w:r>
          </w:p>
        </w:tc>
      </w:tr>
      <w:tr>
        <w:tc>
          <w:tcPr/>
          <w:p>
            <w:pPr>
              <w:pStyle w:val="Compact"/>
              <w:jc w:val="left"/>
            </w:pPr>
            <w:r>
              <w:rPr>
                <w:bCs/>
                <w:b/>
              </w:rPr>
              <w:t xml:space="preserve">Middle East</w:t>
            </w:r>
          </w:p>
        </w:tc>
        <w:tc>
          <w:tcPr/>
          <w:p>
            <w:pPr>
              <w:pStyle w:val="Compact"/>
              <w:jc w:val="left"/>
            </w:pPr>
            <w:r>
              <w:t xml:space="preserve">$2.1B</w:t>
            </w:r>
          </w:p>
        </w:tc>
        <w:tc>
          <w:tcPr/>
          <w:p>
            <w:pPr>
              <w:pStyle w:val="Compact"/>
              <w:jc w:val="left"/>
            </w:pPr>
            <w:r>
              <w:t xml:space="preserve">Emerging</w:t>
            </w:r>
          </w:p>
        </w:tc>
        <w:tc>
          <w:tcPr/>
          <w:p>
            <w:pPr>
              <w:pStyle w:val="Compact"/>
              <w:jc w:val="left"/>
            </w:pPr>
            <w:r>
              <w:t xml:space="preserve">20%+ CAGR</w:t>
            </w:r>
          </w:p>
        </w:tc>
        <w:tc>
          <w:tcPr/>
          <w:p>
            <w:pPr>
              <w:pStyle w:val="Compact"/>
              <w:jc w:val="left"/>
            </w:pPr>
            <w:r>
              <w:t xml:space="preserve">Government-backed, UAE/Saudi hubs</w:t>
            </w:r>
          </w:p>
        </w:tc>
      </w:tr>
    </w:tbl>
    <w:bookmarkEnd w:id="109"/>
    <w:bookmarkStart w:id="110" w:name="key-regional-insights"/>
    <w:p>
      <w:pPr>
        <w:pStyle w:val="Heading3"/>
      </w:pPr>
      <w:r>
        <w:t xml:space="preserve">13.2 Key Regional Insights</w:t>
      </w:r>
    </w:p>
    <w:p>
      <w:pPr>
        <w:pStyle w:val="FirstParagraph"/>
      </w:pPr>
      <w:r>
        <w:rPr>
          <w:bCs/>
          <w:b/>
        </w:rPr>
        <w:t xml:space="preserve">North America ($55.8B creator economy):</w:t>
      </w:r>
      <w:r>
        <w:t xml:space="preserve"> </w:t>
      </w:r>
      <w:r>
        <w:t xml:space="preserve">The largest and most mature market. US fans spend an average of $47 per event on merchandise, up from $38 in 2021. The 162 million American creators represent 26% of the adult population. Shopify, Fourthwall, and Bandcamp dominate the infrastructure layer.</w:t>
      </w:r>
    </w:p>
    <w:p>
      <w:pPr>
        <w:pStyle w:val="BodyText"/>
      </w:pPr>
      <w:r>
        <w:rPr>
          <w:bCs/>
          <w:b/>
        </w:rPr>
        <w:t xml:space="preserve">Asia-Pacific ($24.7B, 36.8% CAGR):</w:t>
      </w:r>
      <w:r>
        <w:t xml:space="preserve"> </w:t>
      </w:r>
      <w:r>
        <w:t xml:space="preserve">The fastest-growing region, driven by K-pop’s global expansion, China’s Douyin ($483 billion GMV) creator commerce ecosystem, and India’s mobile-first creator economy ($1.46-2.5 billion). Southeast Asia is the battleground between TikTok Shop and Shopee.</w:t>
      </w:r>
    </w:p>
    <w:p>
      <w:pPr>
        <w:pStyle w:val="BodyText"/>
      </w:pPr>
      <w:r>
        <w:rPr>
          <w:bCs/>
          <w:b/>
        </w:rPr>
        <w:t xml:space="preserve">Europe ($14.3B):</w:t>
      </w:r>
      <w:r>
        <w:t xml:space="preserve"> </w:t>
      </w:r>
      <w:r>
        <w:t xml:space="preserve">Strong festival merchandise culture (Glastonbury, Tomorrowland) and increasing regulatory leadership on sustainability and product safety. The EU’s ECGT Directive will reshape global merchandise marketing standards.</w:t>
      </w:r>
    </w:p>
    <w:p>
      <w:pPr>
        <w:pStyle w:val="BodyText"/>
      </w:pPr>
      <w:r>
        <w:rPr>
          <w:bCs/>
          <w:b/>
        </w:rPr>
        <w:t xml:space="preserve">Latin America ($10.8B):</w:t>
      </w:r>
      <w:r>
        <w:t xml:space="preserve"> </w:t>
      </w:r>
      <w:r>
        <w:t xml:space="preserve">Brazil leads with 106 million creators (50% of the population), the highest creator-to-population ratio globally. Mercado Livre serves as the dominant commerce platform.</w:t>
      </w:r>
    </w:p>
    <w:p>
      <w:r>
        <w:pict>
          <v:rect style="width:0;height:1.5pt" o:hralign="center" o:hrstd="t" o:hr="t"/>
        </w:pict>
      </w:r>
    </w:p>
    <w:bookmarkEnd w:id="110"/>
    <w:bookmarkEnd w:id="111"/>
    <w:bookmarkStart w:id="117" w:name="challenges-risks"/>
    <w:p>
      <w:pPr>
        <w:pStyle w:val="Heading2"/>
      </w:pPr>
      <w:r>
        <w:t xml:space="preserve">14. Challenges &amp; Risks</w:t>
      </w:r>
    </w:p>
    <w:bookmarkStart w:id="112" w:name="margin-squeeze-across-the-value-chain"/>
    <w:p>
      <w:pPr>
        <w:pStyle w:val="Heading3"/>
      </w:pPr>
      <w:r>
        <w:t xml:space="preserve">14.1 Margin Squeeze Across the Value Chain</w:t>
      </w:r>
    </w:p>
    <w:p>
      <w:pPr>
        <w:pStyle w:val="FirstParagraph"/>
      </w:pPr>
      <w:r>
        <w:t xml:space="preserve">A systemic margin compression is occurring simultaneously at every node of the value chain: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Node</w:t>
            </w:r>
          </w:p>
        </w:tc>
        <w:tc>
          <w:tcPr/>
          <w:p>
            <w:pPr>
              <w:pStyle w:val="Compact"/>
              <w:jc w:val="left"/>
            </w:pPr>
            <w:r>
              <w:t xml:space="preserve">Margin Pressure</w:t>
            </w:r>
          </w:p>
        </w:tc>
        <w:tc>
          <w:tcPr/>
          <w:p>
            <w:pPr>
              <w:pStyle w:val="Compact"/>
              <w:jc w:val="left"/>
            </w:pPr>
            <w:r>
              <w:t xml:space="preserve">Evidence</w:t>
            </w:r>
          </w:p>
        </w:tc>
      </w:tr>
      <w:tr>
        <w:tc>
          <w:tcPr/>
          <w:p>
            <w:pPr>
              <w:pStyle w:val="Compact"/>
              <w:jc w:val="left"/>
            </w:pPr>
            <w:r>
              <w:rPr>
                <w:bCs/>
                <w:b/>
              </w:rPr>
              <w:t xml:space="preserve">Labels (UMG/Bravado)</w:t>
            </w:r>
          </w:p>
        </w:tc>
        <w:tc>
          <w:tcPr/>
          <w:p>
            <w:pPr>
              <w:pStyle w:val="Compact"/>
              <w:jc w:val="left"/>
            </w:pPr>
            <w:r>
              <w:t xml:space="preserve">EBITDA 5.1% → 2.0%</w:t>
            </w:r>
          </w:p>
        </w:tc>
        <w:tc>
          <w:tcPr/>
          <w:p>
            <w:pPr>
              <w:pStyle w:val="Compact"/>
              <w:jc w:val="left"/>
            </w:pPr>
            <w:r>
              <w:t xml:space="preserve">UMG annual report</w:t>
            </w:r>
          </w:p>
        </w:tc>
      </w:tr>
      <w:tr>
        <w:tc>
          <w:tcPr/>
          <w:p>
            <w:pPr>
              <w:pStyle w:val="Compact"/>
              <w:jc w:val="left"/>
            </w:pPr>
            <w:r>
              <w:rPr>
                <w:bCs/>
                <w:b/>
              </w:rPr>
              <w:t xml:space="preserve">POD Platforms</w:t>
            </w:r>
          </w:p>
        </w:tc>
        <w:tc>
          <w:tcPr/>
          <w:p>
            <w:pPr>
              <w:pStyle w:val="Compact"/>
              <w:jc w:val="left"/>
            </w:pPr>
            <w:r>
              <w:t xml:space="preserve">Royalties cut 50%</w:t>
            </w:r>
          </w:p>
        </w:tc>
        <w:tc>
          <w:tcPr/>
          <w:p>
            <w:pPr>
              <w:pStyle w:val="Compact"/>
              <w:jc w:val="left"/>
            </w:pPr>
            <w:r>
              <w:t xml:space="preserve">Amazon Merch, Society6</w:t>
            </w:r>
          </w:p>
        </w:tc>
      </w:tr>
      <w:tr>
        <w:tc>
          <w:tcPr/>
          <w:p>
            <w:pPr>
              <w:pStyle w:val="Compact"/>
              <w:jc w:val="left"/>
            </w:pPr>
            <w:r>
              <w:rPr>
                <w:bCs/>
                <w:b/>
              </w:rPr>
              <w:t xml:space="preserve">Marketplaces</w:t>
            </w:r>
          </w:p>
        </w:tc>
        <w:tc>
          <w:tcPr/>
          <w:p>
            <w:pPr>
              <w:pStyle w:val="Compact"/>
              <w:jc w:val="left"/>
            </w:pPr>
            <w:r>
              <w:t xml:space="preserve">50% fees imposed</w:t>
            </w:r>
          </w:p>
        </w:tc>
        <w:tc>
          <w:tcPr/>
          <w:p>
            <w:pPr>
              <w:pStyle w:val="Compact"/>
              <w:jc w:val="left"/>
            </w:pPr>
            <w:r>
              <w:t xml:space="preserve">Redbubble tier changes</w:t>
            </w:r>
          </w:p>
        </w:tc>
      </w:tr>
      <w:tr>
        <w:tc>
          <w:tcPr/>
          <w:p>
            <w:pPr>
              <w:pStyle w:val="Compact"/>
              <w:jc w:val="left"/>
            </w:pPr>
            <w:r>
              <w:rPr>
                <w:bCs/>
                <w:b/>
              </w:rPr>
              <w:t xml:space="preserve">Venues</w:t>
            </w:r>
          </w:p>
        </w:tc>
        <w:tc>
          <w:tcPr/>
          <w:p>
            <w:pPr>
              <w:pStyle w:val="Compact"/>
              <w:jc w:val="left"/>
            </w:pPr>
            <w:r>
              <w:t xml:space="preserve">Cuts rising 20-30%</w:t>
            </w:r>
          </w:p>
        </w:tc>
        <w:tc>
          <w:tcPr/>
          <w:p>
            <w:pPr>
              <w:pStyle w:val="Compact"/>
              <w:jc w:val="left"/>
            </w:pPr>
            <w:r>
              <w:t xml:space="preserve">Industry standard, up to 45%</w:t>
            </w:r>
          </w:p>
        </w:tc>
      </w:tr>
      <w:tr>
        <w:tc>
          <w:tcPr/>
          <w:p>
            <w:pPr>
              <w:pStyle w:val="Compact"/>
              <w:jc w:val="left"/>
            </w:pPr>
            <w:r>
              <w:rPr>
                <w:bCs/>
                <w:b/>
              </w:rPr>
              <w:t xml:space="preserve">Creators</w:t>
            </w:r>
          </w:p>
        </w:tc>
        <w:tc>
          <w:tcPr/>
          <w:p>
            <w:pPr>
              <w:pStyle w:val="Compact"/>
              <w:jc w:val="left"/>
            </w:pPr>
            <w:r>
              <w:t xml:space="preserve">Net income declining</w:t>
            </w:r>
          </w:p>
        </w:tc>
        <w:tc>
          <w:tcPr/>
          <w:p>
            <w:pPr>
              <w:pStyle w:val="Compact"/>
              <w:jc w:val="left"/>
            </w:pPr>
            <w:r>
              <w:t xml:space="preserve">Multiple platform changes</w:t>
            </w:r>
          </w:p>
        </w:tc>
      </w:tr>
    </w:tbl>
    <w:bookmarkEnd w:id="112"/>
    <w:bookmarkStart w:id="113" w:name="platform-dependency-risk"/>
    <w:p>
      <w:pPr>
        <w:pStyle w:val="Heading3"/>
      </w:pPr>
      <w:r>
        <w:t xml:space="preserve">14.2 Platform Dependency Risk</w:t>
      </w:r>
    </w:p>
    <w:p>
      <w:pPr>
        <w:pStyle w:val="FirstParagraph"/>
      </w:pPr>
      <w:r>
        <w:t xml:space="preserve">Creators face a convexity problem with platform-dependent businesses: the upside is linear (more sales) but the downside is existential (total channel elimination). The TikTok ban risk exemplifies this — $1 billion in monthly SMB revenue at risk, with creators potentially forfeiting $300 million in monthly income. Only</w:t>
      </w:r>
      <w:r>
        <w:t xml:space="preserve"> </w:t>
      </w:r>
      <w:r>
        <w:rPr>
          <w:bCs/>
          <w:b/>
        </w:rPr>
        <w:t xml:space="preserve">25% of full-time creators</w:t>
      </w:r>
      <w:r>
        <w:t xml:space="preserve"> </w:t>
      </w:r>
      <w:r>
        <w:t xml:space="preserve">operate three or more revenue streams, leaving the majority dangerously exposed to single-platform risk.</w:t>
      </w:r>
    </w:p>
    <w:bookmarkEnd w:id="113"/>
    <w:bookmarkStart w:id="114" w:name="pod-consolidation"/>
    <w:p>
      <w:pPr>
        <w:pStyle w:val="Heading3"/>
      </w:pPr>
      <w:r>
        <w:t xml:space="preserve">14.3 POD Consolidation</w:t>
      </w:r>
    </w:p>
    <w:p>
      <w:pPr>
        <w:pStyle w:val="FirstParagraph"/>
      </w:pPr>
      <w:r>
        <w:t xml:space="preserve">The Printful ($2.26B revenue) + Printify ($103M revenue) merger creates a potential duopoly in POD infrastructure. Combined with Amazon Merch’s royalty cuts and Gelato’s revenue decline (from $96.5M to $52.7M), creators face a pricing power crisis as infrastructure consolidates upward while creator economics deteriorate downward.</w:t>
      </w:r>
    </w:p>
    <w:bookmarkEnd w:id="114"/>
    <w:bookmarkStart w:id="115" w:name="ai-commoditization"/>
    <w:p>
      <w:pPr>
        <w:pStyle w:val="Heading3"/>
      </w:pPr>
      <w:r>
        <w:t xml:space="preserve">14.4 AI Commoditization</w:t>
      </w:r>
    </w:p>
    <w:p>
      <w:pPr>
        <w:pStyle w:val="FirstParagraph"/>
      </w:pPr>
      <w:r>
        <w:t xml:space="preserve">The</w:t>
      </w:r>
      <w:r>
        <w:t xml:space="preserve"> </w:t>
      </w:r>
      <w:r>
        <w:t xml:space="preserve">“</w:t>
      </w:r>
      <w:r>
        <w:t xml:space="preserve">AI slop</w:t>
      </w:r>
      <w:r>
        <w:t xml:space="preserve">”</w:t>
      </w:r>
      <w:r>
        <w:t xml:space="preserve"> </w:t>
      </w:r>
      <w:r>
        <w:t xml:space="preserve">problem — low-quality AI-generated designs flooding marketplaces — threatens to erode consumer trust in creator merchandise. Platforms with AI capabilities (Amazon, Etsy) will increasingly compete with the creators they host, potentially replacing human artists with AI-generated designs at near-zero marginal cost.</w:t>
      </w:r>
    </w:p>
    <w:bookmarkEnd w:id="115"/>
    <w:bookmarkStart w:id="116" w:name="regulatory-complexity"/>
    <w:p>
      <w:pPr>
        <w:pStyle w:val="Heading3"/>
      </w:pPr>
      <w:r>
        <w:t xml:space="preserve">14.5 Regulatory Complexity</w:t>
      </w:r>
    </w:p>
    <w:p>
      <w:pPr>
        <w:pStyle w:val="FirstParagraph"/>
      </w:pPr>
      <w:r>
        <w:t xml:space="preserve">EU regulations (ECGT, GPSR, Digital Fairness Act) create compliance burdens that disproportionately impact small creators. The July 2026 removal of the €150 customs duty exemption will increase costs for cross-border merchandise sales. Carbon offsetting is now banned in EU product marketing, invalidating many</w:t>
      </w:r>
      <w:r>
        <w:t xml:space="preserve"> </w:t>
      </w:r>
      <w:r>
        <w:t xml:space="preserve">“</w:t>
      </w:r>
      <w:r>
        <w:t xml:space="preserve">climate neutral</w:t>
      </w:r>
      <w:r>
        <w:t xml:space="preserve">”</w:t>
      </w:r>
      <w:r>
        <w:t xml:space="preserve"> </w:t>
      </w:r>
      <w:r>
        <w:t xml:space="preserve">merch claims.</w:t>
      </w:r>
    </w:p>
    <w:p>
      <w:r>
        <w:pict>
          <v:rect style="width:0;height:1.5pt" o:hralign="center" o:hrstd="t" o:hr="t"/>
        </w:pict>
      </w:r>
    </w:p>
    <w:bookmarkEnd w:id="116"/>
    <w:bookmarkEnd w:id="117"/>
    <w:bookmarkStart w:id="123" w:name="future-outlook-predictions"/>
    <w:p>
      <w:pPr>
        <w:pStyle w:val="Heading2"/>
      </w:pPr>
      <w:r>
        <w:t xml:space="preserve">15. Future Outlook &amp; Predictions</w:t>
      </w:r>
    </w:p>
    <w:bookmarkStart w:id="120" w:name="market-projections-2025-2033"/>
    <w:p>
      <w:pPr>
        <w:pStyle w:val="Heading3"/>
      </w:pPr>
      <w:r>
        <w:t xml:space="preserve">15.1 Market Projections 2025-2033</w:t>
      </w:r>
    </w:p>
    <w:p>
      <w:pPr>
        <w:pStyle w:val="CaptionedFigure"/>
      </w:pPr>
      <w:r>
        <w:drawing>
          <wp:inline>
            <wp:extent cx="5334000" cy="2297283"/>
            <wp:effectExtent b="0" l="0" r="0" t="0"/>
            <wp:docPr descr="Future Projections" title="" id="118" name="Picture"/>
            <a:graphic>
              <a:graphicData uri="http://schemas.openxmlformats.org/drawingml/2006/picture">
                <pic:pic>
                  <pic:nvPicPr>
                    <pic:cNvPr descr="/mnt/agents/output/charts/top_items_future_projections.png" id="119" name="Picture"/>
                    <pic:cNvPicPr>
                      <a:picLocks noChangeArrowheads="1" noChangeAspect="1"/>
                    </pic:cNvPicPr>
                  </pic:nvPicPr>
                  <pic:blipFill>
                    <a:blip r:embed="rId66"/>
                    <a:stretch>
                      <a:fillRect/>
                    </a:stretch>
                  </pic:blipFill>
                  <pic:spPr bwMode="auto">
                    <a:xfrm>
                      <a:off x="0" y="0"/>
                      <a:ext cx="5334000" cy="2297283"/>
                    </a:xfrm>
                    <a:prstGeom prst="rect">
                      <a:avLst/>
                    </a:prstGeom>
                    <a:noFill/>
                    <a:ln w="9525">
                      <a:noFill/>
                      <a:headEnd/>
                      <a:tailEnd/>
                    </a:ln>
                  </pic:spPr>
                </pic:pic>
              </a:graphicData>
            </a:graphic>
          </wp:inline>
        </w:drawing>
      </w:r>
    </w:p>
    <w:p>
      <w:pPr>
        <w:pStyle w:val="ImageCaption"/>
      </w:pPr>
      <w:r>
        <w:t xml:space="preserve">Future Projections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Market Segment</w:t>
            </w:r>
          </w:p>
        </w:tc>
        <w:tc>
          <w:tcPr/>
          <w:p>
            <w:pPr>
              <w:pStyle w:val="Compact"/>
              <w:jc w:val="left"/>
            </w:pPr>
            <w:r>
              <w:t xml:space="preserve">2025 Value</w:t>
            </w:r>
          </w:p>
        </w:tc>
        <w:tc>
          <w:tcPr/>
          <w:p>
            <w:pPr>
              <w:pStyle w:val="Compact"/>
              <w:jc w:val="left"/>
            </w:pPr>
            <w:r>
              <w:t xml:space="preserve">2030-34 Projection</w:t>
            </w:r>
          </w:p>
        </w:tc>
        <w:tc>
          <w:tcPr/>
          <w:p>
            <w:pPr>
              <w:pStyle w:val="Compact"/>
              <w:jc w:val="left"/>
            </w:pPr>
            <w:r>
              <w:t xml:space="preserve">CAGR</w:t>
            </w:r>
          </w:p>
        </w:tc>
      </w:tr>
      <w:tr>
        <w:tc>
          <w:tcPr/>
          <w:p>
            <w:pPr>
              <w:pStyle w:val="Compact"/>
              <w:jc w:val="left"/>
            </w:pPr>
            <w:r>
              <w:t xml:space="preserve">Creator Economy</w:t>
            </w:r>
          </w:p>
        </w:tc>
        <w:tc>
          <w:tcPr/>
          <w:p>
            <w:pPr>
              <w:pStyle w:val="Compact"/>
              <w:jc w:val="left"/>
            </w:pPr>
            <w:r>
              <w:t xml:space="preserve">$191-252B</w:t>
            </w:r>
          </w:p>
        </w:tc>
        <w:tc>
          <w:tcPr/>
          <w:p>
            <w:pPr>
              <w:pStyle w:val="Compact"/>
              <w:jc w:val="left"/>
            </w:pPr>
            <w:r>
              <w:t xml:space="preserve">$480B-1.35T</w:t>
            </w:r>
          </w:p>
        </w:tc>
        <w:tc>
          <w:tcPr/>
          <w:p>
            <w:pPr>
              <w:pStyle w:val="Compact"/>
              <w:jc w:val="left"/>
            </w:pPr>
            <w:r>
              <w:t xml:space="preserve">22-23%</w:t>
            </w:r>
          </w:p>
        </w:tc>
      </w:tr>
      <w:tr>
        <w:tc>
          <w:tcPr/>
          <w:p>
            <w:pPr>
              <w:pStyle w:val="Compact"/>
              <w:jc w:val="left"/>
            </w:pPr>
            <w:r>
              <w:t xml:space="preserve">Artist Merchandise</w:t>
            </w:r>
          </w:p>
        </w:tc>
        <w:tc>
          <w:tcPr/>
          <w:p>
            <w:pPr>
              <w:pStyle w:val="Compact"/>
              <w:jc w:val="left"/>
            </w:pPr>
            <w:r>
              <w:t xml:space="preserve">$6.8B</w:t>
            </w:r>
          </w:p>
        </w:tc>
        <w:tc>
          <w:tcPr/>
          <w:p>
            <w:pPr>
              <w:pStyle w:val="Compact"/>
              <w:jc w:val="left"/>
            </w:pPr>
            <w:r>
              <w:t xml:space="preserve">$13.4B (2034)</w:t>
            </w:r>
          </w:p>
        </w:tc>
        <w:tc>
          <w:tcPr/>
          <w:p>
            <w:pPr>
              <w:pStyle w:val="Compact"/>
              <w:jc w:val="left"/>
            </w:pPr>
            <w:r>
              <w:t xml:space="preserve">7.8%</w:t>
            </w:r>
          </w:p>
        </w:tc>
      </w:tr>
      <w:tr>
        <w:tc>
          <w:tcPr/>
          <w:p>
            <w:pPr>
              <w:pStyle w:val="Compact"/>
              <w:jc w:val="left"/>
            </w:pPr>
            <w:r>
              <w:t xml:space="preserve">Print-on-Demand</w:t>
            </w:r>
          </w:p>
        </w:tc>
        <w:tc>
          <w:tcPr/>
          <w:p>
            <w:pPr>
              <w:pStyle w:val="Compact"/>
              <w:jc w:val="left"/>
            </w:pPr>
            <w:r>
              <w:t xml:space="preserve">$10.8B</w:t>
            </w:r>
          </w:p>
        </w:tc>
        <w:tc>
          <w:tcPr/>
          <w:p>
            <w:pPr>
              <w:pStyle w:val="Compact"/>
              <w:jc w:val="left"/>
            </w:pPr>
            <w:r>
              <w:t xml:space="preserve">$57.5B (2033)</w:t>
            </w:r>
          </w:p>
        </w:tc>
        <w:tc>
          <w:tcPr/>
          <w:p>
            <w:pPr>
              <w:pStyle w:val="Compact"/>
              <w:jc w:val="left"/>
            </w:pPr>
            <w:r>
              <w:t xml:space="preserve">23.6%</w:t>
            </w:r>
          </w:p>
        </w:tc>
      </w:tr>
      <w:tr>
        <w:tc>
          <w:tcPr/>
          <w:p>
            <w:pPr>
              <w:pStyle w:val="Compact"/>
              <w:jc w:val="left"/>
            </w:pPr>
            <w:r>
              <w:t xml:space="preserve">Social Commerce (US)</w:t>
            </w:r>
          </w:p>
        </w:tc>
        <w:tc>
          <w:tcPr/>
          <w:p>
            <w:pPr>
              <w:pStyle w:val="Compact"/>
              <w:jc w:val="left"/>
            </w:pPr>
            <w:r>
              <w:t xml:space="preserve">$80B</w:t>
            </w:r>
          </w:p>
        </w:tc>
        <w:tc>
          <w:tcPr/>
          <w:p>
            <w:pPr>
              <w:pStyle w:val="Compact"/>
              <w:jc w:val="left"/>
            </w:pPr>
            <w:r>
              <w:t xml:space="preserve">$188B (2030)</w:t>
            </w:r>
          </w:p>
        </w:tc>
        <w:tc>
          <w:tcPr/>
          <w:p>
            <w:pPr>
              <w:pStyle w:val="Compact"/>
              <w:jc w:val="left"/>
            </w:pPr>
            <w:r>
              <w:t xml:space="preserve">18.5%</w:t>
            </w:r>
          </w:p>
        </w:tc>
      </w:tr>
      <w:tr>
        <w:tc>
          <w:tcPr/>
          <w:p>
            <w:pPr>
              <w:pStyle w:val="Compact"/>
              <w:jc w:val="left"/>
            </w:pPr>
            <w:r>
              <w:t xml:space="preserve">Digital Fashion</w:t>
            </w:r>
          </w:p>
        </w:tc>
        <w:tc>
          <w:tcPr/>
          <w:p>
            <w:pPr>
              <w:pStyle w:val="Compact"/>
              <w:jc w:val="left"/>
            </w:pPr>
            <w:r>
              <w:t xml:space="preserve">$1.9B</w:t>
            </w:r>
          </w:p>
        </w:tc>
        <w:tc>
          <w:tcPr/>
          <w:p>
            <w:pPr>
              <w:pStyle w:val="Compact"/>
              <w:jc w:val="left"/>
            </w:pPr>
            <w:r>
              <w:t xml:space="preserve">$6.3B (2030)</w:t>
            </w:r>
          </w:p>
        </w:tc>
        <w:tc>
          <w:tcPr/>
          <w:p>
            <w:pPr>
              <w:pStyle w:val="Compact"/>
              <w:jc w:val="left"/>
            </w:pPr>
            <w:r>
              <w:t xml:space="preserve">22.4%</w:t>
            </w:r>
          </w:p>
        </w:tc>
      </w:tr>
      <w:tr>
        <w:tc>
          <w:tcPr/>
          <w:p>
            <w:pPr>
              <w:pStyle w:val="Compact"/>
              <w:jc w:val="left"/>
            </w:pPr>
            <w:r>
              <w:t xml:space="preserve">Web3</w:t>
            </w:r>
          </w:p>
        </w:tc>
        <w:tc>
          <w:tcPr/>
          <w:p>
            <w:pPr>
              <w:pStyle w:val="Compact"/>
              <w:jc w:val="left"/>
            </w:pPr>
            <w:r>
              <w:t xml:space="preserve">$4.6B</w:t>
            </w:r>
          </w:p>
        </w:tc>
        <w:tc>
          <w:tcPr/>
          <w:p>
            <w:pPr>
              <w:pStyle w:val="Compact"/>
              <w:jc w:val="left"/>
            </w:pPr>
            <w:r>
              <w:t xml:space="preserve">$176B (2034)</w:t>
            </w:r>
          </w:p>
        </w:tc>
        <w:tc>
          <w:tcPr/>
          <w:p>
            <w:pPr>
              <w:pStyle w:val="Compact"/>
              <w:jc w:val="left"/>
            </w:pPr>
            <w:r>
              <w:t xml:space="preserve">49.8%</w:t>
            </w:r>
          </w:p>
        </w:tc>
      </w:tr>
      <w:tr>
        <w:tc>
          <w:tcPr/>
          <w:p>
            <w:pPr>
              <w:pStyle w:val="Compact"/>
              <w:jc w:val="left"/>
            </w:pPr>
            <w:r>
              <w:t xml:space="preserve">Livestream Commerce (US)</w:t>
            </w:r>
          </w:p>
        </w:tc>
        <w:tc>
          <w:tcPr/>
          <w:p>
            <w:pPr>
              <w:pStyle w:val="Compact"/>
              <w:jc w:val="left"/>
            </w:pPr>
            <w:r>
              <w:t xml:space="preserve">$14.6B</w:t>
            </w:r>
          </w:p>
        </w:tc>
        <w:tc>
          <w:tcPr/>
          <w:p>
            <w:pPr>
              <w:pStyle w:val="Compact"/>
              <w:jc w:val="left"/>
            </w:pPr>
            <w:r>
              <w:t xml:space="preserve">$680B (2030)</w:t>
            </w:r>
          </w:p>
        </w:tc>
        <w:tc>
          <w:tcPr/>
          <w:p>
            <w:pPr>
              <w:pStyle w:val="Compact"/>
              <w:jc w:val="left"/>
            </w:pPr>
            <w:r>
              <w:t xml:space="preserve">47%</w:t>
            </w:r>
          </w:p>
        </w:tc>
      </w:tr>
      <w:tr>
        <w:tc>
          <w:tcPr/>
          <w:p>
            <w:pPr>
              <w:pStyle w:val="Compact"/>
              <w:jc w:val="left"/>
            </w:pPr>
            <w:r>
              <w:t xml:space="preserve">Superfan Monetization</w:t>
            </w:r>
          </w:p>
        </w:tc>
        <w:tc>
          <w:tcPr/>
          <w:p>
            <w:pPr>
              <w:pStyle w:val="Compact"/>
              <w:jc w:val="left"/>
            </w:pPr>
            <w:r>
              <w:t xml:space="preserve">—</w:t>
            </w:r>
          </w:p>
        </w:tc>
        <w:tc>
          <w:tcPr/>
          <w:p>
            <w:pPr>
              <w:pStyle w:val="Compact"/>
              <w:jc w:val="left"/>
            </w:pPr>
            <w:r>
              <w:t xml:space="preserve">$4.5B TAM (GS)</w:t>
            </w:r>
          </w:p>
        </w:tc>
        <w:tc>
          <w:tcPr/>
          <w:p>
            <w:pPr>
              <w:pStyle w:val="Compact"/>
              <w:jc w:val="left"/>
            </w:pPr>
            <w:r>
              <w:t xml:space="preserve">Emerging</w:t>
            </w:r>
          </w:p>
        </w:tc>
      </w:tr>
    </w:tbl>
    <w:bookmarkEnd w:id="120"/>
    <w:bookmarkStart w:id="121" w:name="five-year-scenario-analysis"/>
    <w:p>
      <w:pPr>
        <w:pStyle w:val="Heading3"/>
      </w:pPr>
      <w:r>
        <w:t xml:space="preserve">15.2 Five-Year Scenario Analysis</w:t>
      </w:r>
    </w:p>
    <w:p>
      <w:pPr>
        <w:pStyle w:val="FirstParagraph"/>
      </w:pPr>
      <w:r>
        <w:rPr>
          <w:bCs/>
          <w:b/>
        </w:rPr>
        <w:t xml:space="preserve">Bull Case (30% probability):</w:t>
      </w:r>
      <w:r>
        <w:t xml:space="preserve"> </w:t>
      </w:r>
      <w:r>
        <w:t xml:space="preserve">Creator merch reaches $15B+ by 2030 driven by superfan platform proliferation (Weverse model expands to Western artists), AI personalization increasing conversion 3x, and social commerce becoming the dominant discovery channel. Phygital products become standard, creating new premium pricing tiers.</w:t>
      </w:r>
    </w:p>
    <w:p>
      <w:pPr>
        <w:pStyle w:val="BodyText"/>
      </w:pPr>
      <w:r>
        <w:rPr>
          <w:bCs/>
          <w:b/>
        </w:rPr>
        <w:t xml:space="preserve">Base Case (50% probability):</w:t>
      </w:r>
      <w:r>
        <w:t xml:space="preserve"> </w:t>
      </w:r>
      <w:r>
        <w:t xml:space="preserve">Steady 7-8% CAGR growth to $13-14B by 2034. D2C continues gaining share from retail. POD becomes default for entry-level creators while established creators move to hybrid bulk/POD models. K-pop influence expands but remains culturally distinct.</w:t>
      </w:r>
    </w:p>
    <w:p>
      <w:pPr>
        <w:pStyle w:val="BodyText"/>
      </w:pPr>
      <w:r>
        <w:rPr>
          <w:bCs/>
          <w:b/>
        </w:rPr>
        <w:t xml:space="preserve">Bear Case (20% probability):</w:t>
      </w:r>
      <w:r>
        <w:t xml:space="preserve"> </w:t>
      </w:r>
      <w:r>
        <w:t xml:space="preserve">Growth slows to 3-4% due to TikTok ban implementation, recession compressing discretionary spending on fandom, AI commoditization eroding creator pricing power, and regulatory fragmentation increasing cross-border friction.</w:t>
      </w:r>
    </w:p>
    <w:bookmarkEnd w:id="121"/>
    <w:bookmarkStart w:id="122" w:name="key-predictions"/>
    <w:p>
      <w:pPr>
        <w:pStyle w:val="Heading3"/>
      </w:pPr>
      <w:r>
        <w:t xml:space="preserve">15.3 Key Predictions</w:t>
      </w:r>
    </w:p>
    <w:p>
      <w:pPr>
        <w:numPr>
          <w:ilvl w:val="0"/>
          <w:numId w:val="1007"/>
        </w:numPr>
        <w:pStyle w:val="Compact"/>
      </w:pPr>
      <w:r>
        <w:rPr>
          <w:bCs/>
          <w:b/>
        </w:rPr>
        <w:t xml:space="preserve">By 2028, D2C will represent 55%+ of artist merch distribution</w:t>
      </w:r>
      <w:r>
        <w:t xml:space="preserve"> </w:t>
      </w:r>
      <w:r>
        <w:t xml:space="preserve">— surpassing all other channels combined.</w:t>
      </w:r>
    </w:p>
    <w:p>
      <w:pPr>
        <w:numPr>
          <w:ilvl w:val="0"/>
          <w:numId w:val="1007"/>
        </w:numPr>
        <w:pStyle w:val="Compact"/>
      </w:pPr>
      <w:r>
        <w:rPr>
          <w:bCs/>
          <w:b/>
        </w:rPr>
        <w:t xml:space="preserve">Superfan platforms will generate $3.3 billion by 2030</w:t>
      </w:r>
      <w:r>
        <w:t xml:space="preserve"> </w:t>
      </w:r>
      <w:r>
        <w:t xml:space="preserve">(Goldman Sachs estimate — 60% of $4.5B TAM realized).</w:t>
      </w:r>
    </w:p>
    <w:p>
      <w:pPr>
        <w:numPr>
          <w:ilvl w:val="0"/>
          <w:numId w:val="1007"/>
        </w:numPr>
        <w:pStyle w:val="Compact"/>
      </w:pPr>
      <w:r>
        <w:rPr>
          <w:bCs/>
          <w:b/>
        </w:rPr>
        <w:t xml:space="preserve">AI-powered design will be standard</w:t>
      </w:r>
      <w:r>
        <w:t xml:space="preserve"> </w:t>
      </w:r>
      <w:r>
        <w:t xml:space="preserve">for 90%+ of creator merch, but</w:t>
      </w:r>
      <w:r>
        <w:t xml:space="preserve"> </w:t>
      </w:r>
      <w:r>
        <w:t xml:space="preserve">“</w:t>
      </w:r>
      <w:r>
        <w:t xml:space="preserve">AI-augmented authenticity</w:t>
      </w:r>
      <w:r>
        <w:t xml:space="preserve">”</w:t>
      </w:r>
      <w:r>
        <w:t xml:space="preserve"> </w:t>
      </w:r>
      <w:r>
        <w:t xml:space="preserve">— human creative direction plus AI execution — will be the winning strategy.</w:t>
      </w:r>
    </w:p>
    <w:p>
      <w:pPr>
        <w:numPr>
          <w:ilvl w:val="0"/>
          <w:numId w:val="1007"/>
        </w:numPr>
        <w:pStyle w:val="Compact"/>
      </w:pPr>
      <w:r>
        <w:rPr>
          <w:bCs/>
          <w:b/>
        </w:rPr>
        <w:t xml:space="preserve">The</w:t>
      </w:r>
      <w:r>
        <w:rPr>
          <w:bCs/>
          <w:b/>
        </w:rPr>
        <w:t xml:space="preserve"> </w:t>
      </w:r>
      <w:r>
        <w:rPr>
          <w:bCs/>
          <w:b/>
        </w:rPr>
        <w:t xml:space="preserve">“</w:t>
      </w:r>
      <w:r>
        <w:rPr>
          <w:bCs/>
          <w:b/>
        </w:rPr>
        <w:t xml:space="preserve">middle class</w:t>
      </w:r>
      <w:r>
        <w:rPr>
          <w:bCs/>
          <w:b/>
        </w:rPr>
        <w:t xml:space="preserve">”</w:t>
      </w:r>
      <w:r>
        <w:rPr>
          <w:bCs/>
          <w:b/>
        </w:rPr>
        <w:t xml:space="preserve"> </w:t>
      </w:r>
      <w:r>
        <w:rPr>
          <w:bCs/>
          <w:b/>
        </w:rPr>
        <w:t xml:space="preserve">of creators earning $10K-$100K from merch will double</w:t>
      </w:r>
      <w:r>
        <w:t xml:space="preserve"> </w:t>
      </w:r>
      <w:r>
        <w:t xml:space="preserve">as POD infrastructure and social commerce lower barriers to sustainable merch businesses.</w:t>
      </w:r>
    </w:p>
    <w:p>
      <w:pPr>
        <w:numPr>
          <w:ilvl w:val="0"/>
          <w:numId w:val="1007"/>
        </w:numPr>
        <w:pStyle w:val="Compact"/>
      </w:pPr>
      <w:r>
        <w:rPr>
          <w:bCs/>
          <w:b/>
        </w:rPr>
        <w:t xml:space="preserve">Sustainability will become a baseline expectation, not a premium feature</w:t>
      </w:r>
      <w:r>
        <w:t xml:space="preserve"> </w:t>
      </w:r>
      <w:r>
        <w:t xml:space="preserve">— driven by EU regulations and Gen Z consumer demand.</w:t>
      </w:r>
    </w:p>
    <w:p>
      <w:r>
        <w:pict>
          <v:rect style="width:0;height:1.5pt" o:hralign="center" o:hrstd="t" o:hr="t"/>
        </w:pict>
      </w:r>
    </w:p>
    <w:bookmarkEnd w:id="122"/>
    <w:bookmarkEnd w:id="123"/>
    <w:bookmarkStart w:id="131" w:name="strategic-cross-dimensional-insights"/>
    <w:p>
      <w:pPr>
        <w:pStyle w:val="Heading2"/>
      </w:pPr>
      <w:r>
        <w:t xml:space="preserve">16. Strategic Cross-Dimensional Insights</w:t>
      </w:r>
    </w:p>
    <w:p>
      <w:pPr>
        <w:pStyle w:val="FirstParagraph"/>
      </w:pPr>
      <w:r>
        <w:t xml:space="preserve">This research synthesized 12 independent dimensions of analysis, cross-verified 300+ sources, and identified 15 non-obvious insights that emerge only from multi-dimensional analysis. The following represent the most strategically significant findings:</w:t>
      </w:r>
    </w:p>
    <w:bookmarkStart w:id="124" w:name="X4f90d4029fe9f8b6d3cf1aeabf02a39c5c81a23"/>
    <w:p>
      <w:pPr>
        <w:pStyle w:val="Heading3"/>
      </w:pPr>
      <w:r>
        <w:t xml:space="preserve">Insight 1: The Simultaneous Margin Squeeze</w:t>
      </w:r>
    </w:p>
    <w:p>
      <w:pPr>
        <w:pStyle w:val="FirstParagraph"/>
      </w:pPr>
      <w:r>
        <w:t xml:space="preserve">Every entity in the value chain — labels, platforms, marketplaces, venues — is simultaneously squeezing margins. This is not coincidental; it reflects a post-pandemic efficiency purge. The only escape routes are vertical integration (owning manufacturing, fulfillment, distribution) or audience ownership (D2C with email capture).</w:t>
      </w:r>
    </w:p>
    <w:bookmarkEnd w:id="124"/>
    <w:bookmarkStart w:id="125" w:name="insight-2-the-tiktok-paradox"/>
    <w:p>
      <w:pPr>
        <w:pStyle w:val="Heading3"/>
      </w:pPr>
      <w:r>
        <w:t xml:space="preserve">Insight 2: The TikTok Paradox</w:t>
      </w:r>
    </w:p>
    <w:p>
      <w:pPr>
        <w:pStyle w:val="FirstParagraph"/>
      </w:pPr>
      <w:r>
        <w:t xml:space="preserve">TikTok Shop delivers the highest conversion rates (5-8%) and lowest acquisition costs, yet carries existential regulatory risk. The rational strategy: use TikTok for discovery, then migrate customers to owned channels for repeat purchases. But TikTok gives creators zero customer data — creating structural tension between the best acquisition channel and long-term sustainability.</w:t>
      </w:r>
    </w:p>
    <w:bookmarkEnd w:id="125"/>
    <w:bookmarkStart w:id="126" w:name="Xf5c1258513004cc62a268c8ec1ca1e888f7bac7"/>
    <w:p>
      <w:pPr>
        <w:pStyle w:val="Heading3"/>
      </w:pPr>
      <w:r>
        <w:t xml:space="preserve">Insight 3: The K-Pop Model — Partially Replicable</w:t>
      </w:r>
    </w:p>
    <w:p>
      <w:pPr>
        <w:pStyle w:val="FirstParagraph"/>
      </w:pPr>
      <w:r>
        <w:t xml:space="preserve">Western artists can adopt K-pop’s merchandising tactics (multi-version releases, limited drops, character goods) but not its fandom architecture (agency-controlled training, collectivist fan culture, dedicated superfan platforms). The hybrid model captures an estimated 50-70% of K-pop’s per-head economics — still 3-4x above current Western averages.</w:t>
      </w:r>
    </w:p>
    <w:bookmarkEnd w:id="126"/>
    <w:bookmarkStart w:id="127" w:name="insight-4-ai-tool-and-threat"/>
    <w:p>
      <w:pPr>
        <w:pStyle w:val="Heading3"/>
      </w:pPr>
      <w:r>
        <w:t xml:space="preserve">Insight 4: AI — Tool and Threat</w:t>
      </w:r>
    </w:p>
    <w:p>
      <w:pPr>
        <w:pStyle w:val="FirstParagraph"/>
      </w:pPr>
      <w:r>
        <w:t xml:space="preserve">AI reduces design costs by 70% but also enables platforms to replace human creators.</w:t>
      </w:r>
      <w:r>
        <w:t xml:space="preserve"> </w:t>
      </w:r>
      <w:r>
        <w:t xml:space="preserve">“</w:t>
      </w:r>
      <w:r>
        <w:t xml:space="preserve">AI-augmented authenticity</w:t>
      </w:r>
      <w:r>
        <w:t xml:space="preserve">”</w:t>
      </w:r>
      <w:r>
        <w:t xml:space="preserve"> </w:t>
      </w:r>
      <w:r>
        <w:t xml:space="preserve">— using AI for execution while owning the creative concept and fan relationship — becomes the winning strategy. Pure design-skill creators face commoditization.</w:t>
      </w:r>
    </w:p>
    <w:bookmarkEnd w:id="127"/>
    <w:bookmarkStart w:id="128" w:name="Xc2c3b6aed3ac2b2fc6203759e67965e9389c764"/>
    <w:p>
      <w:pPr>
        <w:pStyle w:val="Heading3"/>
      </w:pPr>
      <w:r>
        <w:t xml:space="preserve">Insight 5: The Sustainability Authenticity Premium</w:t>
      </w:r>
    </w:p>
    <w:p>
      <w:pPr>
        <w:pStyle w:val="FirstParagraph"/>
      </w:pPr>
      <w:r>
        <w:t xml:space="preserve">Gen Z pays more for demonstrated, verifiable sustainability tied to artists they trust — not for generic</w:t>
      </w:r>
      <w:r>
        <w:t xml:space="preserve"> </w:t>
      </w:r>
      <w:r>
        <w:t xml:space="preserve">“</w:t>
      </w:r>
      <w:r>
        <w:t xml:space="preserve">green</w:t>
      </w:r>
      <w:r>
        <w:t xml:space="preserve">”</w:t>
      </w:r>
      <w:r>
        <w:t xml:space="preserve"> </w:t>
      </w:r>
      <w:r>
        <w:t xml:space="preserve">labels. The EU ECGT Directive banning generic environmental claims will actually help authentic creators by eliminating greenwashing competition.</w:t>
      </w:r>
    </w:p>
    <w:bookmarkEnd w:id="128"/>
    <w:bookmarkStart w:id="129" w:name="insight-6-the-counterfeit-proof-strategy"/>
    <w:p>
      <w:pPr>
        <w:pStyle w:val="Heading3"/>
      </w:pPr>
      <w:r>
        <w:t xml:space="preserve">Insight 6: The Counterfeit-Proof Strategy</w:t>
      </w:r>
    </w:p>
    <w:p>
      <w:pPr>
        <w:pStyle w:val="FirstParagraph"/>
      </w:pPr>
      <w:r>
        <w:t xml:space="preserve">Counterfeits satisfy functional needs but cannot satisfy identity needs. Creators who build community, limited editions, and experiential elements (NFC chips, signed items) create merchandise that is counterfeit-proof in a way that generic logo tees are not.</w:t>
      </w:r>
    </w:p>
    <w:bookmarkEnd w:id="129"/>
    <w:bookmarkStart w:id="130" w:name="Xa143edc620463ceec16b60ad7ca2e77b96d2a96"/>
    <w:p>
      <w:pPr>
        <w:pStyle w:val="Heading3"/>
      </w:pPr>
      <w:r>
        <w:t xml:space="preserve">Insight 7: Expanded Rights = Disguised Land Grab</w:t>
      </w:r>
    </w:p>
    <w:p>
      <w:pPr>
        <w:pStyle w:val="FirstParagraph"/>
      </w:pPr>
      <w:r>
        <w:t xml:space="preserve">Labels are using the</w:t>
      </w:r>
      <w:r>
        <w:t xml:space="preserve"> </w:t>
      </w:r>
      <w:r>
        <w:t xml:space="preserve">“</w:t>
      </w:r>
      <w:r>
        <w:t xml:space="preserve">expanded rights</w:t>
      </w:r>
      <w:r>
        <w:t xml:space="preserve">”</w:t>
      </w:r>
      <w:r>
        <w:t xml:space="preserve"> </w:t>
      </w:r>
      <w:r>
        <w:t xml:space="preserve">framing to capture increasing shares of historically artist-controlled revenue streams (merch, touring). Independent D2C yields a</w:t>
      </w:r>
      <w:r>
        <w:t xml:space="preserve"> </w:t>
      </w:r>
      <w:r>
        <w:rPr>
          <w:bCs/>
          <w:b/>
        </w:rPr>
        <w:t xml:space="preserve">60-70% income advantage</w:t>
      </w:r>
      <w:r>
        <w:t xml:space="preserve"> </w:t>
      </w:r>
      <w:r>
        <w:t xml:space="preserve">over signed artists. The data suggests the label’s value proposition in merch is diminishing for D2C-native artists.</w:t>
      </w:r>
    </w:p>
    <w:p>
      <w:r>
        <w:pict>
          <v:rect style="width:0;height:1.5pt" o:hralign="center" o:hrstd="t" o:hr="t"/>
        </w:pict>
      </w:r>
    </w:p>
    <w:bookmarkEnd w:id="130"/>
    <w:bookmarkEnd w:id="131"/>
    <w:bookmarkStart w:id="132" w:name="conclusion"/>
    <w:p>
      <w:pPr>
        <w:pStyle w:val="Heading2"/>
      </w:pPr>
      <w:r>
        <w:t xml:space="preserve">17. Conclusion</w:t>
      </w:r>
    </w:p>
    <w:p>
      <w:pPr>
        <w:pStyle w:val="FirstParagraph"/>
      </w:pPr>
      <w:r>
        <w:t xml:space="preserve">The creator merchandise market stands at an inflection point. Valued at</w:t>
      </w:r>
      <w:r>
        <w:t xml:space="preserve"> </w:t>
      </w:r>
      <w:r>
        <w:rPr>
          <w:bCs/>
          <w:b/>
        </w:rPr>
        <w:t xml:space="preserve">$6.8 billion in 2025</w:t>
      </w:r>
      <w:r>
        <w:t xml:space="preserve"> </w:t>
      </w:r>
      <w:r>
        <w:t xml:space="preserve">and projected to double by 2034, it represents one of the most attractive growth segments within the broader creator economy. The convergence of five forces — D2C e-commerce dominance, live event supercycle, K-pop’s global merchandise model, POD democratization, and social commerce inflection — creates unprecedented opportunity for artists, musicians, and creators at all levels.</w:t>
      </w:r>
    </w:p>
    <w:p>
      <w:pPr>
        <w:pStyle w:val="BodyText"/>
      </w:pPr>
      <w:r>
        <w:t xml:space="preserve">However, this growth narrative coexists with systemic margin compression, platform dependency risks, AI commoditization threats, and escalating regulatory complexity. The creators who will thrive are those who:</w:t>
      </w:r>
    </w:p>
    <w:p>
      <w:pPr>
        <w:numPr>
          <w:ilvl w:val="0"/>
          <w:numId w:val="1008"/>
        </w:numPr>
      </w:pPr>
      <w:r>
        <w:rPr>
          <w:bCs/>
          <w:b/>
        </w:rPr>
        <w:t xml:space="preserve">Build direct-to-fan infrastructure</w:t>
      </w:r>
      <w:r>
        <w:t xml:space="preserve"> </w:t>
      </w:r>
      <w:r>
        <w:t xml:space="preserve">— owned channels, email lists, D2C stores — to capture 60-75% margins and insulate against platform risk.</w:t>
      </w:r>
    </w:p>
    <w:p>
      <w:pPr>
        <w:numPr>
          <w:ilvl w:val="0"/>
          <w:numId w:val="1008"/>
        </w:numPr>
      </w:pPr>
      <w:r>
        <w:rPr>
          <w:bCs/>
          <w:b/>
        </w:rPr>
        <w:t xml:space="preserve">Diversify across 3+ revenue streams</w:t>
      </w:r>
      <w:r>
        <w:t xml:space="preserve"> </w:t>
      </w:r>
      <w:r>
        <w:t xml:space="preserve">— creators with multiple income sources earn $75,000 more annually than single-source creators.</w:t>
      </w:r>
    </w:p>
    <w:p>
      <w:pPr>
        <w:numPr>
          <w:ilvl w:val="0"/>
          <w:numId w:val="1008"/>
        </w:numPr>
      </w:pPr>
      <w:r>
        <w:rPr>
          <w:bCs/>
          <w:b/>
        </w:rPr>
        <w:t xml:space="preserve">Invest in community, not just product</w:t>
      </w:r>
      <w:r>
        <w:t xml:space="preserve"> </w:t>
      </w:r>
      <w:r>
        <w:t xml:space="preserve">— identity-based merchandise with emotional resonance is counterfeit-proof and commands premium pricing.</w:t>
      </w:r>
    </w:p>
    <w:p>
      <w:pPr>
        <w:numPr>
          <w:ilvl w:val="0"/>
          <w:numId w:val="1008"/>
        </w:numPr>
      </w:pPr>
      <w:r>
        <w:rPr>
          <w:bCs/>
          <w:b/>
        </w:rPr>
        <w:t xml:space="preserve">Embrace</w:t>
      </w:r>
      <w:r>
        <w:rPr>
          <w:bCs/>
          <w:b/>
        </w:rPr>
        <w:t xml:space="preserve"> </w:t>
      </w:r>
      <w:r>
        <w:rPr>
          <w:bCs/>
          <w:b/>
        </w:rPr>
        <w:t xml:space="preserve">“</w:t>
      </w:r>
      <w:r>
        <w:rPr>
          <w:bCs/>
          <w:b/>
        </w:rPr>
        <w:t xml:space="preserve">AI-augmented authenticity</w:t>
      </w:r>
      <w:r>
        <w:rPr>
          <w:bCs/>
          <w:b/>
        </w:rPr>
        <w:t xml:space="preserve">”</w:t>
      </w:r>
      <w:r>
        <w:t xml:space="preserve"> </w:t>
      </w:r>
      <w:r>
        <w:t xml:space="preserve">— use AI for execution efficiency while owning the creative vision and fan relationship.</w:t>
      </w:r>
    </w:p>
    <w:p>
      <w:pPr>
        <w:numPr>
          <w:ilvl w:val="0"/>
          <w:numId w:val="1008"/>
        </w:numPr>
      </w:pPr>
      <w:r>
        <w:rPr>
          <w:bCs/>
          <w:b/>
        </w:rPr>
        <w:t xml:space="preserve">Document verifiable sustainability</w:t>
      </w:r>
      <w:r>
        <w:t xml:space="preserve"> </w:t>
      </w:r>
      <w:r>
        <w:t xml:space="preserve">— specific, third-party-certified environmental claims that meet emerging EU standards.</w:t>
      </w:r>
    </w:p>
    <w:p>
      <w:pPr>
        <w:numPr>
          <w:ilvl w:val="0"/>
          <w:numId w:val="1008"/>
        </w:numPr>
      </w:pPr>
      <w:r>
        <w:rPr>
          <w:bCs/>
          <w:b/>
        </w:rPr>
        <w:t xml:space="preserve">Learn from K-pop’s playbook</w:t>
      </w:r>
      <w:r>
        <w:t xml:space="preserve"> </w:t>
      </w:r>
      <w:r>
        <w:t xml:space="preserve">— multi-version releases, limited drops, superfan platform integration — while building authentic Western fandom architecture.</w:t>
      </w:r>
    </w:p>
    <w:p>
      <w:pPr>
        <w:pStyle w:val="FirstParagraph"/>
      </w:pPr>
      <w:r>
        <w:t xml:space="preserve">The data is unambiguous: for the vast majority of artists,</w:t>
      </w:r>
      <w:r>
        <w:t xml:space="preserve"> </w:t>
      </w:r>
      <w:r>
        <w:rPr>
          <w:bCs/>
          <w:b/>
        </w:rPr>
        <w:t xml:space="preserve">merchandise now generates more income than recorded music</w:t>
      </w:r>
      <w:r>
        <w:t xml:space="preserve">. One t-shirt sale equals 8,750 Spotify streams. The strategic question is no longer whether creators should sell merchandise, but how quickly they can build the infrastructure, community, and brand authenticity required to capture the full value of their fan relationships in a market that is doubling in size every decade.</w:t>
      </w:r>
    </w:p>
    <w:p>
      <w:r>
        <w:pict>
          <v:rect style="width:0;height:1.5pt" o:hralign="center" o:hrstd="t" o:hr="t"/>
        </w:pict>
      </w:r>
    </w:p>
    <w:bookmarkEnd w:id="132"/>
    <w:bookmarkStart w:id="133" w:name="methodology-source-notes"/>
    <w:p>
      <w:pPr>
        <w:pStyle w:val="Heading2"/>
      </w:pPr>
      <w:r>
        <w:t xml:space="preserve">Methodology &amp; Source Notes</w:t>
      </w:r>
    </w:p>
    <w:p>
      <w:pPr>
        <w:pStyle w:val="FirstParagraph"/>
      </w:pPr>
      <w:r>
        <w:rPr>
          <w:bCs/>
          <w:b/>
        </w:rPr>
        <w:t xml:space="preserve">Research Methodology:</w:t>
      </w:r>
      <w:r>
        <w:t xml:space="preserve"> </w:t>
      </w:r>
      <w:r>
        <w:t xml:space="preserve">This report was produced using a multi-dimensional deep research framework involving 12 parallel research dimensions, 300+ independent sources, and systematic cross-verification. All statistics are cited from primary sources including corporate financial filings (UMG, HYBE, Live Nation, Shopify), industry research firms (Grand View Research, Dataintelo, MIDiA, Goldman Sachs), and platform-specific data (atVenu, Spotify, RIAA).</w:t>
      </w:r>
    </w:p>
    <w:p>
      <w:pPr>
        <w:pStyle w:val="BodyText"/>
      </w:pPr>
      <w:r>
        <w:rPr>
          <w:bCs/>
          <w:b/>
        </w:rPr>
        <w:t xml:space="preserve">Confidence Levels:</w:t>
      </w:r>
      <w:r>
        <w:t xml:space="preserve"> </w:t>
      </w:r>
      <w:r>
        <w:t xml:space="preserve">Findings are categorized as High Confidence (confirmed by 2+ dimensions from independent sources), Medium Confidence (1 authoritative source), and Low Confidence (weak sourcing or single unverified claim). All projections represent analyst consensus estimates, not guarantees of future performance.</w:t>
      </w:r>
    </w:p>
    <w:p>
      <w:pPr>
        <w:pStyle w:val="BodyText"/>
      </w:pPr>
      <w:r>
        <w:rPr>
          <w:bCs/>
          <w:b/>
        </w:rPr>
        <w:t xml:space="preserve">Date of Research:</w:t>
      </w:r>
      <w:r>
        <w:t xml:space="preserve"> </w:t>
      </w:r>
      <w:r>
        <w:t xml:space="preserve">May 2026. Market data reflects the most recent available as of research date.</w:t>
      </w:r>
    </w:p>
    <w:p>
      <w:r>
        <w:pict>
          <v:rect style="width:0;height:1.5pt" o:hralign="center" o:hrstd="t" o:hr="t"/>
        </w:pict>
      </w:r>
    </w:p>
    <w:p>
      <w:pPr>
        <w:pStyle w:val="FirstParagraph"/>
      </w:pPr>
      <w:r>
        <w:rPr>
          <w:iCs/>
          <w:i/>
        </w:rPr>
        <w:t xml:space="preserve">This report contains 11 embedded data visualizations with real statistics from verified industry sources. All charts are original productions based on primary research data.</w:t>
      </w:r>
    </w:p>
    <w:bookmarkEnd w:id="133"/>
    <w:bookmarkEnd w:id="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28" Target="media/rId28.png" /><Relationship Type="http://schemas.openxmlformats.org/officeDocument/2006/relationships/image" Id="rId60" Target="media/rId60.png" /><Relationship Type="http://schemas.openxmlformats.org/officeDocument/2006/relationships/image" Id="rId39" Target="media/rId39.png" /><Relationship Type="http://schemas.openxmlformats.org/officeDocument/2006/relationships/image" Id="rId78" Target="media/rId78.png" /><Relationship Type="http://schemas.openxmlformats.org/officeDocument/2006/relationships/image" Id="rId20" Target="media/rId20.png" /><Relationship Type="http://schemas.openxmlformats.org/officeDocument/2006/relationships/image" Id="rId45" Target="media/rId45.png" /><Relationship Type="http://schemas.openxmlformats.org/officeDocument/2006/relationships/image" Id="rId85" Target="media/rId85.png" /><Relationship Type="http://schemas.openxmlformats.org/officeDocument/2006/relationships/image" Id="rId51" Target="media/rId51.png" /><Relationship Type="http://schemas.openxmlformats.org/officeDocument/2006/relationships/image" Id="rId66" Target="media/rId66.png" /><Relationship Type="http://schemas.openxmlformats.org/officeDocument/2006/relationships/image" Id="rId71" Target="media/rId7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Creator Merchandise Market: A Comprehensive Research Report</dc:title>
  <dc:creator>Deep Research Analysis</dc:creator>
  <cp:keywords/>
  <dcterms:created xsi:type="dcterms:W3CDTF">2026-05-10T11:27:57Z</dcterms:created>
  <dcterms:modified xsi:type="dcterms:W3CDTF">2026-05-10T11:27:57Z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ies>
</file>