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b29bb0c153714de5"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a7fe6945620c44fb"/>
                    <a:stretch>
                      <a:fillRect/>
                    </a:stretch>
                  </pic:blipFill>
                  <pic:spPr>
                    <a:xfrm>
                      <a:off x="0" y="0"/>
                      <a:ext cx="7560000" cy="10692000"/>
                    </a:xfrm>
                    <a:prstGeom prst="rect"/>
                  </pic:spPr>
                </pic:pic>
              </a:graphicData>
            </a:graphic>
          </wp:anchor>
        </w:drawing>
      </w:r>
    </w:p>
    <w:p>
      <w:pPr>
        <w:spacing w:before="3600"/>
      </w:pPr>
      <w:r/>
    </w:p>
    <w:p>
      <w:pPr>
        <w:spacing w:after="200"/>
        <w:ind w:left="1200"/>
        <w:jc w:val="left"/>
      </w:pPr>
      <w:r>
        <w:rPr>
          <w:b/>
          <w:color w:val="1A252F"/>
          <w:spacing w:val="20"/>
          <w:sz w:val="72"/>
        </w:rPr>
        <w:t xml:space="preserve">Global Gig Economy</w:t>
      </w:r>
    </w:p>
    <w:p>
      <w:pPr>
        <w:spacing w:after="200"/>
        <w:ind w:left="1200"/>
        <w:jc w:val="left"/>
      </w:pPr>
      <w:r>
        <w:rPr>
          <w:b/>
          <w:color w:val="1A252F"/>
          <w:spacing w:val="20"/>
          <w:sz w:val="72"/>
        </w:rPr>
        <w:t xml:space="preserve">Wage Theft Landscape</w:t>
      </w:r>
    </w:p>
    <w:p>
      <w:pPr>
        <w:spacing w:after="200"/>
        <w:ind w:left="1200"/>
        <w:jc w:val="left"/>
      </w:pPr>
      <w:r>
        <w:rPr>
          <w:b/>
          <w:color w:val="C0392B"/>
          <w:spacing w:val="20"/>
          <w:sz w:val="72"/>
        </w:rPr>
        <w:t xml:space="preserve">Report</w:t>
      </w:r>
    </w:p>
    <w:p>
      <w:pPr>
        <w:pBdr>
          <w:bottom w:val="single" w:color="C0392B" w:sz="12" w:space="1"/>
        </w:pBdr>
        <w:spacing w:after="600"/>
        <w:ind w:left="1200"/>
      </w:pPr>
      <w:r/>
    </w:p>
    <w:p>
      <w:pPr>
        <w:spacing w:after="200"/>
        <w:ind w:left="1200"/>
        <w:jc w:val="left"/>
      </w:pPr>
      <w:r>
        <w:rPr>
          <w:color w:val="5D6D7E"/>
          <w:sz w:val="28"/>
        </w:rPr>
        <w:t xml:space="preserve">Sindicato Project (sindicato.exposed)</w:t>
      </w:r>
    </w:p>
    <w:p>
      <w:pPr>
        <w:spacing w:after="200"/>
        <w:ind w:left="1200"/>
        <w:jc w:val="left"/>
      </w:pPr>
      <w:r>
        <w:rPr>
          <w:color w:val="7F8C8D"/>
          <w:sz w:val="24"/>
        </w:rPr>
        <w:t xml:space="preserve">Market Intelligence for Platform Expansion</w:t>
      </w:r>
    </w:p>
    <w:p>
      <w:pPr>
        <w:spacing w:after="200"/>
        <w:ind w:left="1200"/>
        <w:jc w:val="left"/>
      </w:pPr>
      <w:r>
        <w:rPr>
          <w:color w:val="7F8C8D"/>
          <w:sz w:val="22"/>
        </w:rPr>
        <w:t xml:space="preserve">May 15, 2026</w:t>
      </w:r>
    </w:p>
    <w:p>
      <w:pPr>
        <w:spacing w:before="2400"/>
        <w:ind w:left="1200"/>
      </w:pPr>
      <w:r>
        <w:rPr>
          <w:color w:val="7F8C8D"/>
          <w:sz w:val="18"/>
        </w:rPr>
        <w:t xml:space="preserve">Prepared by: Sindicato Research Swarm — 7 parallel research tracks, 12 dimension deep dives, 400+ sources</w:t>
      </w:r>
    </w:p>
    <w:p>
      <w:pPr>
        <w:sectPr>
          <w:type w:val="nextPage"/>
          <w:pgSz w:w="11906" w:h="16838"/>
          <w:pgMar w:top="0" w:right="0" w:bottom="0" w:left="0" w:header="0" w:footer="0"/>
          <w:titlePg/>
        </w:sectPr>
      </w:pPr>
    </w:p>
    <w:p>
      <w:pPr>
        <w:pStyle w:val="Heading1"/>
        <w:spacing w:before="400"/>
      </w:pPr>
      <w:r>
        <w:rPr>
          <w:b/>
          <w:color w:val="2C3E50"/>
          <w:sz w:val="40"/>
        </w:rPr>
        <w:t>Table of Contents</w:t>
      </w:r>
    </w:p>
    <w:p>
      <w:r>
        <w:fldChar w:fldCharType="begin"/>
      </w:r>
      <w:r>
        <w:instrText xml:space="preserve"> TOC \o "1-3" \h \z \u </w:instrText>
      </w:r>
      <w:r>
        <w:fldChar w:fldCharType="separate"/>
      </w:r>
    </w:p>
    <w:p>
      <w:pPr>
        <w:pStyle w:val="TOC1"/>
      </w:pPr>
      <w:r>
        <w:rPr>
          <w:b/>
        </w:rPr>
        <w:t>1. Platform-by-Platform Breakdown</w:t>
      </w:r>
      <w:r>
        <w:tab/>
      </w:r>
      <w:r>
        <w:t>3</w:t>
      </w:r>
    </w:p>
    <w:p>
      <w:pPr>
        <w:pStyle w:val="TOC2"/>
      </w:pPr>
      <w:r>
        <w:rPr/>
        <w:t>1.1 AI Training and Data Labeling Platforms</w:t>
      </w:r>
      <w:r>
        <w:tab/>
      </w:r>
      <w:r>
        <w:t>3</w:t>
      </w:r>
    </w:p>
    <w:p>
      <w:pPr>
        <w:pStyle w:val="TOC2"/>
      </w:pPr>
      <w:r>
        <w:rPr/>
        <w:t>1.2 Food Delivery and Ride-Hailing Platforms</w:t>
      </w:r>
      <w:r>
        <w:tab/>
      </w:r>
      <w:r>
        <w:t>7</w:t>
      </w:r>
    </w:p>
    <w:p>
      <w:pPr>
        <w:pStyle w:val="TOC2"/>
      </w:pPr>
      <w:r>
        <w:rPr/>
        <w:t>1.3 Freelance and Contractor Marketplace Platforms</w:t>
      </w:r>
      <w:r>
        <w:tab/>
      </w:r>
      <w:r>
        <w:t>12</w:t>
      </w:r>
    </w:p>
    <w:p>
      <w:pPr>
        <w:pStyle w:val="TOC2"/>
      </w:pPr>
      <w:r>
        <w:rPr/>
        <w:t>1.4 Remote Work and Professional Contractor Platforms</w:t>
      </w:r>
      <w:r>
        <w:tab/>
      </w:r>
      <w:r>
        <w:t>16</w:t>
      </w:r>
    </w:p>
    <w:p>
      <w:pPr>
        <w:pStyle w:val="TOC2"/>
      </w:pPr>
      <w:r>
        <w:rPr/>
        <w:t>1.5 Cross-Cutting Patterns</w:t>
      </w:r>
      <w:r>
        <w:tab/>
      </w:r>
      <w:r>
        <w:t>20</w:t>
      </w:r>
    </w:p>
    <w:p>
      <w:pPr>
        <w:pStyle w:val="TOC1"/>
      </w:pPr>
      <w:r>
        <w:rPr>
          <w:b/>
        </w:rPr>
        <w:t>2. Category Aggregates</w:t>
      </w:r>
      <w:r>
        <w:tab/>
      </w:r>
      <w:r>
        <w:t>23</w:t>
      </w:r>
    </w:p>
    <w:p>
      <w:pPr>
        <w:pStyle w:val="TOC2"/>
      </w:pPr>
      <w:r>
        <w:rPr/>
        <w:t>2.1 Total Estimated Wage Theft Volume</w:t>
      </w:r>
      <w:r>
        <w:tab/>
      </w:r>
      <w:r>
        <w:t>23</w:t>
      </w:r>
    </w:p>
    <w:p>
      <w:pPr>
        <w:pStyle w:val="TOC2"/>
      </w:pPr>
      <w:r>
        <w:rPr/>
        <w:t>2.2 Complaint Resolution Rate</w:t>
      </w:r>
      <w:r>
        <w:tab/>
      </w:r>
      <w:r>
        <w:t>26</w:t>
      </w:r>
    </w:p>
    <w:p>
      <w:pPr>
        <w:pStyle w:val="TOC2"/>
      </w:pPr>
      <w:r>
        <w:rPr/>
        <w:t>2.3 Category Rankings</w:t>
      </w:r>
      <w:r>
        <w:tab/>
      </w:r>
      <w:r>
        <w:t>29</w:t>
      </w:r>
    </w:p>
    <w:p>
      <w:pPr>
        <w:pStyle w:val="TOC2"/>
      </w:pPr>
      <w:r>
        <w:rPr/>
        <w:t>2.4 Synthesis</w:t>
      </w:r>
      <w:r>
        <w:tab/>
      </w:r>
      <w:r>
        <w:t>33</w:t>
      </w:r>
    </w:p>
    <w:p>
      <w:pPr>
        <w:pStyle w:val="TOC1"/>
      </w:pPr>
      <w:r>
        <w:rPr>
          <w:b/>
        </w:rPr>
        <w:t>3. Global Statistical Summary</w:t>
      </w:r>
      <w:r>
        <w:tab/>
      </w:r>
      <w:r>
        <w:t>35</w:t>
      </w:r>
    </w:p>
    <w:p>
      <w:pPr>
        <w:pStyle w:val="TOC2"/>
      </w:pPr>
      <w:r>
        <w:rPr/>
        <w:t>3.1 Estimated Total Annual Wage Theft</w:t>
      </w:r>
      <w:r>
        <w:tab/>
      </w:r>
      <w:r>
        <w:t>35</w:t>
      </w:r>
    </w:p>
    <w:p>
      <w:pPr>
        <w:pStyle w:val="TOC2"/>
      </w:pPr>
      <w:r>
        <w:rPr/>
        <w:t>3.2 Jurisdiction Analysis</w:t>
      </w:r>
      <w:r>
        <w:tab/>
      </w:r>
      <w:r>
        <w:t>39</w:t>
      </w:r>
    </w:p>
    <w:p>
      <w:pPr>
        <w:pStyle w:val="TOC2"/>
      </w:pPr>
      <w:r>
        <w:rPr/>
        <w:t>3.3 EU Platform Work Directive Impact</w:t>
      </w:r>
      <w:r>
        <w:tab/>
      </w:r>
      <w:r>
        <w:t>44</w:t>
      </w:r>
    </w:p>
    <w:p>
      <w:pPr>
        <w:pStyle w:val="TOC1"/>
      </w:pPr>
      <w:r>
        <w:rPr>
          <w:b/>
        </w:rPr>
        <w:t>4. Pattern Analysis</w:t>
      </w:r>
      <w:r>
        <w:tab/>
      </w:r>
      <w:r>
        <w:t>47</w:t>
      </w:r>
    </w:p>
    <w:p>
      <w:pPr>
        <w:pStyle w:val="TOC2"/>
      </w:pPr>
      <w:r>
        <w:rPr/>
        <w:t>4.1 Common Platform Tactics</w:t>
      </w:r>
      <w:r>
        <w:tab/>
      </w:r>
      <w:r>
        <w:t>47</w:t>
      </w:r>
    </w:p>
    <w:p>
      <w:pPr>
        <w:pStyle w:val="TOC2"/>
      </w:pPr>
      <w:r>
        <w:rPr/>
        <w:t>4.2 Systemic Patterns</w:t>
      </w:r>
      <w:r>
        <w:tab/>
      </w:r>
      <w:r>
        <w:t>55</w:t>
      </w:r>
    </w:p>
    <w:p>
      <w:pPr>
        <w:pStyle w:val="TOC1"/>
      </w:pPr>
      <w:r>
        <w:rPr>
          <w:b/>
        </w:rPr>
        <w:t>5. Sindicato Opportunity Map</w:t>
      </w:r>
      <w:r>
        <w:tab/>
      </w:r>
      <w:r>
        <w:t>59</w:t>
      </w:r>
    </w:p>
    <w:p>
      <w:pPr>
        <w:pStyle w:val="TOC2"/>
      </w:pPr>
      <w:r>
        <w:rPr/>
        <w:t>5.1 Priority Platform Rankings</w:t>
      </w:r>
      <w:r>
        <w:tab/>
      </w:r>
      <w:r>
        <w:t>59</w:t>
      </w:r>
    </w:p>
    <w:p>
      <w:pPr>
        <w:pStyle w:val="TOC2"/>
      </w:pPr>
      <w:r>
        <w:rPr/>
        <w:t>5.2 Addressable Worker Populations</w:t>
      </w:r>
      <w:r>
        <w:tab/>
      </w:r>
      <w:r>
        <w:t>62</w:t>
      </w:r>
    </w:p>
    <w:p>
      <w:pPr>
        <w:pStyle w:val="TOC2"/>
      </w:pPr>
      <w:r>
        <w:rPr/>
        <w:t>5.3 Geographic Priority</w:t>
      </w:r>
      <w:r>
        <w:tab/>
      </w:r>
      <w:r>
        <w:t>63</w:t>
      </w:r>
    </w:p>
    <w:p>
      <w:pPr>
        <w:pStyle w:val="TOC2"/>
      </w:pPr>
      <w:r>
        <w:rPr/>
        <w:t>5.4 Strategic Insights</w:t>
      </w:r>
      <w:r>
        <w:tab/>
      </w:r>
      <w:r>
        <w:t>65</w:t>
      </w:r>
    </w:p>
    <w:p>
      <w:pPr>
        <w:pStyle w:val="TOC1"/>
      </w:pPr>
      <w:r>
        <w:rPr>
          <w:b/>
        </w:rPr>
        <w:t>6. Source Index</w:t>
      </w:r>
      <w:r>
        <w:tab/>
      </w:r>
      <w:r>
        <w:t>68</w:t>
      </w:r>
    </w:p>
    <w:p>
      <w:r>
        <w:fldChar w:fldCharType="end"/>
      </w:r>
    </w:p>
    <w:p>
      <w:pPr>
        <w:sectPr>
          <w:type w:val="nextPage"/>
          <w:pgSz w:w="11906" w:h="16838"/>
          <w:pgMar w:top="1800" w:right="1440" w:bottom="1440" w:left="1440" w:header="720" w:footer="720"/>
        </w:sectPr>
      </w:pPr>
    </w:p>
    <w:p>
      <w:pPr>
        <w:pStyle w:val="Heading1"/>
      </w:pPr>
      <w:r>
        <w:rPr>
          <w:color w:val="1A252F"/>
          <w:sz w:val="22"/>
        </w:rPr>
        <w:t xml:space="preserve">Global Gig Economy Wage Theft Landscape Report</w:t>
      </w:r>
    </w:p>
    <w:p>
      <w:pPr>
        <w:spacing w:before="80" w:after="160"/>
      </w:pPr>
      <w:r>
        <w:rPr>
          <w:b/>
          <w:color w:val="1A252F"/>
          <w:sz w:val="22"/>
        </w:rPr>
        <w:t xml:space="preserve">Sindicato Project (sindicato.exposed) — Market Intelligence for Platform Expansion</w:t>
      </w:r>
    </w:p>
    <w:p>
      <w:pPr>
        <w:spacing w:after="160" w:line="300" w:lineRule="auto"/>
      </w:pPr>
      <w:r>
        <w:rPr>
          <w:b/>
          <w:color w:val="1A252F"/>
          <w:sz w:val="22"/>
        </w:rPr>
        <w:t xml:space="preserve">Research Date:</w:t>
      </w:r>
      <w:r>
        <w:rPr>
          <w:color w:val="1A252F"/>
          <w:sz w:val="22"/>
        </w:rPr>
        <w:t xml:space="preserve"> May 15, 2026</w:t>
      </w:r>
    </w:p>
    <w:p>
      <w:pPr>
        <w:spacing w:after="160" w:line="300" w:lineRule="auto"/>
      </w:pPr>
      <w:r>
        <w:rPr>
          <w:b/>
          <w:color w:val="1A252F"/>
          <w:sz w:val="22"/>
        </w:rPr>
        <w:t xml:space="preserve">Prepared by:</w:t>
      </w:r>
      <w:r>
        <w:rPr>
          <w:color w:val="1A252F"/>
          <w:sz w:val="22"/>
        </w:rPr>
        <w:t xml:space="preserve"> Sindicato Research Swarm — 7 parallel research tracks, 12 dimension deep dives, 400+ sources</w:t>
      </w:r>
    </w:p>
    <w:p>
      <w:pPr>
        <w:pStyle w:val="Heading1"/>
      </w:pPr>
      <w:r>
        <w:rPr>
          <w:color w:val="1A252F"/>
          <w:sz w:val="22"/>
        </w:rPr>
        <w:t xml:space="preserve">1. Platform-by-Platform Breakdown</w:t>
      </w:r>
    </w:p>
    <w:p>
      <w:pPr>
        <w:spacing w:after="160" w:line="300" w:lineRule="auto"/>
      </w:pPr>
      <w:r>
        <w:rPr>
          <w:color w:val="1A252F"/>
          <w:sz w:val="22"/>
        </w:rPr>
        <w:t xml:space="preserve">The Sindicato research team analyzed approximately 50 platforms across four categories: AI training and data labeling, food delivery and ride-hailing, freelance and contractor marketplaces, and remote work and professional contractor management. For each platform, we documented complaint volume, estimated unpaid amounts, most common violation types, legal action history, current operational status, affected worker populations, and geographic concentration. The tables that follow present the evidentiary foundation for all subsequent analysis in this report. Every entry reflects verified data points drawn from court documents, regulatory filings, peer-reviewed studies, and investigative journalism — not anecdote or estimation.</w:t>
      </w:r>
    </w:p>
    <w:p>
      <w:pPr>
        <w:pStyle w:val="Heading2"/>
      </w:pPr>
      <w:r>
        <w:rPr>
          <w:color w:val="1A252F"/>
          <w:sz w:val="22"/>
        </w:rPr>
        <w:t xml:space="preserve">1.1 AI Training and Data Labeling Platforms</w:t>
      </w:r>
    </w:p>
    <w:p>
      <w:pPr>
        <w:spacing w:after="160" w:line="300" w:lineRule="auto"/>
      </w:pPr>
      <w:r>
        <w:rPr>
          <w:color w:val="1A252F"/>
          <w:sz w:val="22"/>
        </w:rPr>
        <w:t xml:space="preserve">The AI data labeling sector represents what workers and researchers alike describe as a new form of digital sweatshop </w:t>
      </w:r>
      <w:r>
        <w:rPr>
          <w:color w:val="C0392B"/>
          <w:sz w:val="16"/>
          <w:vertAlign w:val="superscript"/>
        </w:rPr>
        <w:t xml:space="preserve">[1]</w:t>
      </w:r>
      <w:r>
        <w:rPr>
          <w:color w:val="C0392B"/>
          <w:sz w:val="16"/>
          <w:vertAlign w:val="superscript"/>
        </w:rPr>
        <w:t xml:space="preserve">[39]</w:t>
      </w:r>
      <w:r>
        <w:rPr>
          <w:color w:val="1A252F"/>
          <w:sz w:val="22"/>
        </w:rPr>
        <w:t xml:space="preserve">. The median hourly wage across the sector sits at or below $2/hour on the largest platform, Amazon Mechanical Turk, with only 4% of workers earning above the U.S. federal minimum wage </w:t>
      </w:r>
      <w:r>
        <w:rPr>
          <w:color w:val="C0392B"/>
          <w:sz w:val="16"/>
          <w:vertAlign w:val="superscript"/>
        </w:rPr>
        <w:t xml:space="preserve">[18]</w:t>
      </w:r>
      <w:r>
        <w:rPr>
          <w:color w:val="1A252F"/>
          <w:sz w:val="22"/>
        </w:rPr>
        <w:t xml:space="preserve">. The industry contributed $5.7 billion to U.S. GDP in 2024 while the workers who generated that value faced systematic misclassification, bait-and-switch pay practices, traumatic content exposure without adequate safeguards, and algorithmic monitoring that tracked mouse movements and captured screenshots </w:t>
      </w:r>
      <w:r>
        <w:rPr>
          <w:color w:val="C0392B"/>
          <w:sz w:val="16"/>
          <w:vertAlign w:val="superscript"/>
        </w:rPr>
        <w:t xml:space="preserve">[2]</w:t>
      </w:r>
      <w:r>
        <w:rPr>
          <w:color w:val="C0392B"/>
          <w:sz w:val="16"/>
          <w:vertAlign w:val="superscript"/>
        </w:rPr>
        <w:t xml:space="preserve">[46]</w:t>
      </w:r>
      <w:r>
        <w:rPr>
          <w:color w:val="1A252F"/>
          <w:sz w:val="22"/>
        </w:rPr>
        <w:t xml:space="preserve">.</w:t>
      </w:r>
    </w:p>
    <w:tbl>
      <w:tblPr>
        <w:tblW w:w="5000" w:type="pct"/>
        <w:tblBorders>
          <w:top w:val="single" w:color="2C3E50" w:sz="12"/>
          <w:left w:val="nil"/>
          <w:bottom w:val="single" w:color="2C3E50" w:sz="12"/>
          <w:right w:val="nil"/>
          <w:insideH w:val="single" w:color="BDC3C7" w:sz="4"/>
          <w:insideV w:val="nil"/>
        </w:tblBorders>
        <w:tblLook w:val="04A0" w:firstRow="true"/>
      </w:tblPr>
      <w:tblGrid>
        <w:gridCol w:w="1000"/>
        <w:gridCol w:w="1000"/>
        <w:gridCol w:w="1000"/>
        <w:gridCol w:w="1000"/>
        <w:gridCol w:w="1000"/>
        <w:gridCol w:w="1000"/>
        <w:gridCol w:w="1000"/>
        <w:gridCol w:w="1000"/>
        <w:gridCol w:w="1000"/>
      </w:tblGrid>
      <w:tr>
        <w:trPr>
          <w:tblHeader/>
        </w:trPr>
        <w:tc>
          <w:tcPr>
            <w:tcW w:w="1000" w:type="dxa"/>
            <w:tcBorders>
              <w:bottom w:val="single" w:color="2C3E50" w:sz="6"/>
            </w:tcBorders>
            <w:shd w:val="clear" w:fill="EDF0F2"/>
          </w:tcPr>
          <w:p>
            <w:pPr>
              <w:spacing w:before="60" w:after="60"/>
            </w:pPr>
            <w:r>
              <w:rPr>
                <w:b/>
                <w:color w:val="1A252F"/>
                <w:sz w:val="18"/>
              </w:rPr>
              <w:t xml:space="preserve">Platform</w:t>
            </w:r>
          </w:p>
        </w:tc>
        <w:tc>
          <w:tcPr>
            <w:tcW w:w="1000" w:type="dxa"/>
            <w:tcBorders>
              <w:bottom w:val="single" w:color="2C3E50" w:sz="6"/>
            </w:tcBorders>
            <w:shd w:val="clear" w:fill="EDF0F2"/>
          </w:tcPr>
          <w:p>
            <w:pPr>
              <w:spacing w:before="60" w:after="60"/>
            </w:pPr>
            <w:r>
              <w:rPr>
                <w:b/>
                <w:color w:val="1A252F"/>
                <w:sz w:val="18"/>
              </w:rPr>
              <w:t xml:space="preserve">Category</w:t>
            </w:r>
          </w:p>
        </w:tc>
        <w:tc>
          <w:tcPr>
            <w:tcW w:w="1000" w:type="dxa"/>
            <w:tcBorders>
              <w:bottom w:val="single" w:color="2C3E50" w:sz="6"/>
            </w:tcBorders>
            <w:shd w:val="clear" w:fill="EDF0F2"/>
          </w:tcPr>
          <w:p>
            <w:pPr>
              <w:spacing w:before="60" w:after="60"/>
            </w:pPr>
            <w:r>
              <w:rPr>
                <w:b/>
                <w:color w:val="1A252F"/>
                <w:sz w:val="18"/>
              </w:rPr>
              <w:t xml:space="preserve">Complaint Volume</w:t>
            </w:r>
          </w:p>
        </w:tc>
        <w:tc>
          <w:tcPr>
            <w:tcW w:w="1000" w:type="dxa"/>
            <w:tcBorders>
              <w:bottom w:val="single" w:color="2C3E50" w:sz="6"/>
            </w:tcBorders>
            <w:shd w:val="clear" w:fill="EDF0F2"/>
          </w:tcPr>
          <w:p>
            <w:pPr>
              <w:spacing w:before="60" w:after="60"/>
            </w:pPr>
            <w:r>
              <w:rPr>
                <w:b/>
                <w:color w:val="1A252F"/>
                <w:sz w:val="18"/>
              </w:rPr>
              <w:t xml:space="preserve">Est. Unpaid Amounts</w:t>
            </w:r>
          </w:p>
        </w:tc>
        <w:tc>
          <w:tcPr>
            <w:tcW w:w="1000" w:type="dxa"/>
            <w:tcBorders>
              <w:bottom w:val="single" w:color="2C3E50" w:sz="6"/>
            </w:tcBorders>
            <w:shd w:val="clear" w:fill="EDF0F2"/>
          </w:tcPr>
          <w:p>
            <w:pPr>
              <w:spacing w:before="60" w:after="60"/>
            </w:pPr>
            <w:r>
              <w:rPr>
                <w:b/>
                <w:color w:val="1A252F"/>
                <w:sz w:val="18"/>
              </w:rPr>
              <w:t xml:space="preserve">Most Common Complaint</w:t>
            </w:r>
          </w:p>
        </w:tc>
        <w:tc>
          <w:tcPr>
            <w:tcW w:w="1000" w:type="dxa"/>
            <w:tcBorders>
              <w:bottom w:val="single" w:color="2C3E50" w:sz="6"/>
            </w:tcBorders>
            <w:shd w:val="clear" w:fill="EDF0F2"/>
          </w:tcPr>
          <w:p>
            <w:pPr>
              <w:spacing w:before="60" w:after="60"/>
            </w:pPr>
            <w:r>
              <w:rPr>
                <w:b/>
                <w:color w:val="1A252F"/>
                <w:sz w:val="18"/>
              </w:rPr>
              <w:t xml:space="preserve">Legal Action</w:t>
            </w:r>
          </w:p>
        </w:tc>
        <w:tc>
          <w:tcPr>
            <w:tcW w:w="1000" w:type="dxa"/>
            <w:tcBorders>
              <w:bottom w:val="single" w:color="2C3E50" w:sz="6"/>
            </w:tcBorders>
            <w:shd w:val="clear" w:fill="EDF0F2"/>
          </w:tcPr>
          <w:p>
            <w:pPr>
              <w:spacing w:before="60" w:after="60"/>
            </w:pPr>
            <w:r>
              <w:rPr>
                <w:b/>
                <w:color w:val="1A252F"/>
                <w:sz w:val="18"/>
              </w:rPr>
              <w:t xml:space="preserve">Current Status</w:t>
            </w:r>
          </w:p>
        </w:tc>
        <w:tc>
          <w:tcPr>
            <w:tcW w:w="1000" w:type="dxa"/>
            <w:tcBorders>
              <w:bottom w:val="single" w:color="2C3E50" w:sz="6"/>
            </w:tcBorders>
            <w:shd w:val="clear" w:fill="EDF0F2"/>
          </w:tcPr>
          <w:p>
            <w:pPr>
              <w:spacing w:before="60" w:after="60"/>
            </w:pPr>
            <w:r>
              <w:rPr>
                <w:b/>
                <w:color w:val="1A252F"/>
                <w:sz w:val="18"/>
              </w:rPr>
              <w:t xml:space="preserve">Affected Workers</w:t>
            </w:r>
          </w:p>
        </w:tc>
        <w:tc>
          <w:tcPr>
            <w:tcW w:w="1000" w:type="dxa"/>
            <w:tcBorders>
              <w:bottom w:val="single" w:color="2C3E50" w:sz="6"/>
            </w:tcBorders>
            <w:shd w:val="clear" w:fill="EDF0F2"/>
          </w:tcPr>
          <w:p>
            <w:pPr>
              <w:spacing w:before="60" w:after="60"/>
            </w:pPr>
            <w:r>
              <w:rPr>
                <w:b/>
                <w:color w:val="1A252F"/>
                <w:sz w:val="18"/>
              </w:rPr>
              <w:t xml:space="preserve">Geographic Concentration</w:t>
            </w:r>
          </w:p>
        </w:tc>
      </w:tr>
      <w:tr>
        <w:tc>
          <w:tcPr>
            <w:tcW w:w="1000" w:type="dxa"/>
          </w:tcPr>
          <w:p>
            <w:pPr>
              <w:spacing w:before="40" w:after="40" w:line="240" w:lineRule="auto"/>
            </w:pPr>
            <w:r>
              <w:rPr>
                <w:color w:val="1A252F"/>
                <w:sz w:val="18"/>
              </w:rPr>
              <w:t xml:space="preserve">Scale AI / Outlier AI</w:t>
            </w:r>
          </w:p>
        </w:tc>
        <w:tc>
          <w:tcPr>
            <w:tcW w:w="1000" w:type="dxa"/>
          </w:tcPr>
          <w:p>
            <w:pPr>
              <w:spacing w:before="40" w:after="40" w:line="240" w:lineRule="auto"/>
            </w:pPr>
            <w:r>
              <w:rPr>
                <w:color w:val="1A252F"/>
                <w:sz w:val="18"/>
              </w:rPr>
              <w:t xml:space="preserve">Data labeling</w:t>
            </w:r>
          </w:p>
        </w:tc>
        <w:tc>
          <w:tcPr>
            <w:tcW w:w="1000" w:type="dxa"/>
          </w:tcPr>
          <w:p>
            <w:pPr>
              <w:spacing w:before="40" w:after="40" w:line="240" w:lineRule="auto"/>
            </w:pPr>
            <w:r>
              <w:rPr>
                <w:color w:val="1A252F"/>
                <w:sz w:val="18"/>
              </w:rPr>
              <w:t xml:space="preserve">Very High — 4 settled lawsuits, 1 federal suit, DOL probe, SF OLSE investigation</w:t>
            </w:r>
          </w:p>
        </w:tc>
        <w:tc>
          <w:tcPr>
            <w:tcW w:w="1000" w:type="dxa"/>
          </w:tcPr>
          <w:p>
            <w:pPr>
              <w:spacing w:before="40" w:after="40" w:line="240" w:lineRule="auto"/>
            </w:pPr>
            <w:r>
              <w:rPr>
                <w:color w:val="1A252F"/>
                <w:sz w:val="18"/>
              </w:rPr>
              <w:t xml:space="preserve">Undisclosed settlement; class sought damages for 10,000–20,000 California workers </w:t>
            </w:r>
            <w:r>
              <w:rPr>
                <w:color w:val="C0392B"/>
                <w:sz w:val="16"/>
                <w:vertAlign w:val="superscript"/>
              </w:rPr>
              <w:t xml:space="preserve">[1]</w:t>
            </w:r>
            <w:r>
              <w:rPr>
                <w:color w:val="C0392B"/>
                <w:sz w:val="16"/>
                <w:vertAlign w:val="superscript"/>
              </w:rPr>
              <w:t xml:space="preserve">[7]</w:t>
            </w:r>
          </w:p>
        </w:tc>
        <w:tc>
          <w:tcPr>
            <w:tcW w:w="1000" w:type="dxa"/>
          </w:tcPr>
          <w:p>
            <w:pPr>
              <w:spacing w:before="40" w:after="40" w:line="240" w:lineRule="auto"/>
            </w:pPr>
            <w:r>
              <w:rPr>
                <w:color w:val="1A252F"/>
                <w:sz w:val="18"/>
              </w:rPr>
              <w:t xml:space="preserve">Bait-and-switch pay ($40/hr advertised, $15/hr effective); unpaid onboarding and training</w:t>
            </w:r>
          </w:p>
        </w:tc>
        <w:tc>
          <w:tcPr>
            <w:tcW w:w="1000" w:type="dxa"/>
          </w:tcPr>
          <w:p>
            <w:pPr>
              <w:spacing w:before="40" w:after="40" w:line="240" w:lineRule="auto"/>
            </w:pPr>
            <w:r>
              <w:rPr>
                <w:color w:val="1A252F"/>
                <w:sz w:val="18"/>
              </w:rPr>
              <w:t xml:space="preserve">4 CA lawsuits settled Oct 2025; federal psychological harm suit ongoing (Schuster v. Scale AI, N.D. Cal); DOL investigation dropped May 2025; SF OLSE probe active Sept 2025 </w:t>
            </w:r>
            <w:r>
              <w:rPr>
                <w:color w:val="C0392B"/>
                <w:sz w:val="16"/>
                <w:vertAlign w:val="superscript"/>
              </w:rPr>
              <w:t xml:space="preserve">[7]</w:t>
            </w:r>
            <w:r>
              <w:rPr>
                <w:color w:val="C0392B"/>
                <w:sz w:val="16"/>
                <w:vertAlign w:val="superscript"/>
              </w:rPr>
              <w:t xml:space="preserve">[8]</w:t>
            </w:r>
            <w:r>
              <w:rPr>
                <w:color w:val="C0392B"/>
                <w:sz w:val="16"/>
                <w:vertAlign w:val="superscript"/>
              </w:rPr>
              <w:t xml:space="preserve">[11]</w:t>
            </w:r>
          </w:p>
        </w:tc>
        <w:tc>
          <w:tcPr>
            <w:tcW w:w="1000" w:type="dxa"/>
          </w:tcPr>
          <w:p>
            <w:pPr>
              <w:spacing w:before="40" w:after="40" w:line="240" w:lineRule="auto"/>
            </w:pPr>
            <w:r>
              <w:rPr>
                <w:color w:val="1A252F"/>
                <w:sz w:val="18"/>
              </w:rPr>
              <w:t xml:space="preserve">Ceased hiring California gig workers entirely after settlements; continuing operations globally </w:t>
            </w:r>
            <w:r>
              <w:rPr>
                <w:color w:val="C0392B"/>
                <w:sz w:val="16"/>
                <w:vertAlign w:val="superscript"/>
              </w:rPr>
              <w:t xml:space="preserve">[7]</w:t>
            </w:r>
          </w:p>
        </w:tc>
        <w:tc>
          <w:tcPr>
            <w:tcW w:w="1000" w:type="dxa"/>
          </w:tcPr>
          <w:p>
            <w:pPr>
              <w:spacing w:before="40" w:after="40" w:line="240" w:lineRule="auto"/>
            </w:pPr>
            <w:r>
              <w:rPr>
                <w:color w:val="1A252F"/>
                <w:sz w:val="18"/>
              </w:rPr>
              <w:t xml:space="preserve">10,000–20,000 California workers alone; global footprint in 9,000+ cities</w:t>
            </w:r>
          </w:p>
        </w:tc>
        <w:tc>
          <w:tcPr>
            <w:tcW w:w="1000" w:type="dxa"/>
          </w:tcPr>
          <w:p>
            <w:pPr>
              <w:spacing w:before="40" w:after="40" w:line="240" w:lineRule="auto"/>
            </w:pPr>
            <w:r>
              <w:rPr>
                <w:color w:val="1A252F"/>
                <w:sz w:val="18"/>
              </w:rPr>
              <w:t xml:space="preserve">U.S. (CA primary), Kenya, Venezuela, Pakistan, Philippines, India</w:t>
            </w:r>
          </w:p>
        </w:tc>
      </w:tr>
      <w:tr>
        <w:tc>
          <w:tcPr>
            <w:tcW w:w="1000" w:type="dxa"/>
          </w:tcPr>
          <w:p>
            <w:pPr>
              <w:spacing w:before="40" w:after="40" w:line="240" w:lineRule="auto"/>
            </w:pPr>
            <w:r>
              <w:rPr>
                <w:color w:val="1A252F"/>
                <w:sz w:val="18"/>
              </w:rPr>
              <w:t xml:space="preserve">Sama / Samasource</w:t>
            </w:r>
          </w:p>
        </w:tc>
        <w:tc>
          <w:tcPr>
            <w:tcW w:w="1000" w:type="dxa"/>
          </w:tcPr>
          <w:p>
            <w:pPr>
              <w:spacing w:before="40" w:after="40" w:line="240" w:lineRule="auto"/>
            </w:pPr>
            <w:r>
              <w:rPr>
                <w:color w:val="1A252F"/>
                <w:sz w:val="18"/>
              </w:rPr>
              <w:t xml:space="preserve">Content moderation</w:t>
            </w:r>
          </w:p>
        </w:tc>
        <w:tc>
          <w:tcPr>
            <w:tcW w:w="1000" w:type="dxa"/>
          </w:tcPr>
          <w:p>
            <w:pPr>
              <w:spacing w:before="40" w:after="40" w:line="240" w:lineRule="auto"/>
            </w:pPr>
            <w:r>
              <w:rPr>
                <w:color w:val="1A252F"/>
                <w:sz w:val="18"/>
              </w:rPr>
              <w:t xml:space="preserve">Very High — TIME investigations, Kenyan court cases, 140+ PTSD diagnoses</w:t>
            </w:r>
          </w:p>
        </w:tc>
        <w:tc>
          <w:tcPr>
            <w:tcW w:w="1000" w:type="dxa"/>
          </w:tcPr>
          <w:p>
            <w:pPr>
              <w:spacing w:before="40" w:after="40" w:line="240" w:lineRule="auto"/>
            </w:pPr>
            <w:r>
              <w:rPr>
                <w:color w:val="1A252F"/>
                <w:sz w:val="18"/>
              </w:rPr>
              <w:t xml:space="preserve">Workers paid $1.32–$2/hr while OpenAI paid Sama $12.50/hr — a 6–9x markup capture </w:t>
            </w:r>
            <w:r>
              <w:rPr>
                <w:color w:val="C0392B"/>
                <w:sz w:val="16"/>
                <w:vertAlign w:val="superscript"/>
              </w:rPr>
              <w:t xml:space="preserve">[12]</w:t>
            </w:r>
            <w:r>
              <w:rPr>
                <w:color w:val="C0392B"/>
                <w:sz w:val="16"/>
                <w:vertAlign w:val="superscript"/>
              </w:rPr>
              <w:t xml:space="preserve">[13]</w:t>
            </w:r>
          </w:p>
        </w:tc>
        <w:tc>
          <w:tcPr>
            <w:tcW w:w="1000" w:type="dxa"/>
          </w:tcPr>
          <w:p>
            <w:pPr>
              <w:spacing w:before="40" w:after="40" w:line="240" w:lineRule="auto"/>
            </w:pPr>
            <w:r>
              <w:rPr>
                <w:color w:val="1A252F"/>
                <w:sz w:val="18"/>
              </w:rPr>
              <w:t xml:space="preserve">Sub-minimum wages for traumatic content; no mental health support; union busting</w:t>
            </w:r>
          </w:p>
        </w:tc>
        <w:tc>
          <w:tcPr>
            <w:tcW w:w="1000" w:type="dxa"/>
          </w:tcPr>
          <w:p>
            <w:pPr>
              <w:spacing w:before="40" w:after="40" w:line="240" w:lineRule="auto"/>
            </w:pPr>
            <w:r>
              <w:rPr>
                <w:color w:val="1A252F"/>
                <w:sz w:val="18"/>
              </w:rPr>
              <w:t xml:space="preserve">Kenyan courts: Meta can be sued in Kenya; 185+ plaintiffs in consolidated cases alleging human trafficking, unfair dismissal; Daniel Motaung constitutional case ongoing </w:t>
            </w:r>
            <w:r>
              <w:rPr>
                <w:color w:val="C0392B"/>
                <w:sz w:val="16"/>
                <w:vertAlign w:val="superscript"/>
              </w:rPr>
              <w:t xml:space="preserve">[17]</w:t>
            </w:r>
          </w:p>
        </w:tc>
        <w:tc>
          <w:tcPr>
            <w:tcW w:w="1000" w:type="dxa"/>
          </w:tcPr>
          <w:p>
            <w:pPr>
              <w:spacing w:before="40" w:after="40" w:line="240" w:lineRule="auto"/>
            </w:pPr>
            <w:r>
              <w:rPr>
                <w:color w:val="1A252F"/>
                <w:sz w:val="18"/>
              </w:rPr>
              <w:t xml:space="preserve">Exited content moderation business January 2023; shifted to AI data labeling only</w:t>
            </w:r>
          </w:p>
        </w:tc>
        <w:tc>
          <w:tcPr>
            <w:tcW w:w="1000" w:type="dxa"/>
          </w:tcPr>
          <w:p>
            <w:pPr>
              <w:spacing w:before="40" w:after="40" w:line="240" w:lineRule="auto"/>
            </w:pPr>
            <w:r>
              <w:rPr>
                <w:color w:val="1A252F"/>
                <w:sz w:val="18"/>
              </w:rPr>
              <w:t xml:space="preserve">260 moderators made redundant; 185+ in litigation; 144 formally diagnosed with PTSD </w:t>
            </w:r>
            <w:r>
              <w:rPr>
                <w:color w:val="C0392B"/>
                <w:sz w:val="16"/>
                <w:vertAlign w:val="superscript"/>
              </w:rPr>
              <w:t xml:space="preserve">[14]</w:t>
            </w:r>
            <w:r>
              <w:rPr>
                <w:color w:val="C0392B"/>
                <w:sz w:val="16"/>
                <w:vertAlign w:val="superscript"/>
              </w:rPr>
              <w:t xml:space="preserve">[16]</w:t>
            </w:r>
          </w:p>
        </w:tc>
        <w:tc>
          <w:tcPr>
            <w:tcW w:w="1000" w:type="dxa"/>
          </w:tcPr>
          <w:p>
            <w:pPr>
              <w:spacing w:before="40" w:after="40" w:line="240" w:lineRule="auto"/>
            </w:pPr>
            <w:r>
              <w:rPr>
                <w:color w:val="1A252F"/>
                <w:sz w:val="18"/>
              </w:rPr>
              <w:t xml:space="preserve">Kenya (primary), India, Uganda</w:t>
            </w:r>
          </w:p>
        </w:tc>
      </w:tr>
      <w:tr>
        <w:tc>
          <w:tcPr>
            <w:tcW w:w="1000" w:type="dxa"/>
          </w:tcPr>
          <w:p>
            <w:pPr>
              <w:spacing w:before="40" w:after="40" w:line="240" w:lineRule="auto"/>
            </w:pPr>
            <w:r>
              <w:rPr>
                <w:color w:val="1A252F"/>
                <w:sz w:val="18"/>
              </w:rPr>
              <w:t xml:space="preserve">Amazon Mechanical Turk</w:t>
            </w:r>
          </w:p>
        </w:tc>
        <w:tc>
          <w:tcPr>
            <w:tcW w:w="1000" w:type="dxa"/>
          </w:tcPr>
          <w:p>
            <w:pPr>
              <w:spacing w:before="40" w:after="40" w:line="240" w:lineRule="auto"/>
            </w:pPr>
            <w:r>
              <w:rPr>
                <w:color w:val="1A252F"/>
                <w:sz w:val="18"/>
              </w:rPr>
              <w:t xml:space="preserve">Microwork</w:t>
            </w:r>
          </w:p>
        </w:tc>
        <w:tc>
          <w:tcPr>
            <w:tcW w:w="1000" w:type="dxa"/>
          </w:tcPr>
          <w:p>
            <w:pPr>
              <w:spacing w:before="40" w:after="40" w:line="240" w:lineRule="auto"/>
            </w:pPr>
            <w:r>
              <w:rPr>
                <w:color w:val="1A252F"/>
                <w:sz w:val="18"/>
              </w:rPr>
              <w:t xml:space="preserve">Very High — decades of documented exploitation; 0/10 Fairwork score</w:t>
            </w:r>
          </w:p>
        </w:tc>
        <w:tc>
          <w:tcPr>
            <w:tcW w:w="1000" w:type="dxa"/>
          </w:tcPr>
          <w:p>
            <w:pPr>
              <w:spacing w:before="40" w:after="40" w:line="240" w:lineRule="auto"/>
            </w:pPr>
            <w:r>
              <w:rPr>
                <w:color w:val="1A252F"/>
                <w:sz w:val="18"/>
              </w:rPr>
              <w:t xml:space="preserve">Median ~$2/hr; estimated billions in aggregate sub-minimum-wage payments over platform lifetime </w:t>
            </w:r>
            <w:r>
              <w:rPr>
                <w:color w:val="C0392B"/>
                <w:sz w:val="16"/>
                <w:vertAlign w:val="superscript"/>
              </w:rPr>
              <w:t xml:space="preserve">[18]</w:t>
            </w:r>
          </w:p>
        </w:tc>
        <w:tc>
          <w:tcPr>
            <w:tcW w:w="1000" w:type="dxa"/>
          </w:tcPr>
          <w:p>
            <w:pPr>
              <w:spacing w:before="40" w:after="40" w:line="240" w:lineRule="auto"/>
            </w:pPr>
            <w:r>
              <w:rPr>
                <w:color w:val="1A252F"/>
                <w:sz w:val="18"/>
              </w:rPr>
              <w:t xml:space="preserve">Sub-minimum piece rates; task rejection without payment; unpaid search time</w:t>
            </w:r>
          </w:p>
        </w:tc>
        <w:tc>
          <w:tcPr>
            <w:tcW w:w="1000" w:type="dxa"/>
          </w:tcPr>
          <w:p>
            <w:pPr>
              <w:spacing w:before="40" w:after="40" w:line="240" w:lineRule="auto"/>
            </w:pPr>
            <w:r>
              <w:rPr>
                <w:color w:val="1A252F"/>
                <w:sz w:val="18"/>
              </w:rPr>
              <w:t xml:space="preserve">No regulatory action; no Biden-era IC rule enforcement after Trump DOL dropped worker protection rule </w:t>
            </w:r>
            <w:r>
              <w:rPr>
                <w:color w:val="C0392B"/>
                <w:sz w:val="16"/>
                <w:vertAlign w:val="superscript"/>
              </w:rPr>
              <w:t xml:space="preserve">[19]</w:t>
            </w:r>
          </w:p>
        </w:tc>
        <w:tc>
          <w:tcPr>
            <w:tcW w:w="1000" w:type="dxa"/>
          </w:tcPr>
          <w:p>
            <w:pPr>
              <w:spacing w:before="40" w:after="40" w:line="240" w:lineRule="auto"/>
            </w:pPr>
            <w:r>
              <w:rPr>
                <w:color w:val="1A252F"/>
                <w:sz w:val="18"/>
              </w:rPr>
              <w:t xml:space="preserve">Active; no material policy changes on pay rates</w:t>
            </w:r>
          </w:p>
        </w:tc>
        <w:tc>
          <w:tcPr>
            <w:tcW w:w="1000" w:type="dxa"/>
          </w:tcPr>
          <w:p>
            <w:pPr>
              <w:spacing w:before="40" w:after="40" w:line="240" w:lineRule="auto"/>
            </w:pPr>
            <w:r>
              <w:rPr>
                <w:color w:val="1A252F"/>
                <w:sz w:val="18"/>
              </w:rPr>
              <w:t xml:space="preserve">100,000+ global Turkers; 2,676 workers in Hara et al. CHI 2018 study alone </w:t>
            </w:r>
            <w:r>
              <w:rPr>
                <w:color w:val="C0392B"/>
                <w:sz w:val="16"/>
                <w:vertAlign w:val="superscript"/>
              </w:rPr>
              <w:t xml:space="preserve">[18]</w:t>
            </w:r>
          </w:p>
        </w:tc>
        <w:tc>
          <w:tcPr>
            <w:tcW w:w="1000" w:type="dxa"/>
          </w:tcPr>
          <w:p>
            <w:pPr>
              <w:spacing w:before="40" w:after="40" w:line="240" w:lineRule="auto"/>
            </w:pPr>
            <w:r>
              <w:rPr>
                <w:color w:val="1A252F"/>
                <w:sz w:val="18"/>
              </w:rPr>
              <w:t xml:space="preserve">Global — U.S., India, Philippines, Global South concentration</w:t>
            </w:r>
          </w:p>
        </w:tc>
      </w:tr>
      <w:tr>
        <w:tc>
          <w:tcPr>
            <w:tcW w:w="1000" w:type="dxa"/>
          </w:tcPr>
          <w:p>
            <w:pPr>
              <w:spacing w:before="40" w:after="40" w:line="240" w:lineRule="auto"/>
            </w:pPr>
            <w:r>
              <w:rPr>
                <w:color w:val="1A252F"/>
                <w:sz w:val="18"/>
              </w:rPr>
              <w:t xml:space="preserve">DataAnnotation.tech / Surge AI</w:t>
            </w:r>
          </w:p>
        </w:tc>
        <w:tc>
          <w:tcPr>
            <w:tcW w:w="1000" w:type="dxa"/>
          </w:tcPr>
          <w:p>
            <w:pPr>
              <w:spacing w:before="40" w:after="40" w:line="240" w:lineRule="auto"/>
            </w:pPr>
            <w:r>
              <w:rPr>
                <w:color w:val="1A252F"/>
                <w:sz w:val="18"/>
              </w:rPr>
              <w:t xml:space="preserve">Data labeling</w:t>
            </w:r>
          </w:p>
        </w:tc>
        <w:tc>
          <w:tcPr>
            <w:tcW w:w="1000" w:type="dxa"/>
          </w:tcPr>
          <w:p>
            <w:pPr>
              <w:spacing w:before="40" w:after="40" w:line="240" w:lineRule="auto"/>
            </w:pPr>
            <w:r>
              <w:rPr>
                <w:color w:val="1A252F"/>
                <w:sz w:val="18"/>
              </w:rPr>
              <w:t xml:space="preserve">Moderate-High — active class action, Forbes investigation</w:t>
            </w:r>
          </w:p>
        </w:tc>
        <w:tc>
          <w:tcPr>
            <w:tcW w:w="1000" w:type="dxa"/>
          </w:tcPr>
          <w:p>
            <w:pPr>
              <w:spacing w:before="40" w:after="40" w:line="240" w:lineRule="auto"/>
            </w:pPr>
            <w:r>
              <w:rPr>
                <w:color w:val="1A252F"/>
                <w:sz w:val="18"/>
              </w:rPr>
              <w:t xml:space="preserve">Promised $20–$40/hr; actual pay lower due to unrealistic time limits </w:t>
            </w:r>
            <w:r>
              <w:rPr>
                <w:color w:val="C0392B"/>
                <w:sz w:val="16"/>
                <w:vertAlign w:val="superscript"/>
              </w:rPr>
              <w:t xml:space="preserve">[21]</w:t>
            </w:r>
          </w:p>
        </w:tc>
        <w:tc>
          <w:tcPr>
            <w:tcW w:w="1000" w:type="dxa"/>
          </w:tcPr>
          <w:p>
            <w:pPr>
              <w:spacing w:before="40" w:after="40" w:line="240" w:lineRule="auto"/>
            </w:pPr>
            <w:r>
              <w:rPr>
                <w:color w:val="1A252F"/>
                <w:sz w:val="18"/>
              </w:rPr>
              <w:t xml:space="preserve">Deliberate misclassification; unpaid training and testing; time limits preventing compliant breaks</w:t>
            </w:r>
          </w:p>
        </w:tc>
        <w:tc>
          <w:tcPr>
            <w:tcW w:w="1000" w:type="dxa"/>
          </w:tcPr>
          <w:p>
            <w:pPr>
              <w:spacing w:before="40" w:after="40" w:line="240" w:lineRule="auto"/>
            </w:pPr>
            <w:r>
              <w:rPr>
                <w:color w:val="1A252F"/>
                <w:sz w:val="18"/>
              </w:rPr>
              <w:t xml:space="preserve">Class action filed May 2025 (Cavalier v. Surge Labs, Clarkson Law Firm); ongoing </w:t>
            </w:r>
            <w:r>
              <w:rPr>
                <w:color w:val="C0392B"/>
                <w:sz w:val="16"/>
                <w:vertAlign w:val="superscript"/>
              </w:rPr>
              <w:t xml:space="preserve">[20]</w:t>
            </w:r>
            <w:r>
              <w:rPr>
                <w:color w:val="C0392B"/>
                <w:sz w:val="16"/>
                <w:vertAlign w:val="superscript"/>
              </w:rPr>
              <w:t xml:space="preserve">[21]</w:t>
            </w:r>
          </w:p>
        </w:tc>
        <w:tc>
          <w:tcPr>
            <w:tcW w:w="1000" w:type="dxa"/>
          </w:tcPr>
          <w:p>
            <w:pPr>
              <w:spacing w:before="40" w:after="40" w:line="240" w:lineRule="auto"/>
            </w:pPr>
            <w:r>
              <w:rPr>
                <w:color w:val="1A252F"/>
                <w:sz w:val="18"/>
              </w:rPr>
              <w:t xml:space="preserve">Active; continued hiring 1099 contractors</w:t>
            </w:r>
          </w:p>
        </w:tc>
        <w:tc>
          <w:tcPr>
            <w:tcW w:w="1000" w:type="dxa"/>
          </w:tcPr>
          <w:p>
            <w:pPr>
              <w:spacing w:before="40" w:after="40" w:line="240" w:lineRule="auto"/>
            </w:pPr>
            <w:r>
              <w:rPr>
                <w:color w:val="1A252F"/>
                <w:sz w:val="18"/>
              </w:rPr>
              <w:t xml:space="preserve">Estimated thousands of California-based annotators</w:t>
            </w:r>
          </w:p>
        </w:tc>
        <w:tc>
          <w:tcPr>
            <w:tcW w:w="1000" w:type="dxa"/>
          </w:tcPr>
          <w:p>
            <w:pPr>
              <w:spacing w:before="40" w:after="40" w:line="240" w:lineRule="auto"/>
            </w:pPr>
            <w:r>
              <w:rPr>
                <w:color w:val="1A252F"/>
                <w:sz w:val="18"/>
              </w:rPr>
              <w:t xml:space="preserve">U.S. (CA), operates DataAnnotation.tech, Get Hybrid, Task Up brands </w:t>
            </w:r>
            <w:r>
              <w:rPr>
                <w:color w:val="C0392B"/>
                <w:sz w:val="16"/>
                <w:vertAlign w:val="superscript"/>
              </w:rPr>
              <w:t xml:space="preserve">[13]</w:t>
            </w:r>
          </w:p>
        </w:tc>
      </w:tr>
      <w:tr>
        <w:tc>
          <w:tcPr>
            <w:tcW w:w="1000" w:type="dxa"/>
          </w:tcPr>
          <w:p>
            <w:pPr>
              <w:spacing w:before="40" w:after="40" w:line="240" w:lineRule="auto"/>
            </w:pPr>
            <w:r>
              <w:rPr>
                <w:color w:val="1A252F"/>
                <w:sz w:val="18"/>
              </w:rPr>
              <w:t xml:space="preserve">Remotasks (Scale AI)</w:t>
            </w:r>
          </w:p>
        </w:tc>
        <w:tc>
          <w:tcPr>
            <w:tcW w:w="1000" w:type="dxa"/>
          </w:tcPr>
          <w:p>
            <w:pPr>
              <w:spacing w:before="40" w:after="40" w:line="240" w:lineRule="auto"/>
            </w:pPr>
            <w:r>
              <w:rPr>
                <w:color w:val="1A252F"/>
                <w:sz w:val="18"/>
              </w:rPr>
              <w:t xml:space="preserve">Data labeling</w:t>
            </w:r>
          </w:p>
        </w:tc>
        <w:tc>
          <w:tcPr>
            <w:tcW w:w="1000" w:type="dxa"/>
          </w:tcPr>
          <w:p>
            <w:pPr>
              <w:spacing w:before="40" w:after="40" w:line="240" w:lineRule="auto"/>
            </w:pPr>
            <w:r>
              <w:rPr>
                <w:color w:val="1A252F"/>
                <w:sz w:val="18"/>
              </w:rPr>
              <w:t xml:space="preserve">High — mass country bans, payment disputes, MIT investigation</w:t>
            </w:r>
          </w:p>
        </w:tc>
        <w:tc>
          <w:tcPr>
            <w:tcW w:w="1000" w:type="dxa"/>
          </w:tcPr>
          <w:p>
            <w:pPr>
              <w:spacing w:before="40" w:after="40" w:line="240" w:lineRule="auto"/>
            </w:pPr>
            <w:r>
              <w:rPr>
                <w:color w:val="1A252F"/>
                <w:sz w:val="18"/>
              </w:rPr>
              <w:t xml:space="preserve">Pay as low as $1–$3/hr in Kenya vs. $15–$25/hr in U.S. for same tasks </w:t>
            </w:r>
            <w:r>
              <w:rPr>
                <w:color w:val="C0392B"/>
                <w:sz w:val="16"/>
                <w:vertAlign w:val="superscript"/>
              </w:rPr>
              <w:t xml:space="preserve">[25]</w:t>
            </w:r>
            <w:r>
              <w:rPr>
                <w:color w:val="C0392B"/>
                <w:sz w:val="16"/>
                <w:vertAlign w:val="superscript"/>
              </w:rPr>
              <w:t xml:space="preserve">[26]</w:t>
            </w:r>
          </w:p>
        </w:tc>
        <w:tc>
          <w:tcPr>
            <w:tcW w:w="1000" w:type="dxa"/>
          </w:tcPr>
          <w:p>
            <w:pPr>
              <w:spacing w:before="40" w:after="40" w:line="240" w:lineRule="auto"/>
            </w:pPr>
            <w:r>
              <w:rPr>
                <w:color w:val="1A252F"/>
                <w:sz w:val="18"/>
              </w:rPr>
              <w:t xml:space="preserve">Country-level mass bans without notice; pay drops; platform bugs erasing work</w:t>
            </w:r>
          </w:p>
        </w:tc>
        <w:tc>
          <w:tcPr>
            <w:tcW w:w="1000" w:type="dxa"/>
          </w:tcPr>
          <w:p>
            <w:pPr>
              <w:spacing w:before="40" w:after="40" w:line="240" w:lineRule="auto"/>
            </w:pPr>
            <w:r>
              <w:rPr>
                <w:color w:val="1A252F"/>
                <w:sz w:val="18"/>
              </w:rPr>
              <w:t xml:space="preserve">Part of Scale AI DOL investigation (dropped); no individual suits filed </w:t>
            </w:r>
            <w:r>
              <w:rPr>
                <w:color w:val="C0392B"/>
                <w:sz w:val="16"/>
                <w:vertAlign w:val="superscript"/>
              </w:rPr>
              <w:t xml:space="preserve">[25]</w:t>
            </w:r>
          </w:p>
        </w:tc>
        <w:tc>
          <w:tcPr>
            <w:tcW w:w="1000" w:type="dxa"/>
          </w:tcPr>
          <w:p>
            <w:pPr>
              <w:spacing w:before="40" w:after="40" w:line="240" w:lineRule="auto"/>
            </w:pPr>
            <w:r>
              <w:rPr>
                <w:color w:val="1A252F"/>
                <w:sz w:val="18"/>
              </w:rPr>
              <w:t xml:space="preserve">Active; blocked workers in Nigeria, Kenya, Pakistan, Thailand, India, Poland, Vietnam</w:t>
            </w:r>
          </w:p>
        </w:tc>
        <w:tc>
          <w:tcPr>
            <w:tcW w:w="1000" w:type="dxa"/>
          </w:tcPr>
          <w:p>
            <w:pPr>
              <w:spacing w:before="40" w:after="40" w:line="240" w:lineRule="auto"/>
            </w:pPr>
            <w:r>
              <w:rPr>
                <w:color w:val="1A252F"/>
                <w:sz w:val="18"/>
              </w:rPr>
              <w:t xml:space="preserve">Thousands of workers across affected countries; exact figures unknown</w:t>
            </w:r>
          </w:p>
        </w:tc>
        <w:tc>
          <w:tcPr>
            <w:tcW w:w="1000" w:type="dxa"/>
          </w:tcPr>
          <w:p>
            <w:pPr>
              <w:spacing w:before="40" w:after="40" w:line="240" w:lineRule="auto"/>
            </w:pPr>
            <w:r>
              <w:rPr>
                <w:color w:val="1A252F"/>
                <w:sz w:val="18"/>
              </w:rPr>
              <w:t xml:space="preserve">Kenya, Venezuela, Pakistan, Philippines, India, Nigeria</w:t>
            </w:r>
          </w:p>
        </w:tc>
      </w:tr>
      <w:tr>
        <w:tc>
          <w:tcPr>
            <w:tcW w:w="1000" w:type="dxa"/>
          </w:tcPr>
          <w:p>
            <w:pPr>
              <w:spacing w:before="40" w:after="40" w:line="240" w:lineRule="auto"/>
            </w:pPr>
            <w:r>
              <w:rPr>
                <w:color w:val="1A252F"/>
                <w:sz w:val="18"/>
              </w:rPr>
              <w:t xml:space="preserve">Appen / RaterLabs</w:t>
            </w:r>
          </w:p>
        </w:tc>
        <w:tc>
          <w:tcPr>
            <w:tcW w:w="1000" w:type="dxa"/>
          </w:tcPr>
          <w:p>
            <w:pPr>
              <w:spacing w:before="40" w:after="40" w:line="240" w:lineRule="auto"/>
            </w:pPr>
            <w:r>
              <w:rPr>
                <w:color w:val="1A252F"/>
                <w:sz w:val="18"/>
              </w:rPr>
              <w:t xml:space="preserve">AI evaluation</w:t>
            </w:r>
          </w:p>
        </w:tc>
        <w:tc>
          <w:tcPr>
            <w:tcW w:w="1000" w:type="dxa"/>
          </w:tcPr>
          <w:p>
            <w:pPr>
              <w:spacing w:before="40" w:after="40" w:line="240" w:lineRule="auto"/>
            </w:pPr>
            <w:r>
              <w:rPr>
                <w:color w:val="1A252F"/>
                <w:sz w:val="18"/>
              </w:rPr>
              <w:t xml:space="preserve">Moderate-High — NLRB action, 0.6M workers globally</w:t>
            </w:r>
          </w:p>
        </w:tc>
        <w:tc>
          <w:tcPr>
            <w:tcW w:w="1000" w:type="dxa"/>
          </w:tcPr>
          <w:p>
            <w:pPr>
              <w:spacing w:before="40" w:after="40" w:line="240" w:lineRule="auto"/>
            </w:pPr>
            <w:r>
              <w:rPr>
                <w:color w:val="1A252F"/>
                <w:sz w:val="18"/>
              </w:rPr>
              <w:t xml:space="preserve">$14–$14.50/hr vs. Google's $15/hr contractor minimum </w:t>
            </w:r>
            <w:r>
              <w:rPr>
                <w:color w:val="C0392B"/>
                <w:sz w:val="16"/>
                <w:vertAlign w:val="superscript"/>
              </w:rPr>
              <w:t xml:space="preserve">[27]</w:t>
            </w:r>
            <w:r>
              <w:rPr>
                <w:color w:val="C0392B"/>
                <w:sz w:val="16"/>
                <w:vertAlign w:val="superscript"/>
              </w:rPr>
              <w:t xml:space="preserve">[28]</w:t>
            </w:r>
          </w:p>
        </w:tc>
        <w:tc>
          <w:tcPr>
            <w:tcW w:w="1000" w:type="dxa"/>
          </w:tcPr>
          <w:p>
            <w:pPr>
              <w:spacing w:before="40" w:after="40" w:line="240" w:lineRule="auto"/>
            </w:pPr>
            <w:r>
              <w:rPr>
                <w:color w:val="1A252F"/>
                <w:sz w:val="18"/>
              </w:rPr>
              <w:t xml:space="preserve">Retaliation for organizing; algorithmic termination based on hidden accuracy scores; hour cuts</w:t>
            </w:r>
          </w:p>
        </w:tc>
        <w:tc>
          <w:tcPr>
            <w:tcW w:w="1000" w:type="dxa"/>
          </w:tcPr>
          <w:p>
            <w:pPr>
              <w:spacing w:before="40" w:after="40" w:line="240" w:lineRule="auto"/>
            </w:pPr>
            <w:r>
              <w:rPr>
                <w:color w:val="1A252F"/>
                <w:sz w:val="18"/>
              </w:rPr>
              <w:t xml:space="preserve">NLRB ULP charges filed June 2023; workers reinstated with back pay </w:t>
            </w:r>
            <w:r>
              <w:rPr>
                <w:color w:val="C0392B"/>
                <w:sz w:val="16"/>
                <w:vertAlign w:val="superscript"/>
              </w:rPr>
              <w:t xml:space="preserve">[27]</w:t>
            </w:r>
            <w:r>
              <w:rPr>
                <w:color w:val="C0392B"/>
                <w:sz w:val="16"/>
                <w:vertAlign w:val="superscript"/>
              </w:rPr>
              <w:t xml:space="preserve">[28]</w:t>
            </w:r>
          </w:p>
        </w:tc>
        <w:tc>
          <w:tcPr>
            <w:tcW w:w="1000" w:type="dxa"/>
          </w:tcPr>
          <w:p>
            <w:pPr>
              <w:spacing w:before="40" w:after="40" w:line="240" w:lineRule="auto"/>
            </w:pPr>
            <w:r>
              <w:rPr>
                <w:color w:val="1A252F"/>
                <w:sz w:val="18"/>
              </w:rPr>
              <w:t xml:space="preserve">Active; workers reinstated; won first-ever pay raise to $14/hr Jan 2023</w:t>
            </w:r>
          </w:p>
        </w:tc>
        <w:tc>
          <w:tcPr>
            <w:tcW w:w="1000" w:type="dxa"/>
          </w:tcPr>
          <w:p>
            <w:pPr>
              <w:spacing w:before="40" w:after="40" w:line="240" w:lineRule="auto"/>
            </w:pPr>
            <w:r>
              <w:rPr>
                <w:color w:val="1A252F"/>
                <w:sz w:val="18"/>
              </w:rPr>
              <w:t xml:space="preserve">1,000,000+ remote workers globally; 6 raters directly involved in NLRB case</w:t>
            </w:r>
          </w:p>
        </w:tc>
        <w:tc>
          <w:tcPr>
            <w:tcW w:w="1000" w:type="dxa"/>
          </w:tcPr>
          <w:p>
            <w:pPr>
              <w:spacing w:before="40" w:after="40" w:line="240" w:lineRule="auto"/>
            </w:pPr>
            <w:r>
              <w:rPr>
                <w:color w:val="1A252F"/>
                <w:sz w:val="18"/>
              </w:rPr>
              <w:t xml:space="preserve">Global — strong presence in Philippines, U.S., Venezuela </w:t>
            </w:r>
            <w:r>
              <w:rPr>
                <w:color w:val="C0392B"/>
                <w:sz w:val="16"/>
                <w:vertAlign w:val="superscript"/>
              </w:rPr>
              <w:t xml:space="preserve">[40]</w:t>
            </w:r>
            <w:r>
              <w:rPr>
                <w:color w:val="C0392B"/>
                <w:sz w:val="16"/>
                <w:vertAlign w:val="superscript"/>
              </w:rPr>
              <w:t xml:space="preserve">[41]</w:t>
            </w:r>
          </w:p>
        </w:tc>
      </w:tr>
      <w:tr>
        <w:tc>
          <w:tcPr>
            <w:tcW w:w="1000" w:type="dxa"/>
          </w:tcPr>
          <w:p>
            <w:pPr>
              <w:spacing w:before="40" w:after="40" w:line="240" w:lineRule="auto"/>
            </w:pPr>
            <w:r>
              <w:rPr>
                <w:color w:val="1A252F"/>
                <w:sz w:val="18"/>
              </w:rPr>
              <w:t xml:space="preserve">Alignerr / Labelbox (Sindicato #001)</w:t>
            </w:r>
          </w:p>
        </w:tc>
        <w:tc>
          <w:tcPr>
            <w:tcW w:w="1000" w:type="dxa"/>
          </w:tcPr>
          <w:p>
            <w:pPr>
              <w:spacing w:before="40" w:after="40" w:line="240" w:lineRule="auto"/>
            </w:pPr>
            <w:r>
              <w:rPr>
                <w:color w:val="1A252F"/>
                <w:sz w:val="18"/>
              </w:rPr>
              <w:t xml:space="preserve">Data labeling</w:t>
            </w:r>
          </w:p>
        </w:tc>
        <w:tc>
          <w:tcPr>
            <w:tcW w:w="1000" w:type="dxa"/>
          </w:tcPr>
          <w:p>
            <w:pPr>
              <w:spacing w:before="40" w:after="40" w:line="240" w:lineRule="auto"/>
            </w:pPr>
            <w:r>
              <w:rPr>
                <w:color w:val="1A252F"/>
                <w:sz w:val="18"/>
              </w:rPr>
              <w:t xml:space="preserve">High — Sindicato case #001, Reddit documentation, Trustpilot</w:t>
            </w:r>
          </w:p>
        </w:tc>
        <w:tc>
          <w:tcPr>
            <w:tcW w:w="1000" w:type="dxa"/>
          </w:tcPr>
          <w:p>
            <w:pPr>
              <w:spacing w:before="40" w:after="40" w:line="240" w:lineRule="auto"/>
            </w:pPr>
            <w:r>
              <w:rPr>
                <w:color w:val="1A252F"/>
                <w:sz w:val="18"/>
              </w:rPr>
              <w:t xml:space="preserve">Workers owed $800–$3,000+ per individual; pattern could exceed $1M aggregate </w:t>
            </w:r>
            <w:r>
              <w:rPr>
                <w:color w:val="C0392B"/>
                <w:sz w:val="16"/>
                <w:vertAlign w:val="superscript"/>
              </w:rPr>
              <w:t xml:space="preserve">[34]</w:t>
            </w:r>
            <w:r>
              <w:rPr>
                <w:color w:val="C0392B"/>
                <w:sz w:val="16"/>
                <w:vertAlign w:val="superscript"/>
              </w:rPr>
              <w:t xml:space="preserve">[35]</w:t>
            </w:r>
          </w:p>
        </w:tc>
        <w:tc>
          <w:tcPr>
            <w:tcW w:w="1000" w:type="dxa"/>
          </w:tcPr>
          <w:p>
            <w:pPr>
              <w:spacing w:before="40" w:after="40" w:line="240" w:lineRule="auto"/>
            </w:pPr>
            <w:r>
              <w:rPr>
                <w:color w:val="1A252F"/>
                <w:sz w:val="18"/>
              </w:rPr>
              <w:t xml:space="preserve">Systematic deactivation before payment; unpaid evaluation projects used as production data</w:t>
            </w:r>
          </w:p>
        </w:tc>
        <w:tc>
          <w:tcPr>
            <w:tcW w:w="1000" w:type="dxa"/>
          </w:tcPr>
          <w:p>
            <w:pPr>
              <w:spacing w:before="40" w:after="40" w:line="240" w:lineRule="auto"/>
            </w:pPr>
            <w:r>
              <w:rPr>
                <w:color w:val="1A252F"/>
                <w:sz w:val="18"/>
              </w:rPr>
              <w:t xml:space="preserve">No formal lawsuit; class action being organized; Sindicato case #001 filed </w:t>
            </w:r>
            <w:r>
              <w:rPr>
                <w:color w:val="C0392B"/>
                <w:sz w:val="16"/>
                <w:vertAlign w:val="superscript"/>
              </w:rPr>
              <w:t xml:space="preserve">[34]</w:t>
            </w:r>
          </w:p>
        </w:tc>
        <w:tc>
          <w:tcPr>
            <w:tcW w:w="1000" w:type="dxa"/>
          </w:tcPr>
          <w:p>
            <w:pPr>
              <w:spacing w:before="40" w:after="40" w:line="240" w:lineRule="auto"/>
            </w:pPr>
            <w:r>
              <w:rPr>
                <w:color w:val="1A252F"/>
                <w:sz w:val="18"/>
              </w:rPr>
              <w:t xml:space="preserve">Active; hiring continues; workers report ongoing non-payment pattern</w:t>
            </w:r>
          </w:p>
        </w:tc>
        <w:tc>
          <w:tcPr>
            <w:tcW w:w="1000" w:type="dxa"/>
          </w:tcPr>
          <w:p>
            <w:pPr>
              <w:spacing w:before="40" w:after="40" w:line="240" w:lineRule="auto"/>
            </w:pPr>
            <w:r>
              <w:rPr>
                <w:color w:val="1A252F"/>
                <w:sz w:val="18"/>
              </w:rPr>
              <w:t xml:space="preserve">Hundreds documented; potentially thousands globally</w:t>
            </w:r>
          </w:p>
        </w:tc>
        <w:tc>
          <w:tcPr>
            <w:tcW w:w="1000" w:type="dxa"/>
          </w:tcPr>
          <w:p>
            <w:pPr>
              <w:spacing w:before="40" w:after="40" w:line="240" w:lineRule="auto"/>
            </w:pPr>
            <w:r>
              <w:rPr>
                <w:color w:val="1A252F"/>
                <w:sz w:val="18"/>
              </w:rPr>
              <w:t xml:space="preserve">U.S., Canada, Philippines, India, Brazil, Eastern Europe</w:t>
            </w:r>
          </w:p>
        </w:tc>
      </w:tr>
      <w:tr>
        <w:tc>
          <w:tcPr>
            <w:tcW w:w="1000" w:type="dxa"/>
          </w:tcPr>
          <w:p>
            <w:pPr>
              <w:spacing w:before="40" w:after="40" w:line="240" w:lineRule="auto"/>
            </w:pPr>
            <w:r>
              <w:rPr>
                <w:color w:val="1A252F"/>
                <w:sz w:val="18"/>
              </w:rPr>
              <w:t xml:space="preserve">Hive Micro</w:t>
            </w:r>
          </w:p>
        </w:tc>
        <w:tc>
          <w:tcPr>
            <w:tcW w:w="1000" w:type="dxa"/>
          </w:tcPr>
          <w:p>
            <w:pPr>
              <w:spacing w:before="40" w:after="40" w:line="240" w:lineRule="auto"/>
            </w:pPr>
            <w:r>
              <w:rPr>
                <w:color w:val="1A252F"/>
                <w:sz w:val="18"/>
              </w:rPr>
              <w:t xml:space="preserve">Microwork</w:t>
            </w:r>
          </w:p>
        </w:tc>
        <w:tc>
          <w:tcPr>
            <w:tcW w:w="1000" w:type="dxa"/>
          </w:tcPr>
          <w:p>
            <w:pPr>
              <w:spacing w:before="40" w:after="40" w:line="240" w:lineRule="auto"/>
            </w:pPr>
            <w:r>
              <w:rPr>
                <w:color w:val="1A252F"/>
                <w:sz w:val="18"/>
              </w:rPr>
              <w:t xml:space="preserve">Moderate — Trustpilot pattern documentation</w:t>
            </w:r>
          </w:p>
        </w:tc>
        <w:tc>
          <w:tcPr>
            <w:tcW w:w="1000" w:type="dxa"/>
          </w:tcPr>
          <w:p>
            <w:pPr>
              <w:spacing w:before="40" w:after="40" w:line="240" w:lineRule="auto"/>
            </w:pPr>
            <w:r>
              <w:rPr>
                <w:color w:val="1A252F"/>
                <w:sz w:val="18"/>
              </w:rPr>
              <w:t xml:space="preserve">$0.25–$2.80 per 1,000 tasks; fractions of pennies per task </w:t>
            </w:r>
            <w:r>
              <w:rPr>
                <w:color w:val="C0392B"/>
                <w:sz w:val="16"/>
                <w:vertAlign w:val="superscript"/>
              </w:rPr>
              <w:t xml:space="preserve">[32]</w:t>
            </w:r>
          </w:p>
        </w:tc>
        <w:tc>
          <w:tcPr>
            <w:tcW w:w="1000" w:type="dxa"/>
          </w:tcPr>
          <w:p>
            <w:pPr>
              <w:spacing w:before="40" w:after="40" w:line="240" w:lineRule="auto"/>
            </w:pPr>
            <w:r>
              <w:rPr>
                <w:color w:val="1A252F"/>
                <w:sz w:val="18"/>
              </w:rPr>
              <w:t xml:space="preserve">Account blacklisting once earnings accumulate; no transparency on bans</w:t>
            </w:r>
          </w:p>
        </w:tc>
        <w:tc>
          <w:tcPr>
            <w:tcW w:w="1000" w:type="dxa"/>
          </w:tcPr>
          <w:p>
            <w:pPr>
              <w:spacing w:before="40" w:after="40" w:line="240" w:lineRule="auto"/>
            </w:pPr>
            <w:r>
              <w:rPr>
                <w:color w:val="1A252F"/>
                <w:sz w:val="18"/>
              </w:rPr>
              <w:t xml:space="preserve">None</w:t>
            </w:r>
          </w:p>
        </w:tc>
        <w:tc>
          <w:tcPr>
            <w:tcW w:w="1000" w:type="dxa"/>
          </w:tcPr>
          <w:p>
            <w:pPr>
              <w:spacing w:before="40" w:after="40" w:line="240" w:lineRule="auto"/>
            </w:pPr>
            <w:r>
              <w:rPr>
                <w:color w:val="1A252F"/>
                <w:sz w:val="18"/>
              </w:rPr>
              <w:t xml:space="preserve">Active; no regulatory action</w:t>
            </w:r>
          </w:p>
        </w:tc>
        <w:tc>
          <w:tcPr>
            <w:tcW w:w="1000" w:type="dxa"/>
          </w:tcPr>
          <w:p>
            <w:pPr>
              <w:spacing w:before="40" w:after="40" w:line="240" w:lineRule="auto"/>
            </w:pPr>
            <w:r>
              <w:rPr>
                <w:color w:val="1A252F"/>
                <w:sz w:val="18"/>
              </w:rPr>
              <w:t xml:space="preserve">Unknown; thousands based on platform scale</w:t>
            </w:r>
          </w:p>
        </w:tc>
        <w:tc>
          <w:tcPr>
            <w:tcW w:w="1000" w:type="dxa"/>
          </w:tcPr>
          <w:p>
            <w:pPr>
              <w:spacing w:before="40" w:after="40" w:line="240" w:lineRule="auto"/>
            </w:pPr>
            <w:r>
              <w:rPr>
                <w:color w:val="1A252F"/>
                <w:sz w:val="18"/>
              </w:rPr>
              <w:t xml:space="preserve">Global</w:t>
            </w:r>
          </w:p>
        </w:tc>
      </w:tr>
      <w:tr>
        <w:tc>
          <w:tcPr>
            <w:tcW w:w="1000" w:type="dxa"/>
          </w:tcPr>
          <w:p>
            <w:pPr>
              <w:spacing w:before="40" w:after="40" w:line="240" w:lineRule="auto"/>
            </w:pPr>
            <w:r>
              <w:rPr>
                <w:color w:val="1A252F"/>
                <w:sz w:val="18"/>
              </w:rPr>
              <w:t xml:space="preserve">Clickworker</w:t>
            </w:r>
          </w:p>
        </w:tc>
        <w:tc>
          <w:tcPr>
            <w:tcW w:w="1000" w:type="dxa"/>
          </w:tcPr>
          <w:p>
            <w:pPr>
              <w:spacing w:before="40" w:after="40" w:line="240" w:lineRule="auto"/>
            </w:pPr>
            <w:r>
              <w:rPr>
                <w:color w:val="1A252F"/>
                <w:sz w:val="18"/>
              </w:rPr>
              <w:t xml:space="preserve">Microwork</w:t>
            </w:r>
          </w:p>
        </w:tc>
        <w:tc>
          <w:tcPr>
            <w:tcW w:w="1000" w:type="dxa"/>
          </w:tcPr>
          <w:p>
            <w:pPr>
              <w:spacing w:before="40" w:after="40" w:line="240" w:lineRule="auto"/>
            </w:pPr>
            <w:r>
              <w:rPr>
                <w:color w:val="1A252F"/>
                <w:sz w:val="18"/>
              </w:rPr>
              <w:t xml:space="preserve">Moderate — rejection complaints, 1/10 Fairwork score</w:t>
            </w:r>
          </w:p>
        </w:tc>
        <w:tc>
          <w:tcPr>
            <w:tcW w:w="1000" w:type="dxa"/>
          </w:tcPr>
          <w:p>
            <w:pPr>
              <w:spacing w:before="40" w:after="40" w:line="240" w:lineRule="auto"/>
            </w:pPr>
            <w:r>
              <w:rPr>
                <w:color w:val="1A252F"/>
                <w:sz w:val="18"/>
              </w:rPr>
              <w:t xml:space="preserve">$2–$10/hr typical; $0.01–$1/task </w:t>
            </w:r>
            <w:r>
              <w:rPr>
                <w:color w:val="C0392B"/>
                <w:sz w:val="16"/>
                <w:vertAlign w:val="superscript"/>
              </w:rPr>
              <w:t xml:space="preserve">[31]</w:t>
            </w:r>
          </w:p>
        </w:tc>
        <w:tc>
          <w:tcPr>
            <w:tcW w:w="1000" w:type="dxa"/>
          </w:tcPr>
          <w:p>
            <w:pPr>
              <w:spacing w:before="40" w:after="40" w:line="240" w:lineRule="auto"/>
            </w:pPr>
            <w:r>
              <w:rPr>
                <w:color w:val="1A252F"/>
                <w:sz w:val="18"/>
              </w:rPr>
              <w:t xml:space="preserve">Work rejection without explanation; disqualification from tasks; low piece rates</w:t>
            </w:r>
          </w:p>
        </w:tc>
        <w:tc>
          <w:tcPr>
            <w:tcW w:w="1000" w:type="dxa"/>
          </w:tcPr>
          <w:p>
            <w:pPr>
              <w:spacing w:before="40" w:after="40" w:line="240" w:lineRule="auto"/>
            </w:pPr>
            <w:r>
              <w:rPr>
                <w:color w:val="1A252F"/>
                <w:sz w:val="18"/>
              </w:rPr>
              <w:t xml:space="preserve">None</w:t>
            </w:r>
          </w:p>
        </w:tc>
        <w:tc>
          <w:tcPr>
            <w:tcW w:w="1000" w:type="dxa"/>
          </w:tcPr>
          <w:p>
            <w:pPr>
              <w:spacing w:before="40" w:after="40" w:line="240" w:lineRule="auto"/>
            </w:pPr>
            <w:r>
              <w:rPr>
                <w:color w:val="1A252F"/>
                <w:sz w:val="18"/>
              </w:rPr>
              <w:t xml:space="preserve">Active</w:t>
            </w:r>
          </w:p>
        </w:tc>
        <w:tc>
          <w:tcPr>
            <w:tcW w:w="1000" w:type="dxa"/>
          </w:tcPr>
          <w:p>
            <w:pPr>
              <w:spacing w:before="40" w:after="40" w:line="240" w:lineRule="auto"/>
            </w:pPr>
            <w:r>
              <w:rPr>
                <w:color w:val="1A252F"/>
                <w:sz w:val="18"/>
              </w:rPr>
              <w:t xml:space="preserve">Hundreds of thousands registered globally</w:t>
            </w:r>
          </w:p>
        </w:tc>
        <w:tc>
          <w:tcPr>
            <w:tcW w:w="1000" w:type="dxa"/>
          </w:tcPr>
          <w:p>
            <w:pPr>
              <w:spacing w:before="40" w:after="40" w:line="240" w:lineRule="auto"/>
            </w:pPr>
            <w:r>
              <w:rPr>
                <w:color w:val="1A252F"/>
                <w:sz w:val="18"/>
              </w:rPr>
              <w:t xml:space="preserve">Europe-based; global workforce</w:t>
            </w:r>
          </w:p>
        </w:tc>
      </w:tr>
      <w:tr>
        <w:tc>
          <w:tcPr>
            <w:tcW w:w="1000" w:type="dxa"/>
          </w:tcPr>
          <w:p>
            <w:pPr>
              <w:spacing w:before="40" w:after="40" w:line="240" w:lineRule="auto"/>
            </w:pPr>
            <w:r>
              <w:rPr>
                <w:color w:val="1A252F"/>
                <w:sz w:val="18"/>
              </w:rPr>
              <w:t xml:space="preserve">Toloka</w:t>
            </w:r>
          </w:p>
        </w:tc>
        <w:tc>
          <w:tcPr>
            <w:tcW w:w="1000" w:type="dxa"/>
          </w:tcPr>
          <w:p>
            <w:pPr>
              <w:spacing w:before="40" w:after="40" w:line="240" w:lineRule="auto"/>
            </w:pPr>
            <w:r>
              <w:rPr>
                <w:color w:val="1A252F"/>
                <w:sz w:val="18"/>
              </w:rPr>
              <w:t xml:space="preserve">Microwork</w:t>
            </w:r>
          </w:p>
        </w:tc>
        <w:tc>
          <w:tcPr>
            <w:tcW w:w="1000" w:type="dxa"/>
          </w:tcPr>
          <w:p>
            <w:pPr>
              <w:spacing w:before="40" w:after="40" w:line="240" w:lineRule="auto"/>
            </w:pPr>
            <w:r>
              <w:rPr>
                <w:color w:val="1A252F"/>
                <w:sz w:val="18"/>
              </w:rPr>
              <w:t xml:space="preserve">Low-Moderate — below-minimum rates</w:t>
            </w:r>
          </w:p>
        </w:tc>
        <w:tc>
          <w:tcPr>
            <w:tcW w:w="1000" w:type="dxa"/>
          </w:tcPr>
          <w:p>
            <w:pPr>
              <w:spacing w:before="40" w:after="40" w:line="240" w:lineRule="auto"/>
            </w:pPr>
            <w:r>
              <w:rPr>
                <w:color w:val="1A252F"/>
                <w:sz w:val="18"/>
              </w:rPr>
              <w:t xml:space="preserve">Mostly below $3–$4/hr; $0.01–$1/task </w:t>
            </w:r>
            <w:r>
              <w:rPr>
                <w:color w:val="C0392B"/>
                <w:sz w:val="16"/>
                <w:vertAlign w:val="superscript"/>
              </w:rPr>
              <w:t xml:space="preserve">[30]</w:t>
            </w:r>
          </w:p>
        </w:tc>
        <w:tc>
          <w:tcPr>
            <w:tcW w:w="1000" w:type="dxa"/>
          </w:tcPr>
          <w:p>
            <w:pPr>
              <w:spacing w:before="40" w:after="40" w:line="240" w:lineRule="auto"/>
            </w:pPr>
            <w:r>
              <w:rPr>
                <w:color w:val="1A252F"/>
                <w:sz w:val="18"/>
              </w:rPr>
              <w:t xml:space="preserve">Sub-minimum pay per task; withdrawal fee issues on sketchy platforms</w:t>
            </w:r>
          </w:p>
        </w:tc>
        <w:tc>
          <w:tcPr>
            <w:tcW w:w="1000" w:type="dxa"/>
          </w:tcPr>
          <w:p>
            <w:pPr>
              <w:spacing w:before="40" w:after="40" w:line="240" w:lineRule="auto"/>
            </w:pPr>
            <w:r>
              <w:rPr>
                <w:color w:val="1A252F"/>
                <w:sz w:val="18"/>
              </w:rPr>
              <w:t xml:space="preserve">None</w:t>
            </w:r>
          </w:p>
        </w:tc>
        <w:tc>
          <w:tcPr>
            <w:tcW w:w="1000" w:type="dxa"/>
          </w:tcPr>
          <w:p>
            <w:pPr>
              <w:spacing w:before="40" w:after="40" w:line="240" w:lineRule="auto"/>
            </w:pPr>
            <w:r>
              <w:rPr>
                <w:color w:val="1A252F"/>
                <w:sz w:val="18"/>
              </w:rPr>
              <w:t xml:space="preserve">Active</w:t>
            </w:r>
          </w:p>
        </w:tc>
        <w:tc>
          <w:tcPr>
            <w:tcW w:w="1000" w:type="dxa"/>
          </w:tcPr>
          <w:p>
            <w:pPr>
              <w:spacing w:before="40" w:after="40" w:line="240" w:lineRule="auto"/>
            </w:pPr>
            <w:r>
              <w:rPr>
                <w:color w:val="1A252F"/>
                <w:sz w:val="18"/>
              </w:rPr>
              <w:t xml:space="preserve">Thousands</w:t>
            </w:r>
          </w:p>
        </w:tc>
        <w:tc>
          <w:tcPr>
            <w:tcW w:w="1000" w:type="dxa"/>
          </w:tcPr>
          <w:p>
            <w:pPr>
              <w:spacing w:before="40" w:after="40" w:line="240" w:lineRule="auto"/>
            </w:pPr>
            <w:r>
              <w:rPr>
                <w:color w:val="1A252F"/>
                <w:sz w:val="18"/>
              </w:rPr>
              <w:t xml:space="preserve">Global; Russian-origin platform</w:t>
            </w:r>
          </w:p>
        </w:tc>
      </w:tr>
      <w:tr>
        <w:tc>
          <w:tcPr>
            <w:tcW w:w="1000" w:type="dxa"/>
          </w:tcPr>
          <w:p>
            <w:pPr>
              <w:spacing w:before="40" w:after="40" w:line="240" w:lineRule="auto"/>
            </w:pPr>
            <w:r>
              <w:rPr>
                <w:color w:val="1A252F"/>
                <w:sz w:val="18"/>
              </w:rPr>
              <w:t xml:space="preserve">Prolific</w:t>
            </w:r>
          </w:p>
        </w:tc>
        <w:tc>
          <w:tcPr>
            <w:tcW w:w="1000" w:type="dxa"/>
          </w:tcPr>
          <w:p>
            <w:pPr>
              <w:spacing w:before="40" w:after="40" w:line="240" w:lineRule="auto"/>
            </w:pPr>
            <w:r>
              <w:rPr>
                <w:color w:val="1A252F"/>
                <w:sz w:val="18"/>
              </w:rPr>
              <w:t xml:space="preserve">Research surveys</w:t>
            </w:r>
          </w:p>
        </w:tc>
        <w:tc>
          <w:tcPr>
            <w:tcW w:w="1000" w:type="dxa"/>
          </w:tcPr>
          <w:p>
            <w:pPr>
              <w:spacing w:before="40" w:after="40" w:line="240" w:lineRule="auto"/>
            </w:pPr>
            <w:r>
              <w:rPr>
                <w:color w:val="1A252F"/>
                <w:sz w:val="18"/>
              </w:rPr>
              <w:t xml:space="preserve">Low — positioned as "ethical alternative"</w:t>
            </w:r>
          </w:p>
        </w:tc>
        <w:tc>
          <w:tcPr>
            <w:tcW w:w="1000" w:type="dxa"/>
          </w:tcPr>
          <w:p>
            <w:pPr>
              <w:spacing w:before="40" w:after="40" w:line="240" w:lineRule="auto"/>
            </w:pPr>
            <w:r>
              <w:rPr>
                <w:color w:val="1A252F"/>
                <w:sz w:val="18"/>
              </w:rPr>
              <w:t xml:space="preserve">Higher than MTurk; specific rates platform-dependent </w:t>
            </w:r>
            <w:r>
              <w:rPr>
                <w:color w:val="C0392B"/>
                <w:sz w:val="16"/>
                <w:vertAlign w:val="superscript"/>
              </w:rPr>
              <w:t xml:space="preserve">[33]</w:t>
            </w:r>
          </w:p>
        </w:tc>
        <w:tc>
          <w:tcPr>
            <w:tcW w:w="1000" w:type="dxa"/>
          </w:tcPr>
          <w:p>
            <w:pPr>
              <w:spacing w:before="40" w:after="40" w:line="240" w:lineRule="auto"/>
            </w:pPr>
            <w:r>
              <w:rPr>
                <w:color w:val="1A252F"/>
                <w:sz w:val="18"/>
              </w:rPr>
              <w:t xml:space="preserve">Limited complaints relative to sector; vetting rejects ~65% of applicants</w:t>
            </w:r>
          </w:p>
        </w:tc>
        <w:tc>
          <w:tcPr>
            <w:tcW w:w="1000" w:type="dxa"/>
          </w:tcPr>
          <w:p>
            <w:pPr>
              <w:spacing w:before="40" w:after="40" w:line="240" w:lineRule="auto"/>
            </w:pPr>
            <w:r>
              <w:rPr>
                <w:color w:val="1A252F"/>
                <w:sz w:val="18"/>
              </w:rPr>
              <w:t xml:space="preserve">None</w:t>
            </w:r>
          </w:p>
        </w:tc>
        <w:tc>
          <w:tcPr>
            <w:tcW w:w="1000" w:type="dxa"/>
          </w:tcPr>
          <w:p>
            <w:pPr>
              <w:spacing w:before="40" w:after="40" w:line="240" w:lineRule="auto"/>
            </w:pPr>
            <w:r>
              <w:rPr>
                <w:color w:val="1A252F"/>
                <w:sz w:val="18"/>
              </w:rPr>
              <w:t xml:space="preserve">Active; ~35,000 vetted participants</w:t>
            </w:r>
          </w:p>
        </w:tc>
        <w:tc>
          <w:tcPr>
            <w:tcW w:w="1000" w:type="dxa"/>
          </w:tcPr>
          <w:p>
            <w:pPr>
              <w:spacing w:before="40" w:after="40" w:line="240" w:lineRule="auto"/>
            </w:pPr>
            <w:r>
              <w:rPr>
                <w:color w:val="1A252F"/>
                <w:sz w:val="18"/>
              </w:rPr>
              <w:t xml:space="preserve">35,000 vetted participants</w:t>
            </w:r>
          </w:p>
        </w:tc>
        <w:tc>
          <w:tcPr>
            <w:tcW w:w="1000" w:type="dxa"/>
          </w:tcPr>
          <w:p>
            <w:pPr>
              <w:spacing w:before="40" w:after="40" w:line="240" w:lineRule="auto"/>
            </w:pPr>
            <w:r>
              <w:rPr>
                <w:color w:val="1A252F"/>
                <w:sz w:val="18"/>
              </w:rPr>
              <w:t xml:space="preserve">Primarily Western countries</w:t>
            </w:r>
          </w:p>
        </w:tc>
      </w:tr>
      <w:tr>
        <w:tc>
          <w:tcPr>
            <w:tcW w:w="1000" w:type="dxa"/>
          </w:tcPr>
          <w:p>
            <w:pPr>
              <w:spacing w:before="40" w:after="40" w:line="240" w:lineRule="auto"/>
            </w:pPr>
            <w:r>
              <w:rPr>
                <w:color w:val="1A252F"/>
                <w:sz w:val="18"/>
              </w:rPr>
              <w:t xml:space="preserve">Lionbridge / TELUS International</w:t>
            </w:r>
          </w:p>
        </w:tc>
        <w:tc>
          <w:tcPr>
            <w:tcW w:w="1000" w:type="dxa"/>
          </w:tcPr>
          <w:p>
            <w:pPr>
              <w:spacing w:before="40" w:after="40" w:line="240" w:lineRule="auto"/>
            </w:pPr>
            <w:r>
              <w:rPr>
                <w:color w:val="1A252F"/>
                <w:sz w:val="18"/>
              </w:rPr>
              <w:t xml:space="preserve">AI evaluation</w:t>
            </w:r>
          </w:p>
        </w:tc>
        <w:tc>
          <w:tcPr>
            <w:tcW w:w="1000" w:type="dxa"/>
          </w:tcPr>
          <w:p>
            <w:pPr>
              <w:spacing w:before="40" w:after="40" w:line="240" w:lineRule="auto"/>
            </w:pPr>
            <w:r>
              <w:rPr>
                <w:color w:val="1A252F"/>
                <w:sz w:val="18"/>
              </w:rPr>
              <w:t xml:space="preserve">Moderate — acquisition-related hour cuts, pay stagnation</w:t>
            </w:r>
          </w:p>
        </w:tc>
        <w:tc>
          <w:tcPr>
            <w:tcW w:w="1000" w:type="dxa"/>
          </w:tcPr>
          <w:p>
            <w:pPr>
              <w:spacing w:before="40" w:after="40" w:line="240" w:lineRule="auto"/>
            </w:pPr>
            <w:r>
              <w:rPr>
                <w:color w:val="1A252F"/>
                <w:sz w:val="18"/>
              </w:rPr>
              <w:t xml:space="preserve">Below-sector rates for language-specialized work</w:t>
            </w:r>
          </w:p>
        </w:tc>
        <w:tc>
          <w:tcPr>
            <w:tcW w:w="1000" w:type="dxa"/>
          </w:tcPr>
          <w:p>
            <w:pPr>
              <w:spacing w:before="40" w:after="40" w:line="240" w:lineRule="auto"/>
            </w:pPr>
            <w:r>
              <w:rPr>
                <w:color w:val="1A252F"/>
                <w:sz w:val="18"/>
              </w:rPr>
              <w:t xml:space="preserve">Hour reductions post-acquisition; project instability</w:t>
            </w:r>
          </w:p>
        </w:tc>
        <w:tc>
          <w:tcPr>
            <w:tcW w:w="1000" w:type="dxa"/>
          </w:tcPr>
          <w:p>
            <w:pPr>
              <w:spacing w:before="40" w:after="40" w:line="240" w:lineRule="auto"/>
            </w:pPr>
            <w:r>
              <w:rPr>
                <w:color w:val="1A252F"/>
                <w:sz w:val="18"/>
              </w:rPr>
              <w:t xml:space="preserve">None recently</w:t>
            </w:r>
          </w:p>
        </w:tc>
        <w:tc>
          <w:tcPr>
            <w:tcW w:w="1000" w:type="dxa"/>
          </w:tcPr>
          <w:p>
            <w:pPr>
              <w:spacing w:before="40" w:after="40" w:line="240" w:lineRule="auto"/>
            </w:pPr>
            <w:r>
              <w:rPr>
                <w:color w:val="1A252F"/>
                <w:sz w:val="18"/>
              </w:rPr>
              <w:t xml:space="preserve">Active; restructured after acquisitions</w:t>
            </w:r>
          </w:p>
        </w:tc>
        <w:tc>
          <w:tcPr>
            <w:tcW w:w="1000" w:type="dxa"/>
          </w:tcPr>
          <w:p>
            <w:pPr>
              <w:spacing w:before="40" w:after="40" w:line="240" w:lineRule="auto"/>
            </w:pPr>
            <w:r>
              <w:rPr>
                <w:color w:val="1A252F"/>
                <w:sz w:val="18"/>
              </w:rPr>
              <w:t xml:space="preserve">Tens of thousands globally</w:t>
            </w:r>
          </w:p>
        </w:tc>
        <w:tc>
          <w:tcPr>
            <w:tcW w:w="1000" w:type="dxa"/>
          </w:tcPr>
          <w:p>
            <w:pPr>
              <w:spacing w:before="40" w:after="40" w:line="240" w:lineRule="auto"/>
            </w:pPr>
            <w:r>
              <w:rPr>
                <w:color w:val="1A252F"/>
                <w:sz w:val="18"/>
              </w:rPr>
              <w:t xml:space="preserve">Global</w:t>
            </w:r>
          </w:p>
        </w:tc>
      </w:tr>
      <w:tr>
        <w:tc>
          <w:tcPr>
            <w:tcW w:w="1000" w:type="dxa"/>
          </w:tcPr>
          <w:p>
            <w:pPr>
              <w:spacing w:before="40" w:after="40" w:line="240" w:lineRule="auto"/>
            </w:pPr>
            <w:r>
              <w:rPr>
                <w:color w:val="1A252F"/>
                <w:sz w:val="18"/>
              </w:rPr>
              <w:t xml:space="preserve">iMerit</w:t>
            </w:r>
          </w:p>
        </w:tc>
        <w:tc>
          <w:tcPr>
            <w:tcW w:w="1000" w:type="dxa"/>
          </w:tcPr>
          <w:p>
            <w:pPr>
              <w:spacing w:before="40" w:after="40" w:line="240" w:lineRule="auto"/>
            </w:pPr>
            <w:r>
              <w:rPr>
                <w:color w:val="1A252F"/>
                <w:sz w:val="18"/>
              </w:rPr>
              <w:t xml:space="preserve">Data annotation</w:t>
            </w:r>
          </w:p>
        </w:tc>
        <w:tc>
          <w:tcPr>
            <w:tcW w:w="1000" w:type="dxa"/>
          </w:tcPr>
          <w:p>
            <w:pPr>
              <w:spacing w:before="40" w:after="40" w:line="240" w:lineRule="auto"/>
            </w:pPr>
            <w:r>
              <w:rPr>
                <w:color w:val="1A252F"/>
                <w:sz w:val="18"/>
              </w:rPr>
              <w:t xml:space="preserve">Moderate — Indian-based, below-living-wage reports</w:t>
            </w:r>
          </w:p>
        </w:tc>
        <w:tc>
          <w:tcPr>
            <w:tcW w:w="1000" w:type="dxa"/>
          </w:tcPr>
          <w:p>
            <w:pPr>
              <w:spacing w:before="40" w:after="40" w:line="240" w:lineRule="auto"/>
            </w:pPr>
            <w:r>
              <w:rPr>
                <w:color w:val="1A252F"/>
                <w:sz w:val="18"/>
              </w:rPr>
              <w:t xml:space="preserve">Below living wage for Indian workers despite skilled annotation work</w:t>
            </w:r>
          </w:p>
        </w:tc>
        <w:tc>
          <w:tcPr>
            <w:tcW w:w="1000" w:type="dxa"/>
          </w:tcPr>
          <w:p>
            <w:pPr>
              <w:spacing w:before="40" w:after="40" w:line="240" w:lineRule="auto"/>
            </w:pPr>
            <w:r>
              <w:rPr>
                <w:color w:val="1A252F"/>
                <w:sz w:val="18"/>
              </w:rPr>
              <w:t xml:space="preserve">Low pay for specialized tasks (medical imaging, autonomous vehicle data)</w:t>
            </w:r>
          </w:p>
        </w:tc>
        <w:tc>
          <w:tcPr>
            <w:tcW w:w="1000" w:type="dxa"/>
          </w:tcPr>
          <w:p>
            <w:pPr>
              <w:spacing w:before="40" w:after="40" w:line="240" w:lineRule="auto"/>
            </w:pPr>
            <w:r>
              <w:rPr>
                <w:color w:val="1A252F"/>
                <w:sz w:val="18"/>
              </w:rPr>
              <w:t xml:space="preserve">None</w:t>
            </w:r>
          </w:p>
        </w:tc>
        <w:tc>
          <w:tcPr>
            <w:tcW w:w="1000" w:type="dxa"/>
          </w:tcPr>
          <w:p>
            <w:pPr>
              <w:spacing w:before="40" w:after="40" w:line="240" w:lineRule="auto"/>
            </w:pPr>
            <w:r>
              <w:rPr>
                <w:color w:val="1A252F"/>
                <w:sz w:val="18"/>
              </w:rPr>
              <w:t xml:space="preserve">Active</w:t>
            </w:r>
          </w:p>
        </w:tc>
        <w:tc>
          <w:tcPr>
            <w:tcW w:w="1000" w:type="dxa"/>
          </w:tcPr>
          <w:p>
            <w:pPr>
              <w:spacing w:before="40" w:after="40" w:line="240" w:lineRule="auto"/>
            </w:pPr>
            <w:r>
              <w:rPr>
                <w:color w:val="1A252F"/>
                <w:sz w:val="18"/>
              </w:rPr>
              <w:t xml:space="preserve">Thousands in India</w:t>
            </w:r>
          </w:p>
        </w:tc>
        <w:tc>
          <w:tcPr>
            <w:tcW w:w="1000" w:type="dxa"/>
          </w:tcPr>
          <w:p>
            <w:pPr>
              <w:spacing w:before="40" w:after="40" w:line="240" w:lineRule="auto"/>
            </w:pPr>
            <w:r>
              <w:rPr>
                <w:color w:val="1A252F"/>
                <w:sz w:val="18"/>
              </w:rPr>
              <w:t xml:space="preserve">India (primary), U.S.</w:t>
            </w:r>
          </w:p>
        </w:tc>
      </w:tr>
    </w:tbl>
    <w:p>
      <w:pPr>
        <w:spacing w:after="200"/>
      </w:pPr>
    </w:p>
    <w:p>
      <w:pPr>
        <w:spacing w:after="160" w:line="300" w:lineRule="auto"/>
      </w:pPr>
      <w:r>
        <w:rPr>
          <w:color w:val="1A252F"/>
          <w:sz w:val="22"/>
        </w:rPr>
        <w:t xml:space="preserve">The AI data labeling sector stands apart from other gig categories in one critical dimension: the combination of psychological harm with financial exploitation. Sama workers in Kenya were paid $1.32–$2/hour to label textual descriptions of sexual abuse, hate speech, and violence for ChatGPT training — content so extreme that moderators fainted, vomited, and ran from their desks </w:t>
      </w:r>
      <w:r>
        <w:rPr>
          <w:color w:val="C0392B"/>
          <w:sz w:val="16"/>
          <w:vertAlign w:val="superscript"/>
        </w:rPr>
        <w:t xml:space="preserve">[12]</w:t>
      </w:r>
      <w:r>
        <w:rPr>
          <w:color w:val="C0392B"/>
          <w:sz w:val="16"/>
          <w:vertAlign w:val="superscript"/>
        </w:rPr>
        <w:t xml:space="preserve">[15]</w:t>
      </w:r>
      <w:r>
        <w:rPr>
          <w:color w:val="1A252F"/>
          <w:sz w:val="22"/>
        </w:rPr>
        <w:t xml:space="preserve">. Dr. Ian Kanyanya at Kenyatta National Hospital diagnosed 81% of 144 examined Sama moderators with severe or extremely severe PTSD </w:t>
      </w:r>
      <w:r>
        <w:rPr>
          <w:color w:val="C0392B"/>
          <w:sz w:val="16"/>
          <w:vertAlign w:val="superscript"/>
        </w:rPr>
        <w:t xml:space="preserve">[14]</w:t>
      </w:r>
      <w:r>
        <w:rPr>
          <w:color w:val="1A252F"/>
          <w:sz w:val="22"/>
        </w:rPr>
        <w:t xml:space="preserve">. The workers' compensation for this trauma was, in the words of one moderator, "hand-to-mouth" existence </w:t>
      </w:r>
      <w:r>
        <w:rPr>
          <w:color w:val="C0392B"/>
          <w:sz w:val="16"/>
          <w:vertAlign w:val="superscript"/>
        </w:rPr>
        <w:t xml:space="preserve">[102]</w:t>
      </w:r>
      <w:r>
        <w:rPr>
          <w:color w:val="1A252F"/>
          <w:sz w:val="22"/>
        </w:rPr>
        <w:t xml:space="preserve">.</w:t>
      </w:r>
    </w:p>
    <w:p>
      <w:pPr>
        <w:spacing w:after="160" w:line="300" w:lineRule="auto"/>
      </w:pPr>
      <w:r>
        <w:rPr>
          <w:color w:val="1A252F"/>
          <w:sz w:val="22"/>
        </w:rPr>
        <w:t xml:space="preserve">Scale AI, valued at $13.8 billion, exemplifies the structural incentives driving exploitation. The company advertised $25–$40/hour rates but implemented algorithmic payment reductions that cut effective pay to $15/hour or below, required hundreds of hours of unpaid onboarding and training, and deployed what the McKinney class action called "Orwellian" monitoring software that tracked mouse activity and captured periodic screenshots </w:t>
      </w:r>
      <w:r>
        <w:rPr>
          <w:color w:val="C0392B"/>
          <w:sz w:val="16"/>
          <w:vertAlign w:val="superscript"/>
        </w:rPr>
        <w:t xml:space="preserve">[1]</w:t>
      </w:r>
      <w:r>
        <w:rPr>
          <w:color w:val="C0392B"/>
          <w:sz w:val="16"/>
          <w:vertAlign w:val="superscript"/>
        </w:rPr>
        <w:t xml:space="preserve">[2]</w:t>
      </w:r>
      <w:r>
        <w:rPr>
          <w:color w:val="1A252F"/>
          <w:sz w:val="22"/>
        </w:rPr>
        <w:t xml:space="preserve">. When California workers filed lawsuits, Scale AI did not reform its practices — it stopped hiring California residents entirely, rerouting work to lower-protection jurisdictions </w:t>
      </w:r>
      <w:r>
        <w:rPr>
          <w:color w:val="C0392B"/>
          <w:sz w:val="16"/>
          <w:vertAlign w:val="superscript"/>
        </w:rPr>
        <w:t xml:space="preserve">[7]</w:t>
      </w:r>
      <w:r>
        <w:rPr>
          <w:color w:val="1A252F"/>
          <w:sz w:val="22"/>
        </w:rPr>
        <w:t xml:space="preserve">. This is jurisdiction arbitrage in action: exploitation is not eliminated by strong rulings; it is displaced to weaker jurisdictions.</w:t>
      </w:r>
    </w:p>
    <w:p>
      <w:pPr>
        <w:spacing w:after="160" w:line="300" w:lineRule="auto"/>
      </w:pPr>
      <w:r>
        <w:rPr>
          <w:color w:val="1A252F"/>
          <w:sz w:val="22"/>
        </w:rPr>
        <w:t xml:space="preserve">The geographic pay discrimination within single platforms reveals how systematically engineered the extraction is. Kenyan Remotasks workers saw pay drop to $1–$3/hour by late 2022 while U.S. annotators on identical tasks earned $15–$25/hour </w:t>
      </w:r>
      <w:r>
        <w:rPr>
          <w:color w:val="C0392B"/>
          <w:sz w:val="16"/>
          <w:vertAlign w:val="superscript"/>
        </w:rPr>
        <w:t xml:space="preserve">[26]</w:t>
      </w:r>
      <w:r>
        <w:rPr>
          <w:color w:val="1A252F"/>
          <w:sz w:val="22"/>
        </w:rPr>
        <w:t xml:space="preserve">. Indian engineers on Outlier AI earned $7.50/hour for the same work advertised at $40/hour for U.S. workers </w:t>
      </w:r>
      <w:r>
        <w:rPr>
          <w:color w:val="C0392B"/>
          <w:sz w:val="16"/>
          <w:vertAlign w:val="superscript"/>
        </w:rPr>
        <w:t xml:space="preserve">[47]</w:t>
      </w:r>
      <w:r>
        <w:rPr>
          <w:color w:val="1A252F"/>
          <w:sz w:val="22"/>
        </w:rPr>
        <w:t xml:space="preserve">. When workers in higher-paying regions push back or leave, platforms shift work to lower-cost regions — a constant churn that keeps costs low and workers perpetually insecure. This wage arbitrage is not a side effect of market forces; it is a deliberate strategy to maximize profits while minimizing labor costs at the expense of vulnerable populations in the Global South </w:t>
      </w:r>
      <w:r>
        <w:rPr>
          <w:color w:val="C0392B"/>
          <w:sz w:val="16"/>
          <w:vertAlign w:val="superscript"/>
        </w:rPr>
        <w:t xml:space="preserve">[39]</w:t>
      </w:r>
      <w:r>
        <w:rPr>
          <w:color w:val="1A252F"/>
          <w:sz w:val="22"/>
        </w:rPr>
        <w:t xml:space="preserve">.</w:t>
      </w:r>
    </w:p>
    <w:p>
      <w:pPr>
        <w:spacing w:after="160" w:line="300" w:lineRule="auto"/>
      </w:pPr>
      <w:r>
        <w:rPr>
          <w:color w:val="1A252F"/>
          <w:sz w:val="22"/>
        </w:rPr>
        <w:t xml:space="preserve">Worker organizing in this sector remains nascent but accelerating. The Data Labelers Association in Kenya launched in February 2025 with 339 members in its first week, already coordinating with the African Content Moderators Union and Turkopticon </w:t>
      </w:r>
      <w:r>
        <w:rPr>
          <w:color w:val="C0392B"/>
          <w:sz w:val="16"/>
          <w:vertAlign w:val="superscript"/>
        </w:rPr>
        <w:t xml:space="preserve">[36]</w:t>
      </w:r>
      <w:r>
        <w:rPr>
          <w:color w:val="1A252F"/>
          <w:sz w:val="22"/>
        </w:rPr>
        <w:t xml:space="preserve">. In early 2024, nearly 100 Kenyan data labelers and AI workers employed by Facebook, Scale AI, and OpenAI wrote an open letter to President Biden describing their working conditions as "modern-day slavery" </w:t>
      </w:r>
      <w:r>
        <w:rPr>
          <w:color w:val="C0392B"/>
          <w:sz w:val="16"/>
          <w:vertAlign w:val="superscript"/>
        </w:rPr>
        <w:t xml:space="preserve">[48]</w:t>
      </w:r>
      <w:r>
        <w:rPr>
          <w:color w:val="1A252F"/>
          <w:sz w:val="22"/>
        </w:rPr>
        <w:t xml:space="preserve">. Forty-five former Scale AI contractors sent a letter to the Senate Commerce Committee in February 2025 detailing allegations of "wage theft" and "widespread labor abuses" </w:t>
      </w:r>
      <w:r>
        <w:rPr>
          <w:color w:val="C0392B"/>
          <w:sz w:val="16"/>
          <w:vertAlign w:val="superscript"/>
        </w:rPr>
        <w:t xml:space="preserve">[10]</w:t>
      </w:r>
      <w:r>
        <w:rPr>
          <w:color w:val="1A252F"/>
          <w:sz w:val="22"/>
        </w:rPr>
        <w:t xml:space="preserve">. The EU Platform Work Directive (2024/2831) explicitly covers "remote micro-tasks and online freelancing" — the first major jurisdiction to regulate microwork specifically — and will require transposition into national law by December 2, 2026, affecting an estimated 28 million platform workers </w:t>
      </w:r>
      <w:r>
        <w:rPr>
          <w:color w:val="C0392B"/>
          <w:sz w:val="16"/>
          <w:vertAlign w:val="superscript"/>
        </w:rPr>
        <w:t xml:space="preserve">[43]</w:t>
      </w:r>
      <w:r>
        <w:rPr>
          <w:color w:val="C0392B"/>
          <w:sz w:val="16"/>
          <w:vertAlign w:val="superscript"/>
        </w:rPr>
        <w:t xml:space="preserve">[45]</w:t>
      </w:r>
      <w:r>
        <w:rPr>
          <w:color w:val="1A252F"/>
          <w:sz w:val="22"/>
        </w:rPr>
        <w:t xml:space="preserve">.</w:t>
      </w:r>
    </w:p>
    <w:p>
      <w:pPr>
        <w:pStyle w:val="Heading2"/>
      </w:pPr>
      <w:r>
        <w:rPr>
          <w:color w:val="1A252F"/>
          <w:sz w:val="22"/>
        </w:rPr>
        <w:t xml:space="preserve">1.2 Food Delivery and Ride-Hailing Platforms</w:t>
      </w:r>
    </w:p>
    <w:p>
      <w:pPr>
        <w:spacing w:after="160" w:line="300" w:lineRule="auto"/>
      </w:pPr>
      <w:r>
        <w:rPr>
          <w:color w:val="1A252F"/>
          <w:sz w:val="22"/>
        </w:rPr>
        <w:t xml:space="preserve">Food delivery and ride-hailing platforms generate the largest absolute dollar figures in wage theft recoveries, but this reflects the scale of their operations rather than any unique severity of exploitation. The sector's business model depends on three extraction mechanisms: worker misclassification that shifts all vehicle costs to drivers, algorithmic pay suppression that reduces real earnings while maintaining the appearance of transparency, and tip theft schemes that divert customer gratuities to platform revenue.</w:t>
      </w:r>
    </w:p>
    <w:tbl>
      <w:tblPr>
        <w:tblW w:w="5000" w:type="pct"/>
        <w:tblBorders>
          <w:top w:val="single" w:color="2C3E50" w:sz="12"/>
          <w:left w:val="nil"/>
          <w:bottom w:val="single" w:color="2C3E50" w:sz="12"/>
          <w:right w:val="nil"/>
          <w:insideH w:val="single" w:color="BDC3C7" w:sz="4"/>
          <w:insideV w:val="nil"/>
        </w:tblBorders>
        <w:tblLook w:val="04A0" w:firstRow="true"/>
      </w:tblPr>
      <w:tblGrid>
        <w:gridCol w:w="1000"/>
        <w:gridCol w:w="1000"/>
        <w:gridCol w:w="1000"/>
        <w:gridCol w:w="1000"/>
        <w:gridCol w:w="1000"/>
        <w:gridCol w:w="1000"/>
        <w:gridCol w:w="1000"/>
        <w:gridCol w:w="1000"/>
        <w:gridCol w:w="1000"/>
      </w:tblGrid>
      <w:tr>
        <w:trPr>
          <w:tblHeader/>
        </w:trPr>
        <w:tc>
          <w:tcPr>
            <w:tcW w:w="1000" w:type="dxa"/>
            <w:tcBorders>
              <w:bottom w:val="single" w:color="2C3E50" w:sz="6"/>
            </w:tcBorders>
            <w:shd w:val="clear" w:fill="EDF0F2"/>
          </w:tcPr>
          <w:p>
            <w:pPr>
              <w:spacing w:before="60" w:after="60"/>
            </w:pPr>
            <w:r>
              <w:rPr>
                <w:b/>
                <w:color w:val="1A252F"/>
                <w:sz w:val="18"/>
              </w:rPr>
              <w:t xml:space="preserve">Platform</w:t>
            </w:r>
          </w:p>
        </w:tc>
        <w:tc>
          <w:tcPr>
            <w:tcW w:w="1000" w:type="dxa"/>
            <w:tcBorders>
              <w:bottom w:val="single" w:color="2C3E50" w:sz="6"/>
            </w:tcBorders>
            <w:shd w:val="clear" w:fill="EDF0F2"/>
          </w:tcPr>
          <w:p>
            <w:pPr>
              <w:spacing w:before="60" w:after="60"/>
            </w:pPr>
            <w:r>
              <w:rPr>
                <w:b/>
                <w:color w:val="1A252F"/>
                <w:sz w:val="18"/>
              </w:rPr>
              <w:t xml:space="preserve">Category</w:t>
            </w:r>
          </w:p>
        </w:tc>
        <w:tc>
          <w:tcPr>
            <w:tcW w:w="1000" w:type="dxa"/>
            <w:tcBorders>
              <w:bottom w:val="single" w:color="2C3E50" w:sz="6"/>
            </w:tcBorders>
            <w:shd w:val="clear" w:fill="EDF0F2"/>
          </w:tcPr>
          <w:p>
            <w:pPr>
              <w:spacing w:before="60" w:after="60"/>
            </w:pPr>
            <w:r>
              <w:rPr>
                <w:b/>
                <w:color w:val="1A252F"/>
                <w:sz w:val="18"/>
              </w:rPr>
              <w:t xml:space="preserve">Complaint Volume</w:t>
            </w:r>
          </w:p>
        </w:tc>
        <w:tc>
          <w:tcPr>
            <w:tcW w:w="1000" w:type="dxa"/>
            <w:tcBorders>
              <w:bottom w:val="single" w:color="2C3E50" w:sz="6"/>
            </w:tcBorders>
            <w:shd w:val="clear" w:fill="EDF0F2"/>
          </w:tcPr>
          <w:p>
            <w:pPr>
              <w:spacing w:before="60" w:after="60"/>
            </w:pPr>
            <w:r>
              <w:rPr>
                <w:b/>
                <w:color w:val="1A252F"/>
                <w:sz w:val="18"/>
              </w:rPr>
              <w:t xml:space="preserve">Est. Unpaid Amounts</w:t>
            </w:r>
          </w:p>
        </w:tc>
        <w:tc>
          <w:tcPr>
            <w:tcW w:w="1000" w:type="dxa"/>
            <w:tcBorders>
              <w:bottom w:val="single" w:color="2C3E50" w:sz="6"/>
            </w:tcBorders>
            <w:shd w:val="clear" w:fill="EDF0F2"/>
          </w:tcPr>
          <w:p>
            <w:pPr>
              <w:spacing w:before="60" w:after="60"/>
            </w:pPr>
            <w:r>
              <w:rPr>
                <w:b/>
                <w:color w:val="1A252F"/>
                <w:sz w:val="18"/>
              </w:rPr>
              <w:t xml:space="preserve">Most Common Complaint</w:t>
            </w:r>
          </w:p>
        </w:tc>
        <w:tc>
          <w:tcPr>
            <w:tcW w:w="1000" w:type="dxa"/>
            <w:tcBorders>
              <w:bottom w:val="single" w:color="2C3E50" w:sz="6"/>
            </w:tcBorders>
            <w:shd w:val="clear" w:fill="EDF0F2"/>
          </w:tcPr>
          <w:p>
            <w:pPr>
              <w:spacing w:before="60" w:after="60"/>
            </w:pPr>
            <w:r>
              <w:rPr>
                <w:b/>
                <w:color w:val="1A252F"/>
                <w:sz w:val="18"/>
              </w:rPr>
              <w:t xml:space="preserve">Legal Action</w:t>
            </w:r>
          </w:p>
        </w:tc>
        <w:tc>
          <w:tcPr>
            <w:tcW w:w="1000" w:type="dxa"/>
            <w:tcBorders>
              <w:bottom w:val="single" w:color="2C3E50" w:sz="6"/>
            </w:tcBorders>
            <w:shd w:val="clear" w:fill="EDF0F2"/>
          </w:tcPr>
          <w:p>
            <w:pPr>
              <w:spacing w:before="60" w:after="60"/>
            </w:pPr>
            <w:r>
              <w:rPr>
                <w:b/>
                <w:color w:val="1A252F"/>
                <w:sz w:val="18"/>
              </w:rPr>
              <w:t xml:space="preserve">Current Status</w:t>
            </w:r>
          </w:p>
        </w:tc>
        <w:tc>
          <w:tcPr>
            <w:tcW w:w="1000" w:type="dxa"/>
            <w:tcBorders>
              <w:bottom w:val="single" w:color="2C3E50" w:sz="6"/>
            </w:tcBorders>
            <w:shd w:val="clear" w:fill="EDF0F2"/>
          </w:tcPr>
          <w:p>
            <w:pPr>
              <w:spacing w:before="60" w:after="60"/>
            </w:pPr>
            <w:r>
              <w:rPr>
                <w:b/>
                <w:color w:val="1A252F"/>
                <w:sz w:val="18"/>
              </w:rPr>
              <w:t xml:space="preserve">Affected Workers</w:t>
            </w:r>
          </w:p>
        </w:tc>
        <w:tc>
          <w:tcPr>
            <w:tcW w:w="1000" w:type="dxa"/>
            <w:tcBorders>
              <w:bottom w:val="single" w:color="2C3E50" w:sz="6"/>
            </w:tcBorders>
            <w:shd w:val="clear" w:fill="EDF0F2"/>
          </w:tcPr>
          <w:p>
            <w:pPr>
              <w:spacing w:before="60" w:after="60"/>
            </w:pPr>
            <w:r>
              <w:rPr>
                <w:b/>
                <w:color w:val="1A252F"/>
                <w:sz w:val="18"/>
              </w:rPr>
              <w:t xml:space="preserve">Geographic Concentration</w:t>
            </w:r>
          </w:p>
        </w:tc>
      </w:tr>
      <w:tr>
        <w:tc>
          <w:tcPr>
            <w:tcW w:w="1000" w:type="dxa"/>
          </w:tcPr>
          <w:p>
            <w:pPr>
              <w:spacing w:before="40" w:after="40" w:line="240" w:lineRule="auto"/>
            </w:pPr>
            <w:r>
              <w:rPr>
                <w:color w:val="1A252F"/>
                <w:sz w:val="18"/>
              </w:rPr>
              <w:t xml:space="preserve">Uber / Uber Eats</w:t>
            </w:r>
          </w:p>
        </w:tc>
        <w:tc>
          <w:tcPr>
            <w:tcW w:w="1000" w:type="dxa"/>
          </w:tcPr>
          <w:p>
            <w:pPr>
              <w:spacing w:before="40" w:after="40" w:line="240" w:lineRule="auto"/>
            </w:pPr>
            <w:r>
              <w:rPr>
                <w:color w:val="1A252F"/>
                <w:sz w:val="18"/>
              </w:rPr>
              <w:t xml:space="preserve">Ride-hailing / delivery</w:t>
            </w:r>
          </w:p>
        </w:tc>
        <w:tc>
          <w:tcPr>
            <w:tcW w:w="1000" w:type="dxa"/>
          </w:tcPr>
          <w:p>
            <w:pPr>
              <w:spacing w:before="40" w:after="40" w:line="240" w:lineRule="auto"/>
            </w:pPr>
            <w:r>
              <w:rPr>
                <w:color w:val="1A252F"/>
                <w:sz w:val="18"/>
              </w:rPr>
              <w:t xml:space="preserve">Very High — $328M NY AG settlement; $1.3B California pending; multiple federal suits</w:t>
            </w:r>
          </w:p>
        </w:tc>
        <w:tc>
          <w:tcPr>
            <w:tcW w:w="1000" w:type="dxa"/>
          </w:tcPr>
          <w:p>
            <w:pPr>
              <w:spacing w:before="40" w:after="40" w:line="240" w:lineRule="auto"/>
            </w:pPr>
            <w:r>
              <w:rPr>
                <w:color w:val="1A252F"/>
                <w:sz w:val="18"/>
              </w:rPr>
              <w:t xml:space="preserve">$328M NY AG settlement paid; $1.3B+ estimated in California pre-Prop 22 claims; $554M tip manipulation losses in NYC </w:t>
            </w:r>
            <w:r>
              <w:rPr>
                <w:color w:val="C0392B"/>
                <w:sz w:val="16"/>
                <w:vertAlign w:val="superscript"/>
              </w:rPr>
              <w:t xml:space="preserve">[285]</w:t>
            </w:r>
            <w:r>
              <w:rPr>
                <w:color w:val="C0392B"/>
                <w:sz w:val="16"/>
                <w:vertAlign w:val="superscript"/>
              </w:rPr>
              <w:t xml:space="preserve">[181]</w:t>
            </w:r>
            <w:r>
              <w:rPr>
                <w:color w:val="C0392B"/>
                <w:sz w:val="16"/>
                <w:vertAlign w:val="superscript"/>
              </w:rPr>
              <w:t xml:space="preserve">[566]</w:t>
            </w:r>
          </w:p>
        </w:tc>
        <w:tc>
          <w:tcPr>
            <w:tcW w:w="1000" w:type="dxa"/>
          </w:tcPr>
          <w:p>
            <w:pPr>
              <w:spacing w:before="40" w:after="40" w:line="240" w:lineRule="auto"/>
            </w:pPr>
            <w:r>
              <w:rPr>
                <w:color w:val="1A252F"/>
                <w:sz w:val="18"/>
              </w:rPr>
              <w:t xml:space="preserve">Algorithmic pay reduction; misclassification; tip manipulation; deactivation without due process</w:t>
            </w:r>
          </w:p>
        </w:tc>
        <w:tc>
          <w:tcPr>
            <w:tcW w:w="1000" w:type="dxa"/>
          </w:tcPr>
          <w:p>
            <w:pPr>
              <w:spacing w:before="40" w:after="40" w:line="240" w:lineRule="auto"/>
            </w:pPr>
            <w:r>
              <w:rPr>
                <w:color w:val="1A252F"/>
                <w:sz w:val="18"/>
              </w:rPr>
              <w:t xml:space="preserve">NY AG settlement ($328M, Nov 2023); CA Labor Commissioner suit ($1.3B+ pending); UK Supreme Court ruling (worker status); NYC deactivation reinstatement settlement </w:t>
            </w:r>
            <w:r>
              <w:rPr>
                <w:color w:val="C0392B"/>
                <w:sz w:val="16"/>
                <w:vertAlign w:val="superscript"/>
              </w:rPr>
              <w:t xml:space="preserve">[285]</w:t>
            </w:r>
            <w:r>
              <w:rPr>
                <w:color w:val="C0392B"/>
                <w:sz w:val="16"/>
                <w:vertAlign w:val="superscript"/>
              </w:rPr>
              <w:t xml:space="preserve">[181]</w:t>
            </w:r>
            <w:r>
              <w:rPr>
                <w:color w:val="C0392B"/>
                <w:sz w:val="16"/>
                <w:vertAlign w:val="superscript"/>
              </w:rPr>
              <w:t xml:space="preserve">[250]</w:t>
            </w:r>
          </w:p>
        </w:tc>
        <w:tc>
          <w:tcPr>
            <w:tcW w:w="1000" w:type="dxa"/>
          </w:tcPr>
          <w:p>
            <w:pPr>
              <w:spacing w:before="40" w:after="40" w:line="240" w:lineRule="auto"/>
            </w:pPr>
            <w:r>
              <w:rPr>
                <w:color w:val="1A252F"/>
                <w:sz w:val="18"/>
              </w:rPr>
              <w:t xml:space="preserve">Active globally; Prop 22 upheld July 2024; pending litigation limited to pre-Dec 2020 claims</w:t>
            </w:r>
          </w:p>
        </w:tc>
        <w:tc>
          <w:tcPr>
            <w:tcW w:w="1000" w:type="dxa"/>
          </w:tcPr>
          <w:p>
            <w:pPr>
              <w:spacing w:before="40" w:after="40" w:line="240" w:lineRule="auto"/>
            </w:pPr>
            <w:r>
              <w:rPr>
                <w:color w:val="1A252F"/>
                <w:sz w:val="18"/>
              </w:rPr>
              <w:t xml:space="preserve">100,000+ NY drivers alone; 250,000+ potentially eligible in CA; 70,000+ in UK back-pay scheme</w:t>
            </w:r>
          </w:p>
        </w:tc>
        <w:tc>
          <w:tcPr>
            <w:tcW w:w="1000" w:type="dxa"/>
          </w:tcPr>
          <w:p>
            <w:pPr>
              <w:spacing w:before="40" w:after="40" w:line="240" w:lineRule="auto"/>
            </w:pPr>
            <w:r>
              <w:rPr>
                <w:color w:val="1A252F"/>
                <w:sz w:val="18"/>
              </w:rPr>
              <w:t xml:space="preserve">Global — U.S. (CA, NY, MA), UK, EU, Brazil, India</w:t>
            </w:r>
          </w:p>
        </w:tc>
      </w:tr>
      <w:tr>
        <w:tc>
          <w:tcPr>
            <w:tcW w:w="1000" w:type="dxa"/>
          </w:tcPr>
          <w:p>
            <w:pPr>
              <w:spacing w:before="40" w:after="40" w:line="240" w:lineRule="auto"/>
            </w:pPr>
            <w:r>
              <w:rPr>
                <w:color w:val="1A252F"/>
                <w:sz w:val="18"/>
              </w:rPr>
              <w:t xml:space="preserve">Lyft</w:t>
            </w:r>
          </w:p>
        </w:tc>
        <w:tc>
          <w:tcPr>
            <w:tcW w:w="1000" w:type="dxa"/>
          </w:tcPr>
          <w:p>
            <w:pPr>
              <w:spacing w:before="40" w:after="40" w:line="240" w:lineRule="auto"/>
            </w:pPr>
            <w:r>
              <w:rPr>
                <w:color w:val="1A252F"/>
                <w:sz w:val="18"/>
              </w:rPr>
              <w:t xml:space="preserve">Ride-hailing</w:t>
            </w:r>
          </w:p>
        </w:tc>
        <w:tc>
          <w:tcPr>
            <w:tcW w:w="1000" w:type="dxa"/>
          </w:tcPr>
          <w:p>
            <w:pPr>
              <w:spacing w:before="40" w:after="40" w:line="240" w:lineRule="auto"/>
            </w:pPr>
            <w:r>
              <w:rPr>
                <w:color w:val="1A252F"/>
                <w:sz w:val="18"/>
              </w:rPr>
              <w:t xml:space="preserve">Very High — shared $175M Massachusetts settlement; CA class action</w:t>
            </w:r>
          </w:p>
        </w:tc>
        <w:tc>
          <w:tcPr>
            <w:tcW w:w="1000" w:type="dxa"/>
          </w:tcPr>
          <w:p>
            <w:pPr>
              <w:spacing w:before="40" w:after="40" w:line="240" w:lineRule="auto"/>
            </w:pPr>
            <w:r>
              <w:rPr>
                <w:color w:val="1A252F"/>
                <w:sz w:val="18"/>
              </w:rPr>
              <w:t xml:space="preserve">$27M (Lyft share of $175M MA settlement); portion of $1.3B CA claims </w:t>
            </w:r>
            <w:r>
              <w:rPr>
                <w:color w:val="C0392B"/>
                <w:sz w:val="16"/>
                <w:vertAlign w:val="superscript"/>
              </w:rPr>
              <w:t xml:space="preserve">[533]</w:t>
            </w:r>
            <w:r>
              <w:rPr>
                <w:color w:val="C0392B"/>
                <w:sz w:val="16"/>
                <w:vertAlign w:val="superscript"/>
              </w:rPr>
              <w:t xml:space="preserve">[181]</w:t>
            </w:r>
          </w:p>
        </w:tc>
        <w:tc>
          <w:tcPr>
            <w:tcW w:w="1000" w:type="dxa"/>
          </w:tcPr>
          <w:p>
            <w:pPr>
              <w:spacing w:before="40" w:after="40" w:line="240" w:lineRule="auto"/>
            </w:pPr>
            <w:r>
              <w:rPr>
                <w:color w:val="1A252F"/>
                <w:sz w:val="18"/>
              </w:rPr>
              <w:t xml:space="preserve">Misclassification; unpaid waiting time; no expense reimbursement</w:t>
            </w:r>
          </w:p>
        </w:tc>
        <w:tc>
          <w:tcPr>
            <w:tcW w:w="1000" w:type="dxa"/>
          </w:tcPr>
          <w:p>
            <w:pPr>
              <w:spacing w:before="40" w:after="40" w:line="240" w:lineRule="auto"/>
            </w:pPr>
            <w:r>
              <w:rPr>
                <w:color w:val="1A252F"/>
                <w:sz w:val="18"/>
              </w:rPr>
              <w:t xml:space="preserve">Massachusetts AG settlement ($175M combined with Uber, Jun 2024); CA pre-Prop 22 litigation ongoing </w:t>
            </w:r>
            <w:r>
              <w:rPr>
                <w:color w:val="C0392B"/>
                <w:sz w:val="16"/>
                <w:vertAlign w:val="superscript"/>
              </w:rPr>
              <w:t xml:space="preserve">[533]</w:t>
            </w:r>
          </w:p>
        </w:tc>
        <w:tc>
          <w:tcPr>
            <w:tcW w:w="1000" w:type="dxa"/>
          </w:tcPr>
          <w:p>
            <w:pPr>
              <w:spacing w:before="40" w:after="40" w:line="240" w:lineRule="auto"/>
            </w:pPr>
            <w:r>
              <w:rPr>
                <w:color w:val="1A252F"/>
                <w:sz w:val="18"/>
              </w:rPr>
              <w:t xml:space="preserve">Active; similar legal exposure to Uber</w:t>
            </w:r>
          </w:p>
        </w:tc>
        <w:tc>
          <w:tcPr>
            <w:tcW w:w="1000" w:type="dxa"/>
          </w:tcPr>
          <w:p>
            <w:pPr>
              <w:spacing w:before="40" w:after="40" w:line="240" w:lineRule="auto"/>
            </w:pPr>
            <w:r>
              <w:rPr>
                <w:color w:val="1A252F"/>
                <w:sz w:val="18"/>
              </w:rPr>
              <w:t xml:space="preserve">Tens of thousands in MA; portion of 250,000 CA drivers</w:t>
            </w:r>
          </w:p>
        </w:tc>
        <w:tc>
          <w:tcPr>
            <w:tcW w:w="1000" w:type="dxa"/>
          </w:tcPr>
          <w:p>
            <w:pPr>
              <w:spacing w:before="40" w:after="40" w:line="240" w:lineRule="auto"/>
            </w:pPr>
            <w:r>
              <w:rPr>
                <w:color w:val="1A252F"/>
                <w:sz w:val="18"/>
              </w:rPr>
              <w:t xml:space="preserve">U.S. primary; Canada</w:t>
            </w:r>
          </w:p>
        </w:tc>
      </w:tr>
      <w:tr>
        <w:tc>
          <w:tcPr>
            <w:tcW w:w="1000" w:type="dxa"/>
          </w:tcPr>
          <w:p>
            <w:pPr>
              <w:spacing w:before="40" w:after="40" w:line="240" w:lineRule="auto"/>
            </w:pPr>
            <w:r>
              <w:rPr>
                <w:color w:val="1A252F"/>
                <w:sz w:val="18"/>
              </w:rPr>
              <w:t xml:space="preserve">DoorDash</w:t>
            </w:r>
          </w:p>
        </w:tc>
        <w:tc>
          <w:tcPr>
            <w:tcW w:w="1000" w:type="dxa"/>
          </w:tcPr>
          <w:p>
            <w:pPr>
              <w:spacing w:before="40" w:after="40" w:line="240" w:lineRule="auto"/>
            </w:pPr>
            <w:r>
              <w:rPr>
                <w:color w:val="1A252F"/>
                <w:sz w:val="18"/>
              </w:rPr>
              <w:t xml:space="preserve">Food delivery</w:t>
            </w:r>
          </w:p>
        </w:tc>
        <w:tc>
          <w:tcPr>
            <w:tcW w:w="1000" w:type="dxa"/>
          </w:tcPr>
          <w:p>
            <w:pPr>
              <w:spacing w:before="40" w:after="40" w:line="240" w:lineRule="auto"/>
            </w:pPr>
            <w:r>
              <w:rPr>
                <w:color w:val="1A252F"/>
                <w:sz w:val="18"/>
              </w:rPr>
              <w:t xml:space="preserve">Very High — $16.75M NY tip theft; $11.25M Illinois; Chicago $18M</w:t>
            </w:r>
          </w:p>
        </w:tc>
        <w:tc>
          <w:tcPr>
            <w:tcW w:w="1000" w:type="dxa"/>
          </w:tcPr>
          <w:p>
            <w:pPr>
              <w:spacing w:before="40" w:after="40" w:line="240" w:lineRule="auto"/>
            </w:pPr>
            <w:r>
              <w:rPr>
                <w:color w:val="1A252F"/>
                <w:sz w:val="18"/>
              </w:rPr>
              <w:t xml:space="preserve">$16.75M NY; $11.25M Illinois; $500K to drivers in Chicago; total ~$46M+ across states </w:t>
            </w:r>
            <w:r>
              <w:rPr>
                <w:color w:val="C0392B"/>
                <w:sz w:val="16"/>
                <w:vertAlign w:val="superscript"/>
              </w:rPr>
              <w:t xml:space="preserve">[447]</w:t>
            </w:r>
            <w:r>
              <w:rPr>
                <w:color w:val="C0392B"/>
                <w:sz w:val="16"/>
                <w:vertAlign w:val="superscript"/>
              </w:rPr>
              <w:t xml:space="preserve">[448]</w:t>
            </w:r>
          </w:p>
        </w:tc>
        <w:tc>
          <w:tcPr>
            <w:tcW w:w="1000" w:type="dxa"/>
          </w:tcPr>
          <w:p>
            <w:pPr>
              <w:spacing w:before="40" w:after="40" w:line="240" w:lineRule="auto"/>
            </w:pPr>
            <w:r>
              <w:rPr>
                <w:color w:val="1A252F"/>
                <w:sz w:val="18"/>
              </w:rPr>
              <w:t xml:space="preserve">Tip theft scheme (2017–2019): customer tips subsidized platform guaranteed pay; hidden pay model</w:t>
            </w:r>
          </w:p>
        </w:tc>
        <w:tc>
          <w:tcPr>
            <w:tcW w:w="1000" w:type="dxa"/>
          </w:tcPr>
          <w:p>
            <w:pPr>
              <w:spacing w:before="40" w:after="40" w:line="240" w:lineRule="auto"/>
            </w:pPr>
            <w:r>
              <w:rPr>
                <w:color w:val="1A252F"/>
                <w:sz w:val="18"/>
              </w:rPr>
              <w:t xml:space="preserve">NY AG ($16.75M, Feb 2025); Illinois AG ($11.25M, Nov 2024); Chicago ($18M total, Nov 2025); ongoing tip manipulation in NYC </w:t>
            </w:r>
            <w:r>
              <w:rPr>
                <w:color w:val="C0392B"/>
                <w:sz w:val="16"/>
                <w:vertAlign w:val="superscript"/>
              </w:rPr>
              <w:t xml:space="preserve">[447]</w:t>
            </w:r>
            <w:r>
              <w:rPr>
                <w:color w:val="C0392B"/>
                <w:sz w:val="16"/>
                <w:vertAlign w:val="superscript"/>
              </w:rPr>
              <w:t xml:space="preserve">[566]</w:t>
            </w:r>
          </w:p>
        </w:tc>
        <w:tc>
          <w:tcPr>
            <w:tcW w:w="1000" w:type="dxa"/>
          </w:tcPr>
          <w:p>
            <w:pPr>
              <w:spacing w:before="40" w:after="40" w:line="240" w:lineRule="auto"/>
            </w:pPr>
            <w:r>
              <w:rPr>
                <w:color w:val="1A252F"/>
                <w:sz w:val="18"/>
              </w:rPr>
              <w:t xml:space="preserve">Active; settled legacy tip theft; continued interface changes suppressing tips post-NYC min pay</w:t>
            </w:r>
          </w:p>
        </w:tc>
        <w:tc>
          <w:tcPr>
            <w:tcW w:w="1000" w:type="dxa"/>
          </w:tcPr>
          <w:p>
            <w:pPr>
              <w:spacing w:before="40" w:after="40" w:line="240" w:lineRule="auto"/>
            </w:pPr>
            <w:r>
              <w:rPr>
                <w:color w:val="1A252F"/>
                <w:sz w:val="18"/>
              </w:rPr>
              <w:t xml:space="preserve">63,000 NY workers; 79,000 Illinois workers; 11M+ orders affected </w:t>
            </w:r>
            <w:r>
              <w:rPr>
                <w:color w:val="C0392B"/>
                <w:sz w:val="16"/>
                <w:vertAlign w:val="superscript"/>
              </w:rPr>
              <w:t xml:space="preserve">[447]</w:t>
            </w:r>
          </w:p>
        </w:tc>
        <w:tc>
          <w:tcPr>
            <w:tcW w:w="1000" w:type="dxa"/>
          </w:tcPr>
          <w:p>
            <w:pPr>
              <w:spacing w:before="40" w:after="40" w:line="240" w:lineRule="auto"/>
            </w:pPr>
            <w:r>
              <w:rPr>
                <w:color w:val="1A252F"/>
                <w:sz w:val="18"/>
              </w:rPr>
              <w:t xml:space="preserve">U.S. (all 50 states), Canada, Australia, Japan</w:t>
            </w:r>
          </w:p>
        </w:tc>
      </w:tr>
      <w:tr>
        <w:tc>
          <w:tcPr>
            <w:tcW w:w="1000" w:type="dxa"/>
          </w:tcPr>
          <w:p>
            <w:pPr>
              <w:spacing w:before="40" w:after="40" w:line="240" w:lineRule="auto"/>
            </w:pPr>
            <w:r>
              <w:rPr>
                <w:color w:val="1A252F"/>
                <w:sz w:val="18"/>
              </w:rPr>
              <w:t xml:space="preserve">Deliveroo</w:t>
            </w:r>
          </w:p>
        </w:tc>
        <w:tc>
          <w:tcPr>
            <w:tcW w:w="1000" w:type="dxa"/>
          </w:tcPr>
          <w:p>
            <w:pPr>
              <w:spacing w:before="40" w:after="40" w:line="240" w:lineRule="auto"/>
            </w:pPr>
            <w:r>
              <w:rPr>
                <w:color w:val="1A252F"/>
                <w:sz w:val="18"/>
              </w:rPr>
              <w:t xml:space="preserve">Food delivery</w:t>
            </w:r>
          </w:p>
        </w:tc>
        <w:tc>
          <w:tcPr>
            <w:tcW w:w="1000" w:type="dxa"/>
          </w:tcPr>
          <w:p>
            <w:pPr>
              <w:spacing w:before="40" w:after="40" w:line="240" w:lineRule="auto"/>
            </w:pPr>
            <w:r>
              <w:rPr>
                <w:color w:val="1A252F"/>
                <w:sz w:val="18"/>
              </w:rPr>
              <w:t xml:space="preserve">High — global strikes, market exits, worker tribunal losses</w:t>
            </w:r>
          </w:p>
        </w:tc>
        <w:tc>
          <w:tcPr>
            <w:tcW w:w="1000" w:type="dxa"/>
          </w:tcPr>
          <w:p>
            <w:pPr>
              <w:spacing w:before="40" w:after="40" w:line="240" w:lineRule="auto"/>
            </w:pPr>
            <w:r>
              <w:rPr>
                <w:color w:val="1A252F"/>
                <w:sz w:val="18"/>
              </w:rPr>
              <w:t xml:space="preserve">£12/hr UK pay floor (2024); tens of millions in back-pay liability risk</w:t>
            </w:r>
          </w:p>
        </w:tc>
        <w:tc>
          <w:tcPr>
            <w:tcW w:w="1000" w:type="dxa"/>
          </w:tcPr>
          <w:p>
            <w:pPr>
              <w:spacing w:before="40" w:after="40" w:line="240" w:lineRule="auto"/>
            </w:pPr>
            <w:r>
              <w:rPr>
                <w:color w:val="1A252F"/>
                <w:sz w:val="18"/>
              </w:rPr>
              <w:t xml:space="preserve">Repeated pay cuts; self-employed classification; "Slaveroo" worker conditions</w:t>
            </w:r>
          </w:p>
        </w:tc>
        <w:tc>
          <w:tcPr>
            <w:tcW w:w="1000" w:type="dxa"/>
          </w:tcPr>
          <w:p>
            <w:pPr>
              <w:spacing w:before="40" w:after="40" w:line="240" w:lineRule="auto"/>
            </w:pPr>
            <w:r>
              <w:rPr>
                <w:color w:val="1A252F"/>
                <w:sz w:val="18"/>
              </w:rPr>
              <w:t xml:space="preserve">IWGB organizing; GMB recognition agreement UK; exited Netherlands after adverse rulings </w:t>
            </w:r>
            <w:r>
              <w:rPr>
                <w:color w:val="C0392B"/>
                <w:sz w:val="16"/>
                <w:vertAlign w:val="superscript"/>
              </w:rPr>
              <w:t xml:space="preserve">[572]</w:t>
            </w:r>
            <w:r>
              <w:rPr>
                <w:color w:val="C0392B"/>
                <w:sz w:val="16"/>
                <w:vertAlign w:val="superscript"/>
              </w:rPr>
              <w:t xml:space="preserve">[575]</w:t>
            </w:r>
          </w:p>
        </w:tc>
        <w:tc>
          <w:tcPr>
            <w:tcW w:w="1000" w:type="dxa"/>
          </w:tcPr>
          <w:p>
            <w:pPr>
              <w:spacing w:before="40" w:after="40" w:line="240" w:lineRule="auto"/>
            </w:pPr>
            <w:r>
              <w:rPr>
                <w:color w:val="1A252F"/>
                <w:sz w:val="18"/>
              </w:rPr>
              <w:t xml:space="preserve">Acquired by DoorDash for £2.7B (Mar 2025); continuing operations in 10 markets</w:t>
            </w:r>
          </w:p>
        </w:tc>
        <w:tc>
          <w:tcPr>
            <w:tcW w:w="1000" w:type="dxa"/>
          </w:tcPr>
          <w:p>
            <w:pPr>
              <w:spacing w:before="40" w:after="40" w:line="240" w:lineRule="auto"/>
            </w:pPr>
            <w:r>
              <w:rPr>
                <w:color w:val="1A252F"/>
                <w:sz w:val="18"/>
              </w:rPr>
              <w:t xml:space="preserve">15,000 riders in Australia at exit; 15,000 in Spain; 180,000+ global riders</w:t>
            </w:r>
          </w:p>
        </w:tc>
        <w:tc>
          <w:tcPr>
            <w:tcW w:w="1000" w:type="dxa"/>
          </w:tcPr>
          <w:p>
            <w:pPr>
              <w:spacing w:before="40" w:after="40" w:line="240" w:lineRule="auto"/>
            </w:pPr>
            <w:r>
              <w:rPr>
                <w:color w:val="1A252F"/>
                <w:sz w:val="18"/>
              </w:rPr>
              <w:t xml:space="preserve">UK, France, Italy, UAE, Hong Kong (exited: Australia, Netherlands, Germany, Spain, Singapore)</w:t>
            </w:r>
          </w:p>
        </w:tc>
      </w:tr>
      <w:tr>
        <w:tc>
          <w:tcPr>
            <w:tcW w:w="1000" w:type="dxa"/>
          </w:tcPr>
          <w:p>
            <w:pPr>
              <w:spacing w:before="40" w:after="40" w:line="240" w:lineRule="auto"/>
            </w:pPr>
            <w:r>
              <w:rPr>
                <w:color w:val="1A252F"/>
                <w:sz w:val="18"/>
              </w:rPr>
              <w:t xml:space="preserve">Instacart</w:t>
            </w:r>
          </w:p>
        </w:tc>
        <w:tc>
          <w:tcPr>
            <w:tcW w:w="1000" w:type="dxa"/>
          </w:tcPr>
          <w:p>
            <w:pPr>
              <w:spacing w:before="40" w:after="40" w:line="240" w:lineRule="auto"/>
            </w:pPr>
            <w:r>
              <w:rPr>
                <w:color w:val="1A252F"/>
                <w:sz w:val="18"/>
              </w:rPr>
              <w:t xml:space="preserve">Grocery delivery</w:t>
            </w:r>
          </w:p>
        </w:tc>
        <w:tc>
          <w:tcPr>
            <w:tcW w:w="1000" w:type="dxa"/>
          </w:tcPr>
          <w:p>
            <w:pPr>
              <w:spacing w:before="40" w:after="40" w:line="240" w:lineRule="auto"/>
            </w:pPr>
            <w:r>
              <w:rPr>
                <w:color w:val="1A252F"/>
                <w:sz w:val="18"/>
              </w:rPr>
              <w:t xml:space="preserve">High — $2.54M DC settlement; $60M FTC consumer settlement</w:t>
            </w:r>
          </w:p>
        </w:tc>
        <w:tc>
          <w:tcPr>
            <w:tcW w:w="1000" w:type="dxa"/>
          </w:tcPr>
          <w:p>
            <w:pPr>
              <w:spacing w:before="40" w:after="40" w:line="240" w:lineRule="auto"/>
            </w:pPr>
            <w:r>
              <w:rPr>
                <w:color w:val="1A252F"/>
                <w:sz w:val="18"/>
              </w:rPr>
              <w:t xml:space="preserve">$2.54M DC AG (service fee misrepresentation); $60M FTC (consumer refunds) </w:t>
            </w:r>
            <w:r>
              <w:rPr>
                <w:color w:val="C0392B"/>
                <w:sz w:val="16"/>
                <w:vertAlign w:val="superscript"/>
              </w:rPr>
              <w:t xml:space="preserve">[551]</w:t>
            </w:r>
            <w:r>
              <w:rPr>
                <w:color w:val="C0392B"/>
                <w:sz w:val="16"/>
                <w:vertAlign w:val="superscript"/>
              </w:rPr>
              <w:t xml:space="preserve">[539]</w:t>
            </w:r>
          </w:p>
        </w:tc>
        <w:tc>
          <w:tcPr>
            <w:tcW w:w="1000" w:type="dxa"/>
          </w:tcPr>
          <w:p>
            <w:pPr>
              <w:spacing w:before="40" w:after="40" w:line="240" w:lineRule="auto"/>
            </w:pPr>
            <w:r>
              <w:rPr>
                <w:color w:val="1A252F"/>
                <w:sz w:val="18"/>
              </w:rPr>
              <w:t xml:space="preserve">Tip baiting; batch pay reductions inversely tied to tips; AI-driven pricing discrimination</w:t>
            </w:r>
          </w:p>
        </w:tc>
        <w:tc>
          <w:tcPr>
            <w:tcW w:w="1000" w:type="dxa"/>
          </w:tcPr>
          <w:p>
            <w:pPr>
              <w:spacing w:before="40" w:after="40" w:line="240" w:lineRule="auto"/>
            </w:pPr>
            <w:r>
              <w:rPr>
                <w:color w:val="1A252F"/>
                <w:sz w:val="18"/>
              </w:rPr>
              <w:t xml:space="preserve">DC AG settlement ($2.54M, Aug 2022); FTC settlement ($60M, Dec 2025) </w:t>
            </w:r>
            <w:r>
              <w:rPr>
                <w:color w:val="C0392B"/>
                <w:sz w:val="16"/>
                <w:vertAlign w:val="superscript"/>
              </w:rPr>
              <w:t xml:space="preserve">[539]</w:t>
            </w:r>
          </w:p>
        </w:tc>
        <w:tc>
          <w:tcPr>
            <w:tcW w:w="1000" w:type="dxa"/>
          </w:tcPr>
          <w:p>
            <w:pPr>
              <w:spacing w:before="40" w:after="40" w:line="240" w:lineRule="auto"/>
            </w:pPr>
            <w:r>
              <w:rPr>
                <w:color w:val="1A252F"/>
                <w:sz w:val="18"/>
              </w:rPr>
              <w:t xml:space="preserve">Active; AI pricing tool "Eversight" varies prices up to 23% per customer </w:t>
            </w:r>
            <w:r>
              <w:rPr>
                <w:color w:val="C0392B"/>
                <w:sz w:val="16"/>
                <w:vertAlign w:val="superscript"/>
              </w:rPr>
              <w:t xml:space="preserve">[540]</w:t>
            </w:r>
          </w:p>
        </w:tc>
        <w:tc>
          <w:tcPr>
            <w:tcW w:w="1000" w:type="dxa"/>
          </w:tcPr>
          <w:p>
            <w:pPr>
              <w:spacing w:before="40" w:after="40" w:line="240" w:lineRule="auto"/>
            </w:pPr>
            <w:r>
              <w:rPr>
                <w:color w:val="1A252F"/>
                <w:sz w:val="18"/>
              </w:rPr>
              <w:t xml:space="preserve">Thousands of shoppers nationally</w:t>
            </w:r>
          </w:p>
        </w:tc>
        <w:tc>
          <w:tcPr>
            <w:tcW w:w="1000" w:type="dxa"/>
          </w:tcPr>
          <w:p>
            <w:pPr>
              <w:spacing w:before="40" w:after="40" w:line="240" w:lineRule="auto"/>
            </w:pPr>
            <w:r>
              <w:rPr>
                <w:color w:val="1A252F"/>
                <w:sz w:val="18"/>
              </w:rPr>
              <w:t xml:space="preserve">U.S. (all 50 states), Canada</w:t>
            </w:r>
          </w:p>
        </w:tc>
      </w:tr>
      <w:tr>
        <w:tc>
          <w:tcPr>
            <w:tcW w:w="1000" w:type="dxa"/>
          </w:tcPr>
          <w:p>
            <w:pPr>
              <w:spacing w:before="40" w:after="40" w:line="240" w:lineRule="auto"/>
            </w:pPr>
            <w:r>
              <w:rPr>
                <w:color w:val="1A252F"/>
                <w:sz w:val="18"/>
              </w:rPr>
              <w:t xml:space="preserve">Amazon Flex</w:t>
            </w:r>
          </w:p>
        </w:tc>
        <w:tc>
          <w:tcPr>
            <w:tcW w:w="1000" w:type="dxa"/>
          </w:tcPr>
          <w:p>
            <w:pPr>
              <w:spacing w:before="40" w:after="40" w:line="240" w:lineRule="auto"/>
            </w:pPr>
            <w:r>
              <w:rPr>
                <w:color w:val="1A252F"/>
                <w:sz w:val="18"/>
              </w:rPr>
              <w:t xml:space="preserve">Package/grocery delivery</w:t>
            </w:r>
          </w:p>
        </w:tc>
        <w:tc>
          <w:tcPr>
            <w:tcW w:w="1000" w:type="dxa"/>
          </w:tcPr>
          <w:p>
            <w:pPr>
              <w:spacing w:before="40" w:after="40" w:line="240" w:lineRule="auto"/>
            </w:pPr>
            <w:r>
              <w:rPr>
                <w:color w:val="1A252F"/>
                <w:sz w:val="18"/>
              </w:rPr>
              <w:t xml:space="preserve">High — $3.78M Seattle settlement</w:t>
            </w:r>
          </w:p>
        </w:tc>
        <w:tc>
          <w:tcPr>
            <w:tcW w:w="1000" w:type="dxa"/>
          </w:tcPr>
          <w:p>
            <w:pPr>
              <w:spacing w:before="40" w:after="40" w:line="240" w:lineRule="auto"/>
            </w:pPr>
            <w:r>
              <w:rPr>
                <w:color w:val="1A252F"/>
                <w:sz w:val="18"/>
              </w:rPr>
              <w:t xml:space="preserve">$3.78M Seattle OLS settlement; 10,968 workers </w:t>
            </w:r>
            <w:r>
              <w:rPr>
                <w:color w:val="C0392B"/>
                <w:sz w:val="16"/>
                <w:vertAlign w:val="superscript"/>
              </w:rPr>
              <w:t xml:space="preserve">[469]</w:t>
            </w:r>
            <w:r>
              <w:rPr>
                <w:color w:val="C0392B"/>
                <w:sz w:val="16"/>
                <w:vertAlign w:val="superscript"/>
              </w:rPr>
              <w:t xml:space="preserve">[246]</w:t>
            </w:r>
          </w:p>
        </w:tc>
        <w:tc>
          <w:tcPr>
            <w:tcW w:w="1000" w:type="dxa"/>
          </w:tcPr>
          <w:p>
            <w:pPr>
              <w:spacing w:before="40" w:after="40" w:line="240" w:lineRule="auto"/>
            </w:pPr>
            <w:r>
              <w:rPr>
                <w:color w:val="1A252F"/>
                <w:sz w:val="18"/>
              </w:rPr>
              <w:t xml:space="preserve">Misclassification; no sick pay for package delivery workers; no premium pay</w:t>
            </w:r>
          </w:p>
        </w:tc>
        <w:tc>
          <w:tcPr>
            <w:tcW w:w="1000" w:type="dxa"/>
          </w:tcPr>
          <w:p>
            <w:pPr>
              <w:spacing w:before="40" w:after="40" w:line="240" w:lineRule="auto"/>
            </w:pPr>
            <w:r>
              <w:rPr>
                <w:color w:val="1A252F"/>
                <w:sz w:val="18"/>
              </w:rPr>
              <w:t xml:space="preserve">Seattle OLS settlement ($3.78M, Dec 2025) — second-largest in OLS history </w:t>
            </w:r>
            <w:r>
              <w:rPr>
                <w:color w:val="C0392B"/>
                <w:sz w:val="16"/>
                <w:vertAlign w:val="superscript"/>
              </w:rPr>
              <w:t xml:space="preserve">[469]</w:t>
            </w:r>
          </w:p>
        </w:tc>
        <w:tc>
          <w:tcPr>
            <w:tcW w:w="1000" w:type="dxa"/>
          </w:tcPr>
          <w:p>
            <w:pPr>
              <w:spacing w:before="40" w:after="40" w:line="240" w:lineRule="auto"/>
            </w:pPr>
            <w:r>
              <w:rPr>
                <w:color w:val="1A252F"/>
                <w:sz w:val="18"/>
              </w:rPr>
              <w:t xml:space="preserve">Active; settlement payments began Jan 2026</w:t>
            </w:r>
          </w:p>
        </w:tc>
        <w:tc>
          <w:tcPr>
            <w:tcW w:w="1000" w:type="dxa"/>
          </w:tcPr>
          <w:p>
            <w:pPr>
              <w:spacing w:before="40" w:after="40" w:line="240" w:lineRule="auto"/>
            </w:pPr>
            <w:r>
              <w:rPr>
                <w:color w:val="1A252F"/>
                <w:sz w:val="18"/>
              </w:rPr>
              <w:t xml:space="preserve">10,968 affected in Seattle; hundreds of thousands nationally</w:t>
            </w:r>
          </w:p>
        </w:tc>
        <w:tc>
          <w:tcPr>
            <w:tcW w:w="1000" w:type="dxa"/>
          </w:tcPr>
          <w:p>
            <w:pPr>
              <w:spacing w:before="40" w:after="40" w:line="240" w:lineRule="auto"/>
            </w:pPr>
            <w:r>
              <w:rPr>
                <w:color w:val="1A252F"/>
                <w:sz w:val="18"/>
              </w:rPr>
              <w:t xml:space="preserve">U.S., UK, Germany, India, Japan</w:t>
            </w:r>
          </w:p>
        </w:tc>
      </w:tr>
      <w:tr>
        <w:tc>
          <w:tcPr>
            <w:tcW w:w="1000" w:type="dxa"/>
          </w:tcPr>
          <w:p>
            <w:pPr>
              <w:spacing w:before="40" w:after="40" w:line="240" w:lineRule="auto"/>
            </w:pPr>
            <w:r>
              <w:rPr>
                <w:color w:val="1A252F"/>
                <w:sz w:val="18"/>
              </w:rPr>
              <w:t xml:space="preserve">Bolt</w:t>
            </w:r>
          </w:p>
        </w:tc>
        <w:tc>
          <w:tcPr>
            <w:tcW w:w="1000" w:type="dxa"/>
          </w:tcPr>
          <w:p>
            <w:pPr>
              <w:spacing w:before="40" w:after="40" w:line="240" w:lineRule="auto"/>
            </w:pPr>
            <w:r>
              <w:rPr>
                <w:color w:val="1A252F"/>
                <w:sz w:val="18"/>
              </w:rPr>
              <w:t xml:space="preserve">Ride-hailing</w:t>
            </w:r>
          </w:p>
        </w:tc>
        <w:tc>
          <w:tcPr>
            <w:tcW w:w="1000" w:type="dxa"/>
          </w:tcPr>
          <w:p>
            <w:pPr>
              <w:spacing w:before="40" w:after="40" w:line="240" w:lineRule="auto"/>
            </w:pPr>
            <w:r>
              <w:rPr>
                <w:color w:val="1A252F"/>
                <w:sz w:val="18"/>
              </w:rPr>
              <w:t xml:space="preserve">High — UK worker status ruling</w:t>
            </w:r>
          </w:p>
        </w:tc>
        <w:tc>
          <w:tcPr>
            <w:tcW w:w="1000" w:type="dxa"/>
          </w:tcPr>
          <w:p>
            <w:pPr>
              <w:spacing w:before="40" w:after="40" w:line="240" w:lineRule="auto"/>
            </w:pPr>
            <w:r>
              <w:rPr>
                <w:color w:val="1A252F"/>
                <w:sz w:val="18"/>
              </w:rPr>
              <w:t xml:space="preserve">£200M+ potential liability across 100,000+ UK drivers </w:t>
            </w:r>
            <w:r>
              <w:rPr>
                <w:color w:val="C0392B"/>
                <w:sz w:val="16"/>
                <w:vertAlign w:val="superscript"/>
              </w:rPr>
              <w:t xml:space="preserve">[474]</w:t>
            </w:r>
          </w:p>
        </w:tc>
        <w:tc>
          <w:tcPr>
            <w:tcW w:w="1000" w:type="dxa"/>
          </w:tcPr>
          <w:p>
            <w:pPr>
              <w:spacing w:before="40" w:after="40" w:line="240" w:lineRule="auto"/>
            </w:pPr>
            <w:r>
              <w:rPr>
                <w:color w:val="1A252F"/>
                <w:sz w:val="18"/>
              </w:rPr>
              <w:t xml:space="preserve">Misclassification; no holiday pay; no minimum wage</w:t>
            </w:r>
          </w:p>
        </w:tc>
        <w:tc>
          <w:tcPr>
            <w:tcW w:w="1000" w:type="dxa"/>
          </w:tcPr>
          <w:p>
            <w:pPr>
              <w:spacing w:before="40" w:after="40" w:line="240" w:lineRule="auto"/>
            </w:pPr>
            <w:r>
              <w:rPr>
                <w:color w:val="1A252F"/>
                <w:sz w:val="18"/>
              </w:rPr>
              <w:t xml:space="preserve">UK Employment Tribunal ruled drivers are workers (Nov 2024); 15,000 claimants represented by Leigh Day </w:t>
            </w:r>
            <w:r>
              <w:rPr>
                <w:color w:val="C0392B"/>
                <w:sz w:val="16"/>
                <w:vertAlign w:val="superscript"/>
              </w:rPr>
              <w:t xml:space="preserve">[474]</w:t>
            </w:r>
            <w:r>
              <w:rPr>
                <w:color w:val="C0392B"/>
                <w:sz w:val="16"/>
                <w:vertAlign w:val="superscript"/>
              </w:rPr>
              <w:t xml:space="preserve">[476]</w:t>
            </w:r>
          </w:p>
        </w:tc>
        <w:tc>
          <w:tcPr>
            <w:tcW w:w="1000" w:type="dxa"/>
          </w:tcPr>
          <w:p>
            <w:pPr>
              <w:spacing w:before="40" w:after="40" w:line="240" w:lineRule="auto"/>
            </w:pPr>
            <w:r>
              <w:rPr>
                <w:color w:val="1A252F"/>
                <w:sz w:val="18"/>
              </w:rPr>
              <w:t xml:space="preserve">Active; implementing holiday pay and NLW top-ups Aug 2024</w:t>
            </w:r>
          </w:p>
        </w:tc>
        <w:tc>
          <w:tcPr>
            <w:tcW w:w="1000" w:type="dxa"/>
          </w:tcPr>
          <w:p>
            <w:pPr>
              <w:spacing w:before="40" w:after="40" w:line="240" w:lineRule="auto"/>
            </w:pPr>
            <w:r>
              <w:rPr>
                <w:color w:val="1A252F"/>
                <w:sz w:val="18"/>
              </w:rPr>
              <w:t xml:space="preserve">100,000+ UK drivers affected by ruling</w:t>
            </w:r>
          </w:p>
        </w:tc>
        <w:tc>
          <w:tcPr>
            <w:tcW w:w="1000" w:type="dxa"/>
          </w:tcPr>
          <w:p>
            <w:pPr>
              <w:spacing w:before="40" w:after="40" w:line="240" w:lineRule="auto"/>
            </w:pPr>
            <w:r>
              <w:rPr>
                <w:color w:val="1A252F"/>
                <w:sz w:val="18"/>
              </w:rPr>
              <w:t xml:space="preserve">Europe (UK, Spain, France, Germany, Portugal, Poland, Romania)</w:t>
            </w:r>
          </w:p>
        </w:tc>
      </w:tr>
      <w:tr>
        <w:tc>
          <w:tcPr>
            <w:tcW w:w="1000" w:type="dxa"/>
          </w:tcPr>
          <w:p>
            <w:pPr>
              <w:spacing w:before="40" w:after="40" w:line="240" w:lineRule="auto"/>
            </w:pPr>
            <w:r>
              <w:rPr>
                <w:color w:val="1A252F"/>
                <w:sz w:val="18"/>
              </w:rPr>
              <w:t xml:space="preserve">Glovo</w:t>
            </w:r>
          </w:p>
        </w:tc>
        <w:tc>
          <w:tcPr>
            <w:tcW w:w="1000" w:type="dxa"/>
          </w:tcPr>
          <w:p>
            <w:pPr>
              <w:spacing w:before="40" w:after="40" w:line="240" w:lineRule="auto"/>
            </w:pPr>
            <w:r>
              <w:rPr>
                <w:color w:val="1A252F"/>
                <w:sz w:val="18"/>
              </w:rPr>
              <w:t xml:space="preserve">Food delivery</w:t>
            </w:r>
          </w:p>
        </w:tc>
        <w:tc>
          <w:tcPr>
            <w:tcW w:w="1000" w:type="dxa"/>
          </w:tcPr>
          <w:p>
            <w:pPr>
              <w:spacing w:before="40" w:after="40" w:line="240" w:lineRule="auto"/>
            </w:pPr>
            <w:r>
              <w:rPr>
                <w:color w:val="1A252F"/>
                <w:sz w:val="18"/>
              </w:rPr>
              <w:t xml:space="preserve">Very High — Spain criminal prosecution; EU cartel fine</w:t>
            </w:r>
          </w:p>
        </w:tc>
        <w:tc>
          <w:tcPr>
            <w:tcW w:w="1000" w:type="dxa"/>
          </w:tcPr>
          <w:p>
            <w:pPr>
              <w:spacing w:before="40" w:after="40" w:line="240" w:lineRule="auto"/>
            </w:pPr>
            <w:r>
              <w:rPr>
                <w:color w:val="1A252F"/>
                <w:sz w:val="18"/>
              </w:rPr>
              <w:t xml:space="preserve">€450M demanded in Spain (fines + unpaid social contributions); €329M EU cartel fine </w:t>
            </w:r>
            <w:r>
              <w:rPr>
                <w:color w:val="C0392B"/>
                <w:sz w:val="16"/>
                <w:vertAlign w:val="superscript"/>
              </w:rPr>
              <w:t xml:space="preserve">[280]</w:t>
            </w:r>
            <w:r>
              <w:rPr>
                <w:color w:val="C0392B"/>
                <w:sz w:val="16"/>
                <w:vertAlign w:val="superscript"/>
              </w:rPr>
              <w:t xml:space="preserve">[60]</w:t>
            </w:r>
          </w:p>
        </w:tc>
        <w:tc>
          <w:tcPr>
            <w:tcW w:w="1000" w:type="dxa"/>
          </w:tcPr>
          <w:p>
            <w:pPr>
              <w:spacing w:before="40" w:after="40" w:line="240" w:lineRule="auto"/>
            </w:pPr>
            <w:r>
              <w:rPr>
                <w:color w:val="1A252F"/>
                <w:sz w:val="18"/>
              </w:rPr>
              <w:t xml:space="preserve">False self-employment; market allocation no-poach agreement</w:t>
            </w:r>
          </w:p>
        </w:tc>
        <w:tc>
          <w:tcPr>
            <w:tcW w:w="1000" w:type="dxa"/>
          </w:tcPr>
          <w:p>
            <w:pPr>
              <w:spacing w:before="40" w:after="40" w:line="240" w:lineRule="auto"/>
            </w:pPr>
            <w:r>
              <w:rPr>
                <w:color w:val="1A252F"/>
                <w:sz w:val="18"/>
              </w:rPr>
              <w:t xml:space="preserve">Spain fined €79M (Sep 2024); criminal prosecution of CEO; EU cartel fine €329M (Jun 2025); capitulated Dec 2024 </w:t>
            </w:r>
            <w:r>
              <w:rPr>
                <w:color w:val="C0392B"/>
                <w:sz w:val="16"/>
                <w:vertAlign w:val="superscript"/>
              </w:rPr>
              <w:t xml:space="preserve">[547]</w:t>
            </w:r>
            <w:r>
              <w:rPr>
                <w:color w:val="C0392B"/>
                <w:sz w:val="16"/>
                <w:vertAlign w:val="superscript"/>
              </w:rPr>
              <w:t xml:space="preserve">[548]</w:t>
            </w:r>
          </w:p>
        </w:tc>
        <w:tc>
          <w:tcPr>
            <w:tcW w:w="1000" w:type="dxa"/>
          </w:tcPr>
          <w:p>
            <w:pPr>
              <w:spacing w:before="40" w:after="40" w:line="240" w:lineRule="auto"/>
            </w:pPr>
            <w:r>
              <w:rPr>
                <w:color w:val="1A252F"/>
                <w:sz w:val="18"/>
              </w:rPr>
              <w:t xml:space="preserve">Transitioned ~15,000 Spanish riders to employment Dec 2024; parent Delivery Hero took €100M earnings hit </w:t>
            </w:r>
            <w:r>
              <w:rPr>
                <w:color w:val="C0392B"/>
                <w:sz w:val="16"/>
                <w:vertAlign w:val="superscript"/>
              </w:rPr>
              <w:t xml:space="preserve">[548]</w:t>
            </w:r>
          </w:p>
        </w:tc>
        <w:tc>
          <w:tcPr>
            <w:tcW w:w="1000" w:type="dxa"/>
          </w:tcPr>
          <w:p>
            <w:pPr>
              <w:spacing w:before="40" w:after="40" w:line="240" w:lineRule="auto"/>
            </w:pPr>
            <w:r>
              <w:rPr>
                <w:color w:val="1A252F"/>
                <w:sz w:val="18"/>
              </w:rPr>
              <w:t xml:space="preserve">15,000 riders in Spain; 41,000 false self-employed regularized by May 2024</w:t>
            </w:r>
          </w:p>
        </w:tc>
        <w:tc>
          <w:tcPr>
            <w:tcW w:w="1000" w:type="dxa"/>
          </w:tcPr>
          <w:p>
            <w:pPr>
              <w:spacing w:before="40" w:after="40" w:line="240" w:lineRule="auto"/>
            </w:pPr>
            <w:r>
              <w:rPr>
                <w:color w:val="1A252F"/>
                <w:sz w:val="18"/>
              </w:rPr>
              <w:t xml:space="preserve">Spain (primary), Italy, Portugal, Eastern Europe</w:t>
            </w:r>
          </w:p>
        </w:tc>
      </w:tr>
      <w:tr>
        <w:tc>
          <w:tcPr>
            <w:tcW w:w="1000" w:type="dxa"/>
          </w:tcPr>
          <w:p>
            <w:pPr>
              <w:spacing w:before="40" w:after="40" w:line="240" w:lineRule="auto"/>
            </w:pPr>
            <w:r>
              <w:rPr>
                <w:color w:val="1A252F"/>
                <w:sz w:val="18"/>
              </w:rPr>
              <w:t xml:space="preserve">Just Eat Takeaway</w:t>
            </w:r>
          </w:p>
        </w:tc>
        <w:tc>
          <w:tcPr>
            <w:tcW w:w="1000" w:type="dxa"/>
          </w:tcPr>
          <w:p>
            <w:pPr>
              <w:spacing w:before="40" w:after="40" w:line="240" w:lineRule="auto"/>
            </w:pPr>
            <w:r>
              <w:rPr>
                <w:color w:val="1A252F"/>
                <w:sz w:val="18"/>
              </w:rPr>
              <w:t xml:space="preserve">Food delivery</w:t>
            </w:r>
          </w:p>
        </w:tc>
        <w:tc>
          <w:tcPr>
            <w:tcW w:w="1000" w:type="dxa"/>
          </w:tcPr>
          <w:p>
            <w:pPr>
              <w:spacing w:before="40" w:after="40" w:line="240" w:lineRule="auto"/>
            </w:pPr>
            <w:r>
              <w:rPr>
                <w:color w:val="1A252F"/>
                <w:sz w:val="18"/>
              </w:rPr>
              <w:t xml:space="preserve">High — 7,000-courier UK tribunal</w:t>
            </w:r>
          </w:p>
        </w:tc>
        <w:tc>
          <w:tcPr>
            <w:tcW w:w="1000" w:type="dxa"/>
          </w:tcPr>
          <w:p>
            <w:pPr>
              <w:spacing w:before="40" w:after="40" w:line="240" w:lineRule="auto"/>
            </w:pPr>
            <w:r>
              <w:rPr>
                <w:color w:val="1A252F"/>
                <w:sz w:val="18"/>
              </w:rPr>
              <w:t xml:space="preserve">Tens of millions of pounds potential liability </w:t>
            </w:r>
            <w:r>
              <w:rPr>
                <w:color w:val="C0392B"/>
                <w:sz w:val="16"/>
                <w:vertAlign w:val="superscript"/>
              </w:rPr>
              <w:t xml:space="preserve">[127]</w:t>
            </w:r>
            <w:r>
              <w:rPr>
                <w:color w:val="C0392B"/>
                <w:sz w:val="16"/>
                <w:vertAlign w:val="superscript"/>
              </w:rPr>
              <w:t xml:space="preserve">[125]</w:t>
            </w:r>
          </w:p>
        </w:tc>
        <w:tc>
          <w:tcPr>
            <w:tcW w:w="1000" w:type="dxa"/>
          </w:tcPr>
          <w:p>
            <w:pPr>
              <w:spacing w:before="40" w:after="40" w:line="240" w:lineRule="auto"/>
            </w:pPr>
            <w:r>
              <w:rPr>
                <w:color w:val="1A252F"/>
                <w:sz w:val="18"/>
              </w:rPr>
              <w:t xml:space="preserve">Misclassification; no minimum wage for waiting time; no paid holiday</w:t>
            </w:r>
          </w:p>
        </w:tc>
        <w:tc>
          <w:tcPr>
            <w:tcW w:w="1000" w:type="dxa"/>
          </w:tcPr>
          <w:p>
            <w:pPr>
              <w:spacing w:before="40" w:after="40" w:line="240" w:lineRule="auto"/>
            </w:pPr>
            <w:r>
              <w:rPr>
                <w:color w:val="1A252F"/>
                <w:sz w:val="18"/>
              </w:rPr>
              <w:t xml:space="preserve">UK mass tribunal: 7,000+ couriers seeking worker status (May–Jun 2026) </w:t>
            </w:r>
            <w:r>
              <w:rPr>
                <w:color w:val="C0392B"/>
                <w:sz w:val="16"/>
                <w:vertAlign w:val="superscript"/>
              </w:rPr>
              <w:t xml:space="preserve">[127]</w:t>
            </w:r>
          </w:p>
        </w:tc>
        <w:tc>
          <w:tcPr>
            <w:tcW w:w="1000" w:type="dxa"/>
          </w:tcPr>
          <w:p>
            <w:pPr>
              <w:spacing w:before="40" w:after="40" w:line="240" w:lineRule="auto"/>
            </w:pPr>
            <w:r>
              <w:rPr>
                <w:color w:val="1A252F"/>
                <w:sz w:val="18"/>
              </w:rPr>
              <w:t xml:space="preserve">Active; ended "Scoober" employed model in 2023, dismissed 1,700 couriers </w:t>
            </w:r>
            <w:r>
              <w:rPr>
                <w:color w:val="C0392B"/>
                <w:sz w:val="16"/>
                <w:vertAlign w:val="superscript"/>
              </w:rPr>
              <w:t xml:space="preserve">[130]</w:t>
            </w:r>
          </w:p>
        </w:tc>
        <w:tc>
          <w:tcPr>
            <w:tcW w:w="1000" w:type="dxa"/>
          </w:tcPr>
          <w:p>
            <w:pPr>
              <w:spacing w:before="40" w:after="40" w:line="240" w:lineRule="auto"/>
            </w:pPr>
            <w:r>
              <w:rPr>
                <w:color w:val="1A252F"/>
                <w:sz w:val="18"/>
              </w:rPr>
              <w:t xml:space="preserve">7,000+ claimants; 70,000+ total self-employed couriers in UK</w:t>
            </w:r>
          </w:p>
        </w:tc>
        <w:tc>
          <w:tcPr>
            <w:tcW w:w="1000" w:type="dxa"/>
          </w:tcPr>
          <w:p>
            <w:pPr>
              <w:spacing w:before="40" w:after="40" w:line="240" w:lineRule="auto"/>
            </w:pPr>
            <w:r>
              <w:rPr>
                <w:color w:val="1A252F"/>
                <w:sz w:val="18"/>
              </w:rPr>
              <w:t xml:space="preserve">Europe (UK, Netherlands, Germany, Poland, Canada)</w:t>
            </w:r>
          </w:p>
        </w:tc>
      </w:tr>
      <w:tr>
        <w:tc>
          <w:tcPr>
            <w:tcW w:w="1000" w:type="dxa"/>
          </w:tcPr>
          <w:p>
            <w:pPr>
              <w:spacing w:before="40" w:after="40" w:line="240" w:lineRule="auto"/>
            </w:pPr>
            <w:r>
              <w:rPr>
                <w:color w:val="1A252F"/>
                <w:sz w:val="18"/>
              </w:rPr>
              <w:t xml:space="preserve">Gorillas / Getir</w:t>
            </w:r>
          </w:p>
        </w:tc>
        <w:tc>
          <w:tcPr>
            <w:tcW w:w="1000" w:type="dxa"/>
          </w:tcPr>
          <w:p>
            <w:pPr>
              <w:spacing w:before="40" w:after="40" w:line="240" w:lineRule="auto"/>
            </w:pPr>
            <w:r>
              <w:rPr>
                <w:color w:val="1A252F"/>
                <w:sz w:val="18"/>
              </w:rPr>
              <w:t xml:space="preserve">Rapid delivery (q-commerce)</w:t>
            </w:r>
          </w:p>
        </w:tc>
        <w:tc>
          <w:tcPr>
            <w:tcW w:w="1000" w:type="dxa"/>
          </w:tcPr>
          <w:p>
            <w:pPr>
              <w:spacing w:before="40" w:after="40" w:line="240" w:lineRule="auto"/>
            </w:pPr>
            <w:r>
              <w:rPr>
                <w:color w:val="1A252F"/>
                <w:sz w:val="18"/>
              </w:rPr>
              <w:t xml:space="preserve">Moderate-High — sector-wide collapse</w:t>
            </w:r>
          </w:p>
        </w:tc>
        <w:tc>
          <w:tcPr>
            <w:tcW w:w="1000" w:type="dxa"/>
          </w:tcPr>
          <w:p>
            <w:pPr>
              <w:spacing w:before="40" w:after="40" w:line="240" w:lineRule="auto"/>
            </w:pPr>
            <w:r>
              <w:rPr>
                <w:color w:val="1A252F"/>
                <w:sz w:val="18"/>
              </w:rPr>
              <w:t xml:space="preserve">Unpaid wages, bonuses, severance; undocumented amounts</w:t>
            </w:r>
          </w:p>
        </w:tc>
        <w:tc>
          <w:tcPr>
            <w:tcW w:w="1000" w:type="dxa"/>
          </w:tcPr>
          <w:p>
            <w:pPr>
              <w:spacing w:before="40" w:after="40" w:line="240" w:lineRule="auto"/>
            </w:pPr>
            <w:r>
              <w:rPr>
                <w:color w:val="1A252F"/>
                <w:sz w:val="18"/>
              </w:rPr>
              <w:t xml:space="preserve">Unpaid wages and benefits; hour cuts without redundancy; pressured resignations</w:t>
            </w:r>
          </w:p>
        </w:tc>
        <w:tc>
          <w:tcPr>
            <w:tcW w:w="1000" w:type="dxa"/>
          </w:tcPr>
          <w:p>
            <w:pPr>
              <w:spacing w:before="40" w:after="40" w:line="240" w:lineRule="auto"/>
            </w:pPr>
            <w:r>
              <w:rPr>
                <w:color w:val="1A252F"/>
                <w:sz w:val="18"/>
              </w:rPr>
              <w:t xml:space="preserve">None at scale; individual worker court cases</w:t>
            </w:r>
          </w:p>
        </w:tc>
        <w:tc>
          <w:tcPr>
            <w:tcW w:w="1000" w:type="dxa"/>
          </w:tcPr>
          <w:p>
            <w:pPr>
              <w:spacing w:before="40" w:after="40" w:line="240" w:lineRule="auto"/>
            </w:pPr>
            <w:r>
              <w:rPr>
                <w:color w:val="1A252F"/>
                <w:sz w:val="18"/>
              </w:rPr>
              <w:t xml:space="preserve">Getir exited Netherlands, UK, Germany, France, Italy, Portugal, Spain; cut 2,500 of 25,000 workers </w:t>
            </w:r>
            <w:r>
              <w:rPr>
                <w:color w:val="C0392B"/>
                <w:sz w:val="16"/>
                <w:vertAlign w:val="superscript"/>
              </w:rPr>
              <w:t xml:space="preserve">[568]</w:t>
            </w:r>
          </w:p>
        </w:tc>
        <w:tc>
          <w:tcPr>
            <w:tcW w:w="1000" w:type="dxa"/>
          </w:tcPr>
          <w:p>
            <w:pPr>
              <w:spacing w:before="40" w:after="40" w:line="240" w:lineRule="auto"/>
            </w:pPr>
            <w:r>
              <w:rPr>
                <w:color w:val="1A252F"/>
                <w:sz w:val="18"/>
              </w:rPr>
              <w:t xml:space="preserve">25,000 workers at peak; 2,500 laid off</w:t>
            </w:r>
          </w:p>
        </w:tc>
        <w:tc>
          <w:tcPr>
            <w:tcW w:w="1000" w:type="dxa"/>
          </w:tcPr>
          <w:p>
            <w:pPr>
              <w:spacing w:before="40" w:after="40" w:line="240" w:lineRule="auto"/>
            </w:pPr>
            <w:r>
              <w:rPr>
                <w:color w:val="1A252F"/>
                <w:sz w:val="18"/>
              </w:rPr>
              <w:t xml:space="preserve">Europe (Germany, Netherlands, Turkey primary)</w:t>
            </w:r>
          </w:p>
        </w:tc>
      </w:tr>
      <w:tr>
        <w:tc>
          <w:tcPr>
            <w:tcW w:w="1000" w:type="dxa"/>
          </w:tcPr>
          <w:p>
            <w:pPr>
              <w:spacing w:before="40" w:after="40" w:line="240" w:lineRule="auto"/>
            </w:pPr>
            <w:r>
              <w:rPr>
                <w:color w:val="1A252F"/>
                <w:sz w:val="18"/>
              </w:rPr>
              <w:t xml:space="preserve">Stuart</w:t>
            </w:r>
          </w:p>
        </w:tc>
        <w:tc>
          <w:tcPr>
            <w:tcW w:w="1000" w:type="dxa"/>
          </w:tcPr>
          <w:p>
            <w:pPr>
              <w:spacing w:before="40" w:after="40" w:line="240" w:lineRule="auto"/>
            </w:pPr>
            <w:r>
              <w:rPr>
                <w:color w:val="1A252F"/>
                <w:sz w:val="18"/>
              </w:rPr>
              <w:t xml:space="preserve">Same-day delivery</w:t>
            </w:r>
          </w:p>
        </w:tc>
        <w:tc>
          <w:tcPr>
            <w:tcW w:w="1000" w:type="dxa"/>
          </w:tcPr>
          <w:p>
            <w:pPr>
              <w:spacing w:before="40" w:after="40" w:line="240" w:lineRule="auto"/>
            </w:pPr>
            <w:r>
              <w:rPr>
                <w:color w:val="1A252F"/>
                <w:sz w:val="18"/>
              </w:rPr>
              <w:t xml:space="preserve">Moderate — algorithmic pay complaints</w:t>
            </w:r>
          </w:p>
        </w:tc>
        <w:tc>
          <w:tcPr>
            <w:tcW w:w="1000" w:type="dxa"/>
          </w:tcPr>
          <w:p>
            <w:pPr>
              <w:spacing w:before="40" w:after="40" w:line="240" w:lineRule="auto"/>
            </w:pPr>
            <w:r>
              <w:rPr>
                <w:color w:val="1A252F"/>
                <w:sz w:val="18"/>
              </w:rPr>
              <w:t xml:space="preserve">Below-minimum piece rates in multiple markets</w:t>
            </w:r>
          </w:p>
        </w:tc>
        <w:tc>
          <w:tcPr>
            <w:tcW w:w="1000" w:type="dxa"/>
          </w:tcPr>
          <w:p>
            <w:pPr>
              <w:spacing w:before="40" w:after="40" w:line="240" w:lineRule="auto"/>
            </w:pPr>
            <w:r>
              <w:rPr>
                <w:color w:val="1A252F"/>
                <w:sz w:val="18"/>
              </w:rPr>
              <w:t xml:space="preserve">Algorithmic pay reduction; misclassification as independent courier</w:t>
            </w:r>
          </w:p>
        </w:tc>
        <w:tc>
          <w:tcPr>
            <w:tcW w:w="1000" w:type="dxa"/>
          </w:tcPr>
          <w:p>
            <w:pPr>
              <w:spacing w:before="40" w:after="40" w:line="240" w:lineRule="auto"/>
            </w:pPr>
            <w:r>
              <w:rPr>
                <w:color w:val="1A252F"/>
                <w:sz w:val="18"/>
              </w:rPr>
              <w:t xml:space="preserve">None major</w:t>
            </w:r>
          </w:p>
        </w:tc>
        <w:tc>
          <w:tcPr>
            <w:tcW w:w="1000" w:type="dxa"/>
          </w:tcPr>
          <w:p>
            <w:pPr>
              <w:spacing w:before="40" w:after="40" w:line="240" w:lineRule="auto"/>
            </w:pPr>
            <w:r>
              <w:rPr>
                <w:color w:val="1A252F"/>
                <w:sz w:val="18"/>
              </w:rPr>
              <w:t xml:space="preserve">Active; DPD Group subsidiary</w:t>
            </w:r>
          </w:p>
        </w:tc>
        <w:tc>
          <w:tcPr>
            <w:tcW w:w="1000" w:type="dxa"/>
          </w:tcPr>
          <w:p>
            <w:pPr>
              <w:spacing w:before="40" w:after="40" w:line="240" w:lineRule="auto"/>
            </w:pPr>
            <w:r>
              <w:rPr>
                <w:color w:val="1A252F"/>
                <w:sz w:val="18"/>
              </w:rPr>
              <w:t xml:space="preserve">Thousands</w:t>
            </w:r>
          </w:p>
        </w:tc>
        <w:tc>
          <w:tcPr>
            <w:tcW w:w="1000" w:type="dxa"/>
          </w:tcPr>
          <w:p>
            <w:pPr>
              <w:spacing w:before="40" w:after="40" w:line="240" w:lineRule="auto"/>
            </w:pPr>
            <w:r>
              <w:rPr>
                <w:color w:val="1A252F"/>
                <w:sz w:val="18"/>
              </w:rPr>
              <w:t xml:space="preserve">Europe (France, UK, Spain, Poland)</w:t>
            </w:r>
          </w:p>
        </w:tc>
      </w:tr>
    </w:tbl>
    <w:p>
      <w:pPr>
        <w:spacing w:after="200"/>
      </w:pPr>
    </w:p>
    <w:p>
      <w:pPr>
        <w:spacing w:after="160" w:line="300" w:lineRule="auto"/>
      </w:pPr>
      <w:r>
        <w:rPr>
          <w:color w:val="1A252F"/>
          <w:sz w:val="22"/>
        </w:rPr>
        <w:t xml:space="preserve">The food delivery and ride-hailing sector has produced the largest documented financial recoveries in gig economy history. The $328 million New York Attorney General settlement with Uber and Lyft, announced November 2023, represented the largest wage theft recovery in New York State history, benefiting over 100,000 drivers who had wages systematically deducted between 2014 and 2017 </w:t>
      </w:r>
      <w:r>
        <w:rPr>
          <w:color w:val="C0392B"/>
          <w:sz w:val="16"/>
          <w:vertAlign w:val="superscript"/>
        </w:rPr>
        <w:t xml:space="preserve">[285]</w:t>
      </w:r>
      <w:r>
        <w:rPr>
          <w:color w:val="1A252F"/>
          <w:sz w:val="22"/>
        </w:rPr>
        <w:t xml:space="preserve">. New York City Mayor Eric Adams' office secured a further $5.2 million settlement in January 2026 requiring Uber Eats to reinstate workers wrongfully deactivated between December 2023 and September 2024 — potentially affecting up to 10,000 workers and marking the first time the city secured reinstatement for workers deactivated by an app-based company </w:t>
      </w:r>
      <w:r>
        <w:rPr>
          <w:color w:val="C0392B"/>
          <w:sz w:val="16"/>
          <w:vertAlign w:val="superscript"/>
        </w:rPr>
        <w:t xml:space="preserve">[482]</w:t>
      </w:r>
      <w:r>
        <w:rPr>
          <w:color w:val="C0392B"/>
          <w:sz w:val="16"/>
          <w:vertAlign w:val="superscript"/>
        </w:rPr>
        <w:t xml:space="preserve">[542]</w:t>
      </w:r>
      <w:r>
        <w:rPr>
          <w:color w:val="1A252F"/>
          <w:sz w:val="22"/>
        </w:rPr>
        <w:t xml:space="preserve">.</w:t>
      </w:r>
    </w:p>
    <w:p>
      <w:pPr>
        <w:spacing w:after="160" w:line="300" w:lineRule="auto"/>
      </w:pPr>
      <w:r>
        <w:rPr>
          <w:color w:val="1A252F"/>
          <w:sz w:val="22"/>
        </w:rPr>
        <w:t xml:space="preserve">The California pre-Proposition 22 litigation exposes the scale of retroactive liability. Over 5,000 individual wage claims have been filed with the California Labor Commissioner, with an estimated 250,000 drivers potentially eligible during the 2016–2020 period </w:t>
      </w:r>
      <w:r>
        <w:rPr>
          <w:color w:val="C0392B"/>
          <w:sz w:val="16"/>
          <w:vertAlign w:val="superscript"/>
        </w:rPr>
        <w:t xml:space="preserve">[181]</w:t>
      </w:r>
      <w:r>
        <w:rPr>
          <w:color w:val="1A252F"/>
          <w:sz w:val="22"/>
        </w:rPr>
        <w:t xml:space="preserve">. The lawsuits seek recovery for unpaid minimum wage, overtime, business expense reimbursement, and failure to provide rest breaks. Rideshare Drivers United estimates total damages could reach into the billions of dollars </w:t>
      </w:r>
      <w:r>
        <w:rPr>
          <w:color w:val="C0392B"/>
          <w:sz w:val="16"/>
          <w:vertAlign w:val="superscript"/>
        </w:rPr>
        <w:t xml:space="preserve">[184]</w:t>
      </w:r>
      <w:r>
        <w:rPr>
          <w:color w:val="1A252F"/>
          <w:sz w:val="22"/>
        </w:rPr>
        <w:t xml:space="preserve">. However, the California Supreme Court's July 2024 upholding of Proposition 22 limits relief to work performed before December 15, 2020 — a structural ceiling on accountability that no other major jurisdiction has replicated </w:t>
      </w:r>
      <w:r>
        <w:rPr>
          <w:color w:val="C0392B"/>
          <w:sz w:val="16"/>
          <w:vertAlign w:val="superscript"/>
        </w:rPr>
        <w:t xml:space="preserve">[485]</w:t>
      </w:r>
      <w:r>
        <w:rPr>
          <w:color w:val="1A252F"/>
          <w:sz w:val="22"/>
        </w:rPr>
        <w:t xml:space="preserve">.</w:t>
      </w:r>
    </w:p>
    <w:p>
      <w:pPr>
        <w:spacing w:after="160" w:line="300" w:lineRule="auto"/>
      </w:pPr>
      <w:r>
        <w:rPr>
          <w:color w:val="1A252F"/>
          <w:sz w:val="22"/>
        </w:rPr>
        <w:t xml:space="preserve">DoorDash's tip theft scheme represents perhaps the most deliberately engineered extraction mechanism in the sector. Between 2017 and 2019, the company used customer tips to subsidize its own guaranteed pay contributions — a practice the New York Attorney General documented with mathematical precision: for a $10 guaranteed order, a customer tip of $9 meant DoorDash paid only $1 while the worker still received only $10 </w:t>
      </w:r>
      <w:r>
        <w:rPr>
          <w:color w:val="C0392B"/>
          <w:sz w:val="16"/>
          <w:vertAlign w:val="superscript"/>
        </w:rPr>
        <w:t xml:space="preserve">[447]</w:t>
      </w:r>
      <w:r>
        <w:rPr>
          <w:color w:val="1A252F"/>
          <w:sz w:val="22"/>
        </w:rPr>
        <w:t xml:space="preserve">. The scheme affected more than 11 million delivery orders in New York alone. DoorDash ultimately settled for $46 million across multiple jurisdictions: $16.75 million in New York, $11.25 million in Illinois, and $18 million in Chicago </w:t>
      </w:r>
      <w:r>
        <w:rPr>
          <w:color w:val="C0392B"/>
          <w:sz w:val="16"/>
          <w:vertAlign w:val="superscript"/>
        </w:rPr>
        <w:t xml:space="preserve">[447]</w:t>
      </w:r>
      <w:r>
        <w:rPr>
          <w:color w:val="C0392B"/>
          <w:sz w:val="16"/>
          <w:vertAlign w:val="superscript"/>
        </w:rPr>
        <w:t xml:space="preserve">[448]</w:t>
      </w:r>
      <w:r>
        <w:rPr>
          <w:color w:val="1A252F"/>
          <w:sz w:val="22"/>
        </w:rPr>
        <w:t xml:space="preserve">.</w:t>
      </w:r>
    </w:p>
    <w:p>
      <w:pPr>
        <w:spacing w:after="160" w:line="300" w:lineRule="auto"/>
      </w:pPr>
      <w:r>
        <w:rPr>
          <w:color w:val="1A252F"/>
          <w:sz w:val="22"/>
        </w:rPr>
        <w:t xml:space="preserve">Yet the scheme's evolution illustrates how platforms adapt to enforcement rather than reforming. After the settlements, DoorDash changed its app interface to move tipping to after checkout in New York City following the implementation of minimum pay requirements in December 2023. The result: average tips dropped from $3.66 per delivery to $0.93 — a 75% decrease in a single week </w:t>
      </w:r>
      <w:r>
        <w:rPr>
          <w:color w:val="C0392B"/>
          <w:sz w:val="16"/>
          <w:vertAlign w:val="superscript"/>
        </w:rPr>
        <w:t xml:space="preserve">[566]</w:t>
      </w:r>
      <w:r>
        <w:rPr>
          <w:color w:val="1A252F"/>
          <w:sz w:val="22"/>
        </w:rPr>
        <w:t xml:space="preserve">. On apps that kept tipping at checkout, the average remained $2.17. The total loss to workers from this interface manipulation: $554 million since the changes, or approximately $5,800 per worker per year </w:t>
      </w:r>
      <w:r>
        <w:rPr>
          <w:color w:val="C0392B"/>
          <w:sz w:val="16"/>
          <w:vertAlign w:val="superscript"/>
        </w:rPr>
        <w:t xml:space="preserve">[566]</w:t>
      </w:r>
      <w:r>
        <w:rPr>
          <w:color w:val="1A252F"/>
          <w:sz w:val="22"/>
        </w:rPr>
        <w:t xml:space="preserve">.</w:t>
      </w:r>
    </w:p>
    <w:p>
      <w:pPr>
        <w:spacing w:after="160" w:line="300" w:lineRule="auto"/>
      </w:pPr>
      <w:r>
        <w:rPr>
          <w:color w:val="1A252F"/>
          <w:sz w:val="22"/>
        </w:rPr>
        <w:t xml:space="preserve">Spain's confrontation with Glovo demonstrates that even the most defiant platforms eventually capitulate when criminal prosecution is on the table. After years of maintaining false self-employment for 41,000 riders, Spain fined Glovo €79 million in September 2024, demanded €450 million in total fines and unpaid social contributions, and brought criminal charges against CEO Oscar Pierre under a 2022 penal code reform that made false self-employment punishable by up to six years in prison </w:t>
      </w:r>
      <w:r>
        <w:rPr>
          <w:color w:val="C0392B"/>
          <w:sz w:val="16"/>
          <w:vertAlign w:val="superscript"/>
        </w:rPr>
        <w:t xml:space="preserve">[547]</w:t>
      </w:r>
      <w:r>
        <w:rPr>
          <w:color w:val="C0392B"/>
          <w:sz w:val="16"/>
          <w:vertAlign w:val="superscript"/>
        </w:rPr>
        <w:t xml:space="preserve">[280]</w:t>
      </w:r>
      <w:r>
        <w:rPr>
          <w:color w:val="C0392B"/>
          <w:sz w:val="16"/>
          <w:vertAlign w:val="superscript"/>
        </w:rPr>
        <w:t xml:space="preserve">[546]</w:t>
      </w:r>
      <w:r>
        <w:rPr>
          <w:color w:val="1A252F"/>
          <w:sz w:val="22"/>
        </w:rPr>
        <w:t xml:space="preserve">. One day before Pierre was to appear in court, Glovo announced it would formally employ its workers — affecting approximately 15,000 riders and costing parent company Delivery Hero an estimated €100 million in 2025 earnings </w:t>
      </w:r>
      <w:r>
        <w:rPr>
          <w:color w:val="C0392B"/>
          <w:sz w:val="16"/>
          <w:vertAlign w:val="superscript"/>
        </w:rPr>
        <w:t xml:space="preserve">[548]</w:t>
      </w:r>
      <w:r>
        <w:rPr>
          <w:color w:val="1A252F"/>
          <w:sz w:val="22"/>
        </w:rPr>
        <w:t xml:space="preserve">. Labor Minister Yolanda Díaz put the lesson plainly: "No company, no matter how large it is, no matter how much power it has, no great technology can impose itself on democracy" </w:t>
      </w:r>
      <w:r>
        <w:rPr>
          <w:color w:val="C0392B"/>
          <w:sz w:val="16"/>
          <w:vertAlign w:val="superscript"/>
        </w:rPr>
        <w:t xml:space="preserve">[548]</w:t>
      </w:r>
      <w:r>
        <w:rPr>
          <w:color w:val="1A252F"/>
          <w:sz w:val="22"/>
        </w:rPr>
        <w:t xml:space="preserve">.</w:t>
      </w:r>
    </w:p>
    <w:p>
      <w:pPr>
        <w:spacing w:after="160" w:line="300" w:lineRule="auto"/>
      </w:pPr>
      <w:r>
        <w:rPr>
          <w:color w:val="1A252F"/>
          <w:sz w:val="22"/>
        </w:rPr>
        <w:t xml:space="preserve">The EU Platform Work Directive creates a rebuttable presumption of employment for platform workers across all 27 member states </w:t>
      </w:r>
      <w:r>
        <w:rPr>
          <w:color w:val="C0392B"/>
          <w:sz w:val="16"/>
          <w:vertAlign w:val="superscript"/>
        </w:rPr>
        <w:t xml:space="preserve">[43]</w:t>
      </w:r>
      <w:r>
        <w:rPr>
          <w:color w:val="1A252F"/>
          <w:sz w:val="22"/>
        </w:rPr>
        <w:t xml:space="preserve">. Spain's Rider Law (Ley Rider), enacted in 2021, already required food delivery platforms to hire riders as employees — making Spain broadly compliant with the new directive. Italy, Portugal, and Belgium have existing presumption frameworks, while Germany, France, Ireland, and the Netherlands remain in consultation or early legislative stages </w:t>
      </w:r>
      <w:r>
        <w:rPr>
          <w:color w:val="C0392B"/>
          <w:sz w:val="16"/>
          <w:vertAlign w:val="superscript"/>
        </w:rPr>
        <w:t xml:space="preserve">[93]</w:t>
      </w:r>
      <w:r>
        <w:rPr>
          <w:color w:val="1A252F"/>
          <w:sz w:val="22"/>
        </w:rPr>
        <w:t xml:space="preserve">. The directive also mandates algorithmic transparency, bans purely algorithmic dismissals, prohibits processing data about workers' emotional or psychological states, and requires biennial impact assessments of AI on working conditions </w:t>
      </w:r>
      <w:r>
        <w:rPr>
          <w:color w:val="C0392B"/>
          <w:sz w:val="16"/>
          <w:vertAlign w:val="superscript"/>
        </w:rPr>
        <w:t xml:space="preserve">[44]</w:t>
      </w:r>
      <w:r>
        <w:rPr>
          <w:color w:val="1A252F"/>
          <w:sz w:val="22"/>
        </w:rPr>
        <w:t xml:space="preserve">. For delivery platforms that have built their business models on algorithmic management and worker misclassification, this regulatory wave represents an existential threat.</w:t>
      </w:r>
    </w:p>
    <w:p>
      <w:pPr>
        <w:pStyle w:val="Heading2"/>
      </w:pPr>
      <w:r>
        <w:rPr>
          <w:color w:val="1A252F"/>
          <w:sz w:val="22"/>
        </w:rPr>
        <w:t xml:space="preserve">1.3 Freelance and Contractor Marketplace Platforms</w:t>
      </w:r>
    </w:p>
    <w:p>
      <w:pPr>
        <w:spacing w:after="160" w:line="300" w:lineRule="auto"/>
      </w:pPr>
      <w:r>
        <w:rPr>
          <w:color w:val="1A252F"/>
          <w:sz w:val="22"/>
        </w:rPr>
        <w:t xml:space="preserve">Freelance marketplaces extract between $46.5 billion and $76.8 billion annually from freelancers through commission fees, payment holds, and hidden charges </w:t>
      </w:r>
      <w:r>
        <w:rPr>
          <w:color w:val="C0392B"/>
          <w:sz w:val="16"/>
          <w:vertAlign w:val="superscript"/>
        </w:rPr>
        <w:t xml:space="preserve">[578]</w:t>
      </w:r>
      <w:r>
        <w:rPr>
          <w:color w:val="1A252F"/>
          <w:sz w:val="22"/>
        </w:rPr>
        <w:t xml:space="preserve">. The top five platforms — Upwork, Fiverr, Freelancer.com, Toptal, and PeoplePerHour — control 78% of the $455 billion platform-mediated freelance market. Unlike delivery platforms, where the primary extraction mechanism is misclassification, freelance platforms deploy a more sophisticated architecture of layered fees, pay-to-play proposal systems, chargeback liability shifts, and punitive fund lockouts.</w:t>
      </w:r>
    </w:p>
    <w:tbl>
      <w:tblPr>
        <w:tblW w:w="5000" w:type="pct"/>
        <w:tblBorders>
          <w:top w:val="single" w:color="2C3E50" w:sz="12"/>
          <w:left w:val="nil"/>
          <w:bottom w:val="single" w:color="2C3E50" w:sz="12"/>
          <w:right w:val="nil"/>
          <w:insideH w:val="single" w:color="BDC3C7" w:sz="4"/>
          <w:insideV w:val="nil"/>
        </w:tblBorders>
        <w:tblLook w:val="04A0" w:firstRow="true"/>
      </w:tblPr>
      <w:tblGrid>
        <w:gridCol w:w="1000"/>
        <w:gridCol w:w="1000"/>
        <w:gridCol w:w="1000"/>
        <w:gridCol w:w="1000"/>
        <w:gridCol w:w="1000"/>
        <w:gridCol w:w="1000"/>
        <w:gridCol w:w="1000"/>
        <w:gridCol w:w="1000"/>
        <w:gridCol w:w="1000"/>
      </w:tblGrid>
      <w:tr>
        <w:trPr>
          <w:tblHeader/>
        </w:trPr>
        <w:tc>
          <w:tcPr>
            <w:tcW w:w="1000" w:type="dxa"/>
            <w:tcBorders>
              <w:bottom w:val="single" w:color="2C3E50" w:sz="6"/>
            </w:tcBorders>
            <w:shd w:val="clear" w:fill="EDF0F2"/>
          </w:tcPr>
          <w:p>
            <w:pPr>
              <w:spacing w:before="60" w:after="60"/>
            </w:pPr>
            <w:r>
              <w:rPr>
                <w:b/>
                <w:color w:val="1A252F"/>
                <w:sz w:val="18"/>
              </w:rPr>
              <w:t xml:space="preserve">Platform</w:t>
            </w:r>
          </w:p>
        </w:tc>
        <w:tc>
          <w:tcPr>
            <w:tcW w:w="1000" w:type="dxa"/>
            <w:tcBorders>
              <w:bottom w:val="single" w:color="2C3E50" w:sz="6"/>
            </w:tcBorders>
            <w:shd w:val="clear" w:fill="EDF0F2"/>
          </w:tcPr>
          <w:p>
            <w:pPr>
              <w:spacing w:before="60" w:after="60"/>
            </w:pPr>
            <w:r>
              <w:rPr>
                <w:b/>
                <w:color w:val="1A252F"/>
                <w:sz w:val="18"/>
              </w:rPr>
              <w:t xml:space="preserve">Category</w:t>
            </w:r>
          </w:p>
        </w:tc>
        <w:tc>
          <w:tcPr>
            <w:tcW w:w="1000" w:type="dxa"/>
            <w:tcBorders>
              <w:bottom w:val="single" w:color="2C3E50" w:sz="6"/>
            </w:tcBorders>
            <w:shd w:val="clear" w:fill="EDF0F2"/>
          </w:tcPr>
          <w:p>
            <w:pPr>
              <w:spacing w:before="60" w:after="60"/>
            </w:pPr>
            <w:r>
              <w:rPr>
                <w:b/>
                <w:color w:val="1A252F"/>
                <w:sz w:val="18"/>
              </w:rPr>
              <w:t xml:space="preserve">Complaint Volume</w:t>
            </w:r>
          </w:p>
        </w:tc>
        <w:tc>
          <w:tcPr>
            <w:tcW w:w="1000" w:type="dxa"/>
            <w:tcBorders>
              <w:bottom w:val="single" w:color="2C3E50" w:sz="6"/>
            </w:tcBorders>
            <w:shd w:val="clear" w:fill="EDF0F2"/>
          </w:tcPr>
          <w:p>
            <w:pPr>
              <w:spacing w:before="60" w:after="60"/>
            </w:pPr>
            <w:r>
              <w:rPr>
                <w:b/>
                <w:color w:val="1A252F"/>
                <w:sz w:val="18"/>
              </w:rPr>
              <w:t xml:space="preserve">Est. Unpaid Amounts</w:t>
            </w:r>
          </w:p>
        </w:tc>
        <w:tc>
          <w:tcPr>
            <w:tcW w:w="1000" w:type="dxa"/>
            <w:tcBorders>
              <w:bottom w:val="single" w:color="2C3E50" w:sz="6"/>
            </w:tcBorders>
            <w:shd w:val="clear" w:fill="EDF0F2"/>
          </w:tcPr>
          <w:p>
            <w:pPr>
              <w:spacing w:before="60" w:after="60"/>
            </w:pPr>
            <w:r>
              <w:rPr>
                <w:b/>
                <w:color w:val="1A252F"/>
                <w:sz w:val="18"/>
              </w:rPr>
              <w:t xml:space="preserve">Most Common Complaint</w:t>
            </w:r>
          </w:p>
        </w:tc>
        <w:tc>
          <w:tcPr>
            <w:tcW w:w="1000" w:type="dxa"/>
            <w:tcBorders>
              <w:bottom w:val="single" w:color="2C3E50" w:sz="6"/>
            </w:tcBorders>
            <w:shd w:val="clear" w:fill="EDF0F2"/>
          </w:tcPr>
          <w:p>
            <w:pPr>
              <w:spacing w:before="60" w:after="60"/>
            </w:pPr>
            <w:r>
              <w:rPr>
                <w:b/>
                <w:color w:val="1A252F"/>
                <w:sz w:val="18"/>
              </w:rPr>
              <w:t xml:space="preserve">Legal Action</w:t>
            </w:r>
          </w:p>
        </w:tc>
        <w:tc>
          <w:tcPr>
            <w:tcW w:w="1000" w:type="dxa"/>
            <w:tcBorders>
              <w:bottom w:val="single" w:color="2C3E50" w:sz="6"/>
            </w:tcBorders>
            <w:shd w:val="clear" w:fill="EDF0F2"/>
          </w:tcPr>
          <w:p>
            <w:pPr>
              <w:spacing w:before="60" w:after="60"/>
            </w:pPr>
            <w:r>
              <w:rPr>
                <w:b/>
                <w:color w:val="1A252F"/>
                <w:sz w:val="18"/>
              </w:rPr>
              <w:t xml:space="preserve">Current Status</w:t>
            </w:r>
          </w:p>
        </w:tc>
        <w:tc>
          <w:tcPr>
            <w:tcW w:w="1000" w:type="dxa"/>
            <w:tcBorders>
              <w:bottom w:val="single" w:color="2C3E50" w:sz="6"/>
            </w:tcBorders>
            <w:shd w:val="clear" w:fill="EDF0F2"/>
          </w:tcPr>
          <w:p>
            <w:pPr>
              <w:spacing w:before="60" w:after="60"/>
            </w:pPr>
            <w:r>
              <w:rPr>
                <w:b/>
                <w:color w:val="1A252F"/>
                <w:sz w:val="18"/>
              </w:rPr>
              <w:t xml:space="preserve">Affected Workers</w:t>
            </w:r>
          </w:p>
        </w:tc>
        <w:tc>
          <w:tcPr>
            <w:tcW w:w="1000" w:type="dxa"/>
            <w:tcBorders>
              <w:bottom w:val="single" w:color="2C3E50" w:sz="6"/>
            </w:tcBorders>
            <w:shd w:val="clear" w:fill="EDF0F2"/>
          </w:tcPr>
          <w:p>
            <w:pPr>
              <w:spacing w:before="60" w:after="60"/>
            </w:pPr>
            <w:r>
              <w:rPr>
                <w:b/>
                <w:color w:val="1A252F"/>
                <w:sz w:val="18"/>
              </w:rPr>
              <w:t xml:space="preserve">Geographic Concentration</w:t>
            </w:r>
          </w:p>
        </w:tc>
      </w:tr>
      <w:tr>
        <w:tc>
          <w:tcPr>
            <w:tcW w:w="1000" w:type="dxa"/>
          </w:tcPr>
          <w:p>
            <w:pPr>
              <w:spacing w:before="40" w:after="40" w:line="240" w:lineRule="auto"/>
            </w:pPr>
            <w:r>
              <w:rPr>
                <w:color w:val="1A252F"/>
                <w:sz w:val="18"/>
              </w:rPr>
              <w:t xml:space="preserve">Upwork</w:t>
            </w:r>
          </w:p>
        </w:tc>
        <w:tc>
          <w:tcPr>
            <w:tcW w:w="1000" w:type="dxa"/>
          </w:tcPr>
          <w:p>
            <w:pPr>
              <w:spacing w:before="40" w:after="40" w:line="240" w:lineRule="auto"/>
            </w:pPr>
            <w:r>
              <w:rPr>
                <w:color w:val="1A252F"/>
                <w:sz w:val="18"/>
              </w:rPr>
              <w:t xml:space="preserve">Freelance marketplace</w:t>
            </w:r>
          </w:p>
        </w:tc>
        <w:tc>
          <w:tcPr>
            <w:tcW w:w="1000" w:type="dxa"/>
          </w:tcPr>
          <w:p>
            <w:pPr>
              <w:spacing w:before="40" w:after="40" w:line="240" w:lineRule="auto"/>
            </w:pPr>
            <w:r>
              <w:rPr>
                <w:color w:val="1A252F"/>
                <w:sz w:val="18"/>
              </w:rPr>
              <w:t xml:space="preserve">Very High — fee evolution protests, chargeback disputes, account bans</w:t>
            </w:r>
          </w:p>
        </w:tc>
        <w:tc>
          <w:tcPr>
            <w:tcW w:w="1000" w:type="dxa"/>
          </w:tcPr>
          <w:p>
            <w:pPr>
              <w:spacing w:before="40" w:after="40" w:line="240" w:lineRule="auto"/>
            </w:pPr>
            <w:r>
              <w:rPr>
                <w:color w:val="1A252F"/>
                <w:sz w:val="18"/>
              </w:rPr>
              <w:t xml:space="preserve">$12.5K documented chargeback case; $4,300 frozen account case; billions in aggregate fees annually </w:t>
            </w:r>
            <w:r>
              <w:rPr>
                <w:color w:val="C0392B"/>
                <w:sz w:val="16"/>
                <w:vertAlign w:val="superscript"/>
              </w:rPr>
              <w:t xml:space="preserve">[537]</w:t>
            </w:r>
            <w:r>
              <w:rPr>
                <w:color w:val="C0392B"/>
                <w:sz w:val="16"/>
                <w:vertAlign w:val="superscript"/>
              </w:rPr>
              <w:t xml:space="preserve">[543]</w:t>
            </w:r>
          </w:p>
        </w:tc>
        <w:tc>
          <w:tcPr>
            <w:tcW w:w="1000" w:type="dxa"/>
          </w:tcPr>
          <w:p>
            <w:pPr>
              <w:spacing w:before="40" w:after="40" w:line="240" w:lineRule="auto"/>
            </w:pPr>
            <w:r>
              <w:rPr>
                <w:color w:val="1A252F"/>
                <w:sz w:val="18"/>
              </w:rPr>
              <w:t xml:space="preserve">Variable 0–15% service fee (effective 22–34% with Connects, boosts, withdrawal fees); chargebacks shifted to freelancers; account bans with frozen funds</w:t>
            </w:r>
          </w:p>
        </w:tc>
        <w:tc>
          <w:tcPr>
            <w:tcW w:w="1000" w:type="dxa"/>
          </w:tcPr>
          <w:p>
            <w:pPr>
              <w:spacing w:before="40" w:after="40" w:line="240" w:lineRule="auto"/>
            </w:pPr>
            <w:r>
              <w:rPr>
                <w:color w:val="1A252F"/>
                <w:sz w:val="18"/>
              </w:rPr>
              <w:t xml:space="preserve">Over 15 major lawsuits since 2019; no class action on fee structure to date </w:t>
            </w:r>
            <w:r>
              <w:rPr>
                <w:color w:val="C0392B"/>
                <w:sz w:val="16"/>
                <w:vertAlign w:val="superscript"/>
              </w:rPr>
              <w:t xml:space="preserve">[527]</w:t>
            </w:r>
            <w:r>
              <w:rPr>
                <w:color w:val="C0392B"/>
                <w:sz w:val="16"/>
                <w:vertAlign w:val="superscript"/>
              </w:rPr>
              <w:t xml:space="preserve">[579]</w:t>
            </w:r>
          </w:p>
        </w:tc>
        <w:tc>
          <w:tcPr>
            <w:tcW w:w="1000" w:type="dxa"/>
          </w:tcPr>
          <w:p>
            <w:pPr>
              <w:spacing w:before="40" w:after="40" w:line="240" w:lineRule="auto"/>
            </w:pPr>
            <w:r>
              <w:rPr>
                <w:color w:val="1A252F"/>
                <w:sz w:val="18"/>
              </w:rPr>
              <w:t xml:space="preserve">Active; 18M+ registered freelancers; fee increased to variable 0–15% May 2025 </w:t>
            </w:r>
            <w:r>
              <w:rPr>
                <w:color w:val="C0392B"/>
                <w:sz w:val="16"/>
                <w:vertAlign w:val="superscript"/>
              </w:rPr>
              <w:t xml:space="preserve">[69]</w:t>
            </w:r>
          </w:p>
        </w:tc>
        <w:tc>
          <w:tcPr>
            <w:tcW w:w="1000" w:type="dxa"/>
          </w:tcPr>
          <w:p>
            <w:pPr>
              <w:spacing w:before="40" w:after="40" w:line="240" w:lineRule="auto"/>
            </w:pPr>
            <w:r>
              <w:rPr>
                <w:color w:val="1A252F"/>
                <w:sz w:val="18"/>
              </w:rPr>
              <w:t xml:space="preserve">18M+ registered; 58% face non-payment/delay globally = ~10.5M affected </w:t>
            </w:r>
            <w:r>
              <w:rPr>
                <w:color w:val="C0392B"/>
                <w:sz w:val="16"/>
                <w:vertAlign w:val="superscript"/>
              </w:rPr>
              <w:t xml:space="preserve">[535]</w:t>
            </w:r>
          </w:p>
        </w:tc>
        <w:tc>
          <w:tcPr>
            <w:tcW w:w="1000" w:type="dxa"/>
          </w:tcPr>
          <w:p>
            <w:pPr>
              <w:spacing w:before="40" w:after="40" w:line="240" w:lineRule="auto"/>
            </w:pPr>
            <w:r>
              <w:rPr>
                <w:color w:val="1A252F"/>
                <w:sz w:val="18"/>
              </w:rPr>
              <w:t xml:space="preserve">Global; U.S.-based company</w:t>
            </w:r>
          </w:p>
        </w:tc>
      </w:tr>
      <w:tr>
        <w:tc>
          <w:tcPr>
            <w:tcW w:w="1000" w:type="dxa"/>
          </w:tcPr>
          <w:p>
            <w:pPr>
              <w:spacing w:before="40" w:after="40" w:line="240" w:lineRule="auto"/>
            </w:pPr>
            <w:r>
              <w:rPr>
                <w:color w:val="1A252F"/>
                <w:sz w:val="18"/>
              </w:rPr>
              <w:t xml:space="preserve">Fiverr</w:t>
            </w:r>
          </w:p>
        </w:tc>
        <w:tc>
          <w:tcPr>
            <w:tcW w:w="1000" w:type="dxa"/>
          </w:tcPr>
          <w:p>
            <w:pPr>
              <w:spacing w:before="40" w:after="40" w:line="240" w:lineRule="auto"/>
            </w:pPr>
            <w:r>
              <w:rPr>
                <w:color w:val="1A252F"/>
                <w:sz w:val="18"/>
              </w:rPr>
              <w:t xml:space="preserve">Freelance marketplace</w:t>
            </w:r>
          </w:p>
        </w:tc>
        <w:tc>
          <w:tcPr>
            <w:tcW w:w="1000" w:type="dxa"/>
          </w:tcPr>
          <w:p>
            <w:pPr>
              <w:spacing w:before="40" w:after="40" w:line="240" w:lineRule="auto"/>
            </w:pPr>
            <w:r>
              <w:rPr>
                <w:color w:val="1A252F"/>
                <w:sz w:val="18"/>
              </w:rPr>
              <w:t xml:space="preserve">High — 90-day lockout policy, class action</w:t>
            </w:r>
          </w:p>
        </w:tc>
        <w:tc>
          <w:tcPr>
            <w:tcW w:w="1000" w:type="dxa"/>
          </w:tcPr>
          <w:p>
            <w:pPr>
              <w:spacing w:before="40" w:after="40" w:line="240" w:lineRule="auto"/>
            </w:pPr>
            <w:r>
              <w:rPr>
                <w:color w:val="1A252F"/>
                <w:sz w:val="18"/>
              </w:rPr>
              <w:t xml:space="preserve">$5M+ sought in Johnson v. Fiverr class action; billions in 20% commissions annually </w:t>
            </w:r>
            <w:r>
              <w:rPr>
                <w:color w:val="C0392B"/>
                <w:sz w:val="16"/>
                <w:vertAlign w:val="superscript"/>
              </w:rPr>
              <w:t xml:space="preserve">[519]</w:t>
            </w:r>
            <w:r>
              <w:rPr>
                <w:color w:val="C0392B"/>
                <w:sz w:val="16"/>
                <w:vertAlign w:val="superscript"/>
              </w:rPr>
              <w:t xml:space="preserve">[522]</w:t>
            </w:r>
          </w:p>
        </w:tc>
        <w:tc>
          <w:tcPr>
            <w:tcW w:w="1000" w:type="dxa"/>
          </w:tcPr>
          <w:p>
            <w:pPr>
              <w:spacing w:before="40" w:after="40" w:line="240" w:lineRule="auto"/>
            </w:pPr>
            <w:r>
              <w:rPr>
                <w:color w:val="1A252F"/>
                <w:sz w:val="18"/>
              </w:rPr>
              <w:t xml:space="preserve">20% flat fee with no volume discount; 90-day fund lockout for banned sellers; drip pricing "junk fees"</w:t>
            </w:r>
          </w:p>
        </w:tc>
        <w:tc>
          <w:tcPr>
            <w:tcW w:w="1000" w:type="dxa"/>
          </w:tcPr>
          <w:p>
            <w:pPr>
              <w:spacing w:before="40" w:after="40" w:line="240" w:lineRule="auto"/>
            </w:pPr>
            <w:r>
              <w:rPr>
                <w:color w:val="1A252F"/>
                <w:sz w:val="18"/>
              </w:rPr>
              <w:t xml:space="preserve">Johnson v. Fiverr (3:25-cv-03303) — class action alleging concealed junk fees; ongoing </w:t>
            </w:r>
            <w:r>
              <w:rPr>
                <w:color w:val="C0392B"/>
                <w:sz w:val="16"/>
                <w:vertAlign w:val="superscript"/>
              </w:rPr>
              <w:t xml:space="preserve">[519]</w:t>
            </w:r>
            <w:r>
              <w:rPr>
                <w:color w:val="C0392B"/>
                <w:sz w:val="16"/>
                <w:vertAlign w:val="superscript"/>
              </w:rPr>
              <w:t xml:space="preserve">[524]</w:t>
            </w:r>
          </w:p>
        </w:tc>
        <w:tc>
          <w:tcPr>
            <w:tcW w:w="1000" w:type="dxa"/>
          </w:tcPr>
          <w:p>
            <w:pPr>
              <w:spacing w:before="40" w:after="40" w:line="240" w:lineRule="auto"/>
            </w:pPr>
            <w:r>
              <w:rPr>
                <w:color w:val="1A252F"/>
                <w:sz w:val="18"/>
              </w:rPr>
              <w:t xml:space="preserve">Active; 4.2M+ active buyers</w:t>
            </w:r>
          </w:p>
        </w:tc>
        <w:tc>
          <w:tcPr>
            <w:tcW w:w="1000" w:type="dxa"/>
          </w:tcPr>
          <w:p>
            <w:pPr>
              <w:spacing w:before="40" w:after="40" w:line="240" w:lineRule="auto"/>
            </w:pPr>
            <w:r>
              <w:rPr>
                <w:color w:val="1A252F"/>
                <w:sz w:val="18"/>
              </w:rPr>
              <w:t xml:space="preserve">4.2M+ active buyers; millions of sellers</w:t>
            </w:r>
          </w:p>
        </w:tc>
        <w:tc>
          <w:tcPr>
            <w:tcW w:w="1000" w:type="dxa"/>
          </w:tcPr>
          <w:p>
            <w:pPr>
              <w:spacing w:before="40" w:after="40" w:line="240" w:lineRule="auto"/>
            </w:pPr>
            <w:r>
              <w:rPr>
                <w:color w:val="1A252F"/>
                <w:sz w:val="18"/>
              </w:rPr>
              <w:t xml:space="preserve">Global; Israel-based, U.S.-listed</w:t>
            </w:r>
          </w:p>
        </w:tc>
      </w:tr>
      <w:tr>
        <w:tc>
          <w:tcPr>
            <w:tcW w:w="1000" w:type="dxa"/>
          </w:tcPr>
          <w:p>
            <w:pPr>
              <w:spacing w:before="40" w:after="40" w:line="240" w:lineRule="auto"/>
            </w:pPr>
            <w:r>
              <w:rPr>
                <w:color w:val="1A252F"/>
                <w:sz w:val="18"/>
              </w:rPr>
              <w:t xml:space="preserve">Freelancer.com</w:t>
            </w:r>
          </w:p>
        </w:tc>
        <w:tc>
          <w:tcPr>
            <w:tcW w:w="1000" w:type="dxa"/>
          </w:tcPr>
          <w:p>
            <w:pPr>
              <w:spacing w:before="40" w:after="40" w:line="240" w:lineRule="auto"/>
            </w:pPr>
            <w:r>
              <w:rPr>
                <w:color w:val="1A252F"/>
                <w:sz w:val="18"/>
              </w:rPr>
              <w:t xml:space="preserve">Freelance marketplace</w:t>
            </w:r>
          </w:p>
        </w:tc>
        <w:tc>
          <w:tcPr>
            <w:tcW w:w="1000" w:type="dxa"/>
          </w:tcPr>
          <w:p>
            <w:pPr>
              <w:spacing w:before="40" w:after="40" w:line="240" w:lineRule="auto"/>
            </w:pPr>
            <w:r>
              <w:rPr>
                <w:color w:val="1A252F"/>
                <w:sz w:val="18"/>
              </w:rPr>
              <w:t xml:space="preserve">High — 0/10 Fairwork score</w:t>
            </w:r>
          </w:p>
        </w:tc>
        <w:tc>
          <w:tcPr>
            <w:tcW w:w="1000" w:type="dxa"/>
          </w:tcPr>
          <w:p>
            <w:pPr>
              <w:spacing w:before="40" w:after="40" w:line="240" w:lineRule="auto"/>
            </w:pPr>
            <w:r>
              <w:rPr>
                <w:color w:val="1A252F"/>
                <w:sz w:val="18"/>
              </w:rPr>
              <w:t xml:space="preserve">20% commission on free tier (or 10% + $5 flat); billions in aggregate fees </w:t>
            </w:r>
            <w:r>
              <w:rPr>
                <w:color w:val="C0392B"/>
                <w:sz w:val="16"/>
                <w:vertAlign w:val="superscript"/>
              </w:rPr>
              <w:t xml:space="preserve">[578]</w:t>
            </w:r>
          </w:p>
        </w:tc>
        <w:tc>
          <w:tcPr>
            <w:tcW w:w="1000" w:type="dxa"/>
          </w:tcPr>
          <w:p>
            <w:pPr>
              <w:spacing w:before="40" w:after="40" w:line="240" w:lineRule="auto"/>
            </w:pPr>
            <w:r>
              <w:rPr>
                <w:color w:val="1A252F"/>
                <w:sz w:val="18"/>
              </w:rPr>
              <w:t xml:space="preserve">High commissions; poor dispute resolution; arbitration fee barriers</w:t>
            </w:r>
          </w:p>
        </w:tc>
        <w:tc>
          <w:tcPr>
            <w:tcW w:w="1000" w:type="dxa"/>
          </w:tcPr>
          <w:p>
            <w:pPr>
              <w:spacing w:before="40" w:after="40" w:line="240" w:lineRule="auto"/>
            </w:pPr>
            <w:r>
              <w:rPr>
                <w:color w:val="1A252F"/>
                <w:sz w:val="18"/>
              </w:rPr>
              <w:t xml:space="preserve">None major</w:t>
            </w:r>
          </w:p>
        </w:tc>
        <w:tc>
          <w:tcPr>
            <w:tcW w:w="1000" w:type="dxa"/>
          </w:tcPr>
          <w:p>
            <w:pPr>
              <w:spacing w:before="40" w:after="40" w:line="240" w:lineRule="auto"/>
            </w:pPr>
            <w:r>
              <w:rPr>
                <w:color w:val="1A252F"/>
                <w:sz w:val="18"/>
              </w:rPr>
              <w:t xml:space="preserve">Active; 70M+ registered users</w:t>
            </w:r>
          </w:p>
        </w:tc>
        <w:tc>
          <w:tcPr>
            <w:tcW w:w="1000" w:type="dxa"/>
          </w:tcPr>
          <w:p>
            <w:pPr>
              <w:spacing w:before="40" w:after="40" w:line="240" w:lineRule="auto"/>
            </w:pPr>
            <w:r>
              <w:rPr>
                <w:color w:val="1A252F"/>
                <w:sz w:val="18"/>
              </w:rPr>
              <w:t xml:space="preserve">70M+ registered; quality complaints widespread</w:t>
            </w:r>
          </w:p>
        </w:tc>
        <w:tc>
          <w:tcPr>
            <w:tcW w:w="1000" w:type="dxa"/>
          </w:tcPr>
          <w:p>
            <w:pPr>
              <w:spacing w:before="40" w:after="40" w:line="240" w:lineRule="auto"/>
            </w:pPr>
            <w:r>
              <w:rPr>
                <w:color w:val="1A252F"/>
                <w:sz w:val="18"/>
              </w:rPr>
              <w:t xml:space="preserve">Global; Australia-based</w:t>
            </w:r>
          </w:p>
        </w:tc>
      </w:tr>
      <w:tr>
        <w:tc>
          <w:tcPr>
            <w:tcW w:w="1000" w:type="dxa"/>
          </w:tcPr>
          <w:p>
            <w:pPr>
              <w:spacing w:before="40" w:after="40" w:line="240" w:lineRule="auto"/>
            </w:pPr>
            <w:r>
              <w:rPr>
                <w:color w:val="1A252F"/>
                <w:sz w:val="18"/>
              </w:rPr>
              <w:t xml:space="preserve">Toptal</w:t>
            </w:r>
          </w:p>
        </w:tc>
        <w:tc>
          <w:tcPr>
            <w:tcW w:w="1000" w:type="dxa"/>
          </w:tcPr>
          <w:p>
            <w:pPr>
              <w:spacing w:before="40" w:after="40" w:line="240" w:lineRule="auto"/>
            </w:pPr>
            <w:r>
              <w:rPr>
                <w:color w:val="1A252F"/>
                <w:sz w:val="18"/>
              </w:rPr>
              <w:t xml:space="preserve">Freelance marketplace</w:t>
            </w:r>
          </w:p>
        </w:tc>
        <w:tc>
          <w:tcPr>
            <w:tcW w:w="1000" w:type="dxa"/>
          </w:tcPr>
          <w:p>
            <w:pPr>
              <w:spacing w:before="40" w:after="40" w:line="240" w:lineRule="auto"/>
            </w:pPr>
            <w:r>
              <w:rPr>
                <w:color w:val="1A252F"/>
                <w:sz w:val="18"/>
              </w:rPr>
              <w:t xml:space="preserve">Moderate — opaque markups</w:t>
            </w:r>
          </w:p>
        </w:tc>
        <w:tc>
          <w:tcPr>
            <w:tcW w:w="1000" w:type="dxa"/>
          </w:tcPr>
          <w:p>
            <w:pPr>
              <w:spacing w:before="40" w:after="40" w:line="240" w:lineRule="auto"/>
            </w:pPr>
            <w:r>
              <w:rPr>
                <w:color w:val="1A252F"/>
                <w:sz w:val="18"/>
              </w:rPr>
              <w:t xml:space="preserve">40–100%+ undisclosed markup on freelancer rates </w:t>
            </w:r>
            <w:r>
              <w:rPr>
                <w:color w:val="C0392B"/>
                <w:sz w:val="16"/>
                <w:vertAlign w:val="superscript"/>
              </w:rPr>
              <w:t xml:space="preserve">[123]</w:t>
            </w:r>
          </w:p>
        </w:tc>
        <w:tc>
          <w:tcPr>
            <w:tcW w:w="1000" w:type="dxa"/>
          </w:tcPr>
          <w:p>
            <w:pPr>
              <w:spacing w:before="40" w:after="40" w:line="240" w:lineRule="auto"/>
            </w:pPr>
            <w:r>
              <w:rPr>
                <w:color w:val="1A252F"/>
                <w:sz w:val="18"/>
              </w:rPr>
              <w:t xml:space="preserve">Hidden client-side markups; unpaid trial periods; $79/mo subscription fee</w:t>
            </w:r>
          </w:p>
        </w:tc>
        <w:tc>
          <w:tcPr>
            <w:tcW w:w="1000" w:type="dxa"/>
          </w:tcPr>
          <w:p>
            <w:pPr>
              <w:spacing w:before="40" w:after="40" w:line="240" w:lineRule="auto"/>
            </w:pPr>
            <w:r>
              <w:rPr>
                <w:color w:val="1A252F"/>
                <w:sz w:val="18"/>
              </w:rPr>
              <w:t xml:space="preserve">None</w:t>
            </w:r>
          </w:p>
        </w:tc>
        <w:tc>
          <w:tcPr>
            <w:tcW w:w="1000" w:type="dxa"/>
          </w:tcPr>
          <w:p>
            <w:pPr>
              <w:spacing w:before="40" w:after="40" w:line="240" w:lineRule="auto"/>
            </w:pPr>
            <w:r>
              <w:rPr>
                <w:color w:val="1A252F"/>
                <w:sz w:val="18"/>
              </w:rPr>
              <w:t xml:space="preserve">Active; claims top 3% of freelancers</w:t>
            </w:r>
          </w:p>
        </w:tc>
        <w:tc>
          <w:tcPr>
            <w:tcW w:w="1000" w:type="dxa"/>
          </w:tcPr>
          <w:p>
            <w:pPr>
              <w:spacing w:before="40" w:after="40" w:line="240" w:lineRule="auto"/>
            </w:pPr>
            <w:r>
              <w:rPr>
                <w:color w:val="1A252F"/>
                <w:sz w:val="18"/>
              </w:rPr>
              <w:t xml:space="preserve">Thousands of vetted freelancers</w:t>
            </w:r>
          </w:p>
        </w:tc>
        <w:tc>
          <w:tcPr>
            <w:tcW w:w="1000" w:type="dxa"/>
          </w:tcPr>
          <w:p>
            <w:pPr>
              <w:spacing w:before="40" w:after="40" w:line="240" w:lineRule="auto"/>
            </w:pPr>
            <w:r>
              <w:rPr>
                <w:color w:val="1A252F"/>
                <w:sz w:val="18"/>
              </w:rPr>
              <w:t xml:space="preserve">Global; U.S.-based</w:t>
            </w:r>
          </w:p>
        </w:tc>
      </w:tr>
      <w:tr>
        <w:tc>
          <w:tcPr>
            <w:tcW w:w="1000" w:type="dxa"/>
          </w:tcPr>
          <w:p>
            <w:pPr>
              <w:spacing w:before="40" w:after="40" w:line="240" w:lineRule="auto"/>
            </w:pPr>
            <w:r>
              <w:rPr>
                <w:color w:val="1A252F"/>
                <w:sz w:val="18"/>
              </w:rPr>
              <w:t xml:space="preserve">PeoplePerHour</w:t>
            </w:r>
          </w:p>
        </w:tc>
        <w:tc>
          <w:tcPr>
            <w:tcW w:w="1000" w:type="dxa"/>
          </w:tcPr>
          <w:p>
            <w:pPr>
              <w:spacing w:before="40" w:after="40" w:line="240" w:lineRule="auto"/>
            </w:pPr>
            <w:r>
              <w:rPr>
                <w:color w:val="1A252F"/>
                <w:sz w:val="18"/>
              </w:rPr>
              <w:t xml:space="preserve">Freelance marketplace</w:t>
            </w:r>
          </w:p>
        </w:tc>
        <w:tc>
          <w:tcPr>
            <w:tcW w:w="1000" w:type="dxa"/>
          </w:tcPr>
          <w:p>
            <w:pPr>
              <w:spacing w:before="40" w:after="40" w:line="240" w:lineRule="auto"/>
            </w:pPr>
            <w:r>
              <w:rPr>
                <w:color w:val="1A252F"/>
                <w:sz w:val="18"/>
              </w:rPr>
              <w:t xml:space="preserve">Moderate — worker complaints</w:t>
            </w:r>
          </w:p>
        </w:tc>
        <w:tc>
          <w:tcPr>
            <w:tcW w:w="1000" w:type="dxa"/>
          </w:tcPr>
          <w:p>
            <w:pPr>
              <w:spacing w:before="40" w:after="40" w:line="240" w:lineRule="auto"/>
            </w:pPr>
            <w:r>
              <w:rPr>
                <w:color w:val="1A252F"/>
                <w:sz w:val="18"/>
              </w:rPr>
              <w:t xml:space="preserve">20% commission on first £250 per client; hidden 10% fees </w:t>
            </w:r>
            <w:r>
              <w:rPr>
                <w:color w:val="C0392B"/>
                <w:sz w:val="16"/>
                <w:vertAlign w:val="superscript"/>
              </w:rPr>
              <w:t xml:space="preserve">[482]</w:t>
            </w:r>
            <w:r>
              <w:rPr>
                <w:color w:val="C0392B"/>
                <w:sz w:val="16"/>
                <w:vertAlign w:val="superscript"/>
              </w:rPr>
              <w:t xml:space="preserve">[484]</w:t>
            </w:r>
          </w:p>
        </w:tc>
        <w:tc>
          <w:tcPr>
            <w:tcW w:w="1000" w:type="dxa"/>
          </w:tcPr>
          <w:p>
            <w:pPr>
              <w:spacing w:before="40" w:after="40" w:line="240" w:lineRule="auto"/>
            </w:pPr>
            <w:r>
              <w:rPr>
                <w:color w:val="1A252F"/>
                <w:sz w:val="18"/>
              </w:rPr>
              <w:t xml:space="preserve">High commissions on low-value work; poor customer service in disputes</w:t>
            </w:r>
          </w:p>
        </w:tc>
        <w:tc>
          <w:tcPr>
            <w:tcW w:w="1000" w:type="dxa"/>
          </w:tcPr>
          <w:p>
            <w:pPr>
              <w:spacing w:before="40" w:after="40" w:line="240" w:lineRule="auto"/>
            </w:pPr>
            <w:r>
              <w:rPr>
                <w:color w:val="1A252F"/>
                <w:sz w:val="18"/>
              </w:rPr>
              <w:t xml:space="preserve">None</w:t>
            </w:r>
          </w:p>
        </w:tc>
        <w:tc>
          <w:tcPr>
            <w:tcW w:w="1000" w:type="dxa"/>
          </w:tcPr>
          <w:p>
            <w:pPr>
              <w:spacing w:before="40" w:after="40" w:line="240" w:lineRule="auto"/>
            </w:pPr>
            <w:r>
              <w:rPr>
                <w:color w:val="1A252F"/>
                <w:sz w:val="18"/>
              </w:rPr>
              <w:t xml:space="preserve">Active; UK-based</w:t>
            </w:r>
          </w:p>
        </w:tc>
        <w:tc>
          <w:tcPr>
            <w:tcW w:w="1000" w:type="dxa"/>
          </w:tcPr>
          <w:p>
            <w:pPr>
              <w:spacing w:before="40" w:after="40" w:line="240" w:lineRule="auto"/>
            </w:pPr>
            <w:r>
              <w:rPr>
                <w:color w:val="1A252F"/>
                <w:sz w:val="18"/>
              </w:rPr>
              <w:t xml:space="preserve">Hundreds of thousands registered</w:t>
            </w:r>
          </w:p>
        </w:tc>
        <w:tc>
          <w:tcPr>
            <w:tcW w:w="1000" w:type="dxa"/>
          </w:tcPr>
          <w:p>
            <w:pPr>
              <w:spacing w:before="40" w:after="40" w:line="240" w:lineRule="auto"/>
            </w:pPr>
            <w:r>
              <w:rPr>
                <w:color w:val="1A252F"/>
                <w:sz w:val="18"/>
              </w:rPr>
              <w:t xml:space="preserve">UK and Europe focused</w:t>
            </w:r>
          </w:p>
        </w:tc>
      </w:tr>
      <w:tr>
        <w:tc>
          <w:tcPr>
            <w:tcW w:w="1000" w:type="dxa"/>
          </w:tcPr>
          <w:p>
            <w:pPr>
              <w:spacing w:before="40" w:after="40" w:line="240" w:lineRule="auto"/>
            </w:pPr>
            <w:r>
              <w:rPr>
                <w:color w:val="1A252F"/>
                <w:sz w:val="18"/>
              </w:rPr>
              <w:t xml:space="preserve">Guru</w:t>
            </w:r>
          </w:p>
        </w:tc>
        <w:tc>
          <w:tcPr>
            <w:tcW w:w="1000" w:type="dxa"/>
          </w:tcPr>
          <w:p>
            <w:pPr>
              <w:spacing w:before="40" w:after="40" w:line="240" w:lineRule="auto"/>
            </w:pPr>
            <w:r>
              <w:rPr>
                <w:color w:val="1A252F"/>
                <w:sz w:val="18"/>
              </w:rPr>
              <w:t xml:space="preserve">Freelance marketplace</w:t>
            </w:r>
          </w:p>
        </w:tc>
        <w:tc>
          <w:tcPr>
            <w:tcW w:w="1000" w:type="dxa"/>
          </w:tcPr>
          <w:p>
            <w:pPr>
              <w:spacing w:before="40" w:after="40" w:line="240" w:lineRule="auto"/>
            </w:pPr>
            <w:r>
              <w:rPr>
                <w:color w:val="1A252F"/>
                <w:sz w:val="18"/>
              </w:rPr>
              <w:t xml:space="preserve">Moderate — scam complaints, 1.5/5 Trustpilot</w:t>
            </w:r>
          </w:p>
        </w:tc>
        <w:tc>
          <w:tcPr>
            <w:tcW w:w="1000" w:type="dxa"/>
          </w:tcPr>
          <w:p>
            <w:pPr>
              <w:spacing w:before="40" w:after="40" w:line="240" w:lineRule="auto"/>
            </w:pPr>
            <w:r>
              <w:rPr>
                <w:color w:val="1A252F"/>
                <w:sz w:val="18"/>
              </w:rPr>
              <w:t xml:space="preserve">5–9% fee; worker losses from scams unrecovered </w:t>
            </w:r>
            <w:r>
              <w:rPr>
                <w:color w:val="C0392B"/>
                <w:sz w:val="16"/>
                <w:vertAlign w:val="superscript"/>
              </w:rPr>
              <w:t xml:space="preserve">[481]</w:t>
            </w:r>
          </w:p>
        </w:tc>
        <w:tc>
          <w:tcPr>
            <w:tcW w:w="1000" w:type="dxa"/>
          </w:tcPr>
          <w:p>
            <w:pPr>
              <w:spacing w:before="40" w:after="40" w:line="240" w:lineRule="auto"/>
            </w:pPr>
            <w:r>
              <w:rPr>
                <w:color w:val="1A252F"/>
                <w:sz w:val="18"/>
              </w:rPr>
              <w:t xml:space="preserve">Open registration enabling scams; non-payment by clients; platform unresponsive</w:t>
            </w:r>
          </w:p>
        </w:tc>
        <w:tc>
          <w:tcPr>
            <w:tcW w:w="1000" w:type="dxa"/>
          </w:tcPr>
          <w:p>
            <w:pPr>
              <w:spacing w:before="40" w:after="40" w:line="240" w:lineRule="auto"/>
            </w:pPr>
            <w:r>
              <w:rPr>
                <w:color w:val="1A252F"/>
                <w:sz w:val="18"/>
              </w:rPr>
              <w:t xml:space="preserve">None</w:t>
            </w:r>
          </w:p>
        </w:tc>
        <w:tc>
          <w:tcPr>
            <w:tcW w:w="1000" w:type="dxa"/>
          </w:tcPr>
          <w:p>
            <w:pPr>
              <w:spacing w:before="40" w:after="40" w:line="240" w:lineRule="auto"/>
            </w:pPr>
            <w:r>
              <w:rPr>
                <w:color w:val="1A252F"/>
                <w:sz w:val="18"/>
              </w:rPr>
              <w:t xml:space="preserve">Active</w:t>
            </w:r>
          </w:p>
        </w:tc>
        <w:tc>
          <w:tcPr>
            <w:tcW w:w="1000" w:type="dxa"/>
          </w:tcPr>
          <w:p>
            <w:pPr>
              <w:spacing w:before="40" w:after="40" w:line="240" w:lineRule="auto"/>
            </w:pPr>
            <w:r>
              <w:rPr>
                <w:color w:val="1A252F"/>
                <w:sz w:val="18"/>
              </w:rPr>
              <w:t xml:space="preserve">Hundreds of thousands</w:t>
            </w:r>
          </w:p>
        </w:tc>
        <w:tc>
          <w:tcPr>
            <w:tcW w:w="1000" w:type="dxa"/>
          </w:tcPr>
          <w:p>
            <w:pPr>
              <w:spacing w:before="40" w:after="40" w:line="240" w:lineRule="auto"/>
            </w:pPr>
            <w:r>
              <w:rPr>
                <w:color w:val="1A252F"/>
                <w:sz w:val="18"/>
              </w:rPr>
              <w:t xml:space="preserve">Global; U.S.-based, India-heavy</w:t>
            </w:r>
          </w:p>
        </w:tc>
      </w:tr>
      <w:tr>
        <w:tc>
          <w:tcPr>
            <w:tcW w:w="1000" w:type="dxa"/>
          </w:tcPr>
          <w:p>
            <w:pPr>
              <w:spacing w:before="40" w:after="40" w:line="240" w:lineRule="auto"/>
            </w:pPr>
            <w:r>
              <w:rPr>
                <w:color w:val="1A252F"/>
                <w:sz w:val="18"/>
              </w:rPr>
              <w:t xml:space="preserve">99designs (Vista)</w:t>
            </w:r>
          </w:p>
        </w:tc>
        <w:tc>
          <w:tcPr>
            <w:tcW w:w="1000" w:type="dxa"/>
          </w:tcPr>
          <w:p>
            <w:pPr>
              <w:spacing w:before="40" w:after="40" w:line="240" w:lineRule="auto"/>
            </w:pPr>
            <w:r>
              <w:rPr>
                <w:color w:val="1A252F"/>
                <w:sz w:val="18"/>
              </w:rPr>
              <w:t xml:space="preserve">Design contests</w:t>
            </w:r>
          </w:p>
        </w:tc>
        <w:tc>
          <w:tcPr>
            <w:tcW w:w="1000" w:type="dxa"/>
          </w:tcPr>
          <w:p>
            <w:pPr>
              <w:spacing w:before="40" w:after="40" w:line="240" w:lineRule="auto"/>
            </w:pPr>
            <w:r>
              <w:rPr>
                <w:color w:val="1A252F"/>
                <w:sz w:val="18"/>
              </w:rPr>
              <w:t xml:space="preserve">Moderate — spec work exploitation</w:t>
            </w:r>
          </w:p>
        </w:tc>
        <w:tc>
          <w:tcPr>
            <w:tcW w:w="1000" w:type="dxa"/>
          </w:tcPr>
          <w:p>
            <w:pPr>
              <w:spacing w:before="40" w:after="40" w:line="240" w:lineRule="auto"/>
            </w:pPr>
            <w:r>
              <w:rPr>
                <w:color w:val="1A252F"/>
                <w:sz w:val="18"/>
              </w:rPr>
              <w:t xml:space="preserve">Designers create complete work with no guarantee of payment </w:t>
            </w:r>
            <w:r>
              <w:rPr>
                <w:color w:val="C0392B"/>
                <w:sz w:val="16"/>
                <w:vertAlign w:val="superscript"/>
              </w:rPr>
              <w:t xml:space="preserve">[539]</w:t>
            </w:r>
          </w:p>
        </w:tc>
        <w:tc>
          <w:tcPr>
            <w:tcW w:w="1000" w:type="dxa"/>
          </w:tcPr>
          <w:p>
            <w:pPr>
              <w:spacing w:before="40" w:after="40" w:line="240" w:lineRule="auto"/>
            </w:pPr>
            <w:r>
              <w:rPr>
                <w:color w:val="1A252F"/>
                <w:sz w:val="18"/>
              </w:rPr>
              <w:t xml:space="preserve">Speculative work — only winner paid despite dozens of submissions per contest</w:t>
            </w:r>
          </w:p>
        </w:tc>
        <w:tc>
          <w:tcPr>
            <w:tcW w:w="1000" w:type="dxa"/>
          </w:tcPr>
          <w:p>
            <w:pPr>
              <w:spacing w:before="40" w:after="40" w:line="240" w:lineRule="auto"/>
            </w:pPr>
            <w:r>
              <w:rPr>
                <w:color w:val="1A252F"/>
                <w:sz w:val="18"/>
              </w:rPr>
              <w:t xml:space="preserve">None</w:t>
            </w:r>
          </w:p>
        </w:tc>
        <w:tc>
          <w:tcPr>
            <w:tcW w:w="1000" w:type="dxa"/>
          </w:tcPr>
          <w:p>
            <w:pPr>
              <w:spacing w:before="40" w:after="40" w:line="240" w:lineRule="auto"/>
            </w:pPr>
            <w:r>
              <w:rPr>
                <w:color w:val="1A252F"/>
                <w:sz w:val="18"/>
              </w:rPr>
              <w:t xml:space="preserve">Active; contest model unchanged</w:t>
            </w:r>
          </w:p>
        </w:tc>
        <w:tc>
          <w:tcPr>
            <w:tcW w:w="1000" w:type="dxa"/>
          </w:tcPr>
          <w:p>
            <w:pPr>
              <w:spacing w:before="40" w:after="40" w:line="240" w:lineRule="auto"/>
            </w:pPr>
            <w:r>
              <w:rPr>
                <w:color w:val="1A252F"/>
                <w:sz w:val="18"/>
              </w:rPr>
              <w:t xml:space="preserve">Hundreds of thousands</w:t>
            </w:r>
          </w:p>
        </w:tc>
        <w:tc>
          <w:tcPr>
            <w:tcW w:w="1000" w:type="dxa"/>
          </w:tcPr>
          <w:p>
            <w:pPr>
              <w:spacing w:before="40" w:after="40" w:line="240" w:lineRule="auto"/>
            </w:pPr>
            <w:r>
              <w:rPr>
                <w:color w:val="1A252F"/>
                <w:sz w:val="18"/>
              </w:rPr>
              <w:t xml:space="preserve">Global; strong Asia presence</w:t>
            </w:r>
          </w:p>
        </w:tc>
      </w:tr>
      <w:tr>
        <w:tc>
          <w:tcPr>
            <w:tcW w:w="1000" w:type="dxa"/>
          </w:tcPr>
          <w:p>
            <w:pPr>
              <w:spacing w:before="40" w:after="40" w:line="240" w:lineRule="auto"/>
            </w:pPr>
            <w:r>
              <w:rPr>
                <w:color w:val="1A252F"/>
                <w:sz w:val="18"/>
              </w:rPr>
              <w:t xml:space="preserve">Bark.com</w:t>
            </w:r>
          </w:p>
        </w:tc>
        <w:tc>
          <w:tcPr>
            <w:tcW w:w="1000" w:type="dxa"/>
          </w:tcPr>
          <w:p>
            <w:pPr>
              <w:spacing w:before="40" w:after="40" w:line="240" w:lineRule="auto"/>
            </w:pPr>
            <w:r>
              <w:rPr>
                <w:color w:val="1A252F"/>
                <w:sz w:val="18"/>
              </w:rPr>
              <w:t xml:space="preserve">Lead generation</w:t>
            </w:r>
          </w:p>
        </w:tc>
        <w:tc>
          <w:tcPr>
            <w:tcW w:w="1000" w:type="dxa"/>
          </w:tcPr>
          <w:p>
            <w:pPr>
              <w:spacing w:before="40" w:after="40" w:line="240" w:lineRule="auto"/>
            </w:pPr>
            <w:r>
              <w:rPr>
                <w:color w:val="1A252F"/>
                <w:sz w:val="18"/>
              </w:rPr>
              <w:t xml:space="preserve">Moderate — fake leads</w:t>
            </w:r>
          </w:p>
        </w:tc>
        <w:tc>
          <w:tcPr>
            <w:tcW w:w="1000" w:type="dxa"/>
          </w:tcPr>
          <w:p>
            <w:pPr>
              <w:spacing w:before="40" w:after="40" w:line="240" w:lineRule="auto"/>
            </w:pPr>
            <w:r>
              <w:rPr>
                <w:color w:val="1A252F"/>
                <w:sz w:val="18"/>
              </w:rPr>
              <w:t xml:space="preserve">Lead fees paid for demonstrably fake client requests </w:t>
            </w:r>
            <w:r>
              <w:rPr>
                <w:color w:val="C0392B"/>
                <w:sz w:val="16"/>
                <w:vertAlign w:val="superscript"/>
              </w:rPr>
              <w:t xml:space="preserve">[518]</w:t>
            </w:r>
          </w:p>
        </w:tc>
        <w:tc>
          <w:tcPr>
            <w:tcW w:w="1000" w:type="dxa"/>
          </w:tcPr>
          <w:p>
            <w:pPr>
              <w:spacing w:before="40" w:after="40" w:line="240" w:lineRule="auto"/>
            </w:pPr>
            <w:r>
              <w:rPr>
                <w:color w:val="1A252F"/>
                <w:sz w:val="18"/>
              </w:rPr>
              <w:t xml:space="preserve">Fake leads; refusal to refund for dead-end inquiries</w:t>
            </w:r>
          </w:p>
        </w:tc>
        <w:tc>
          <w:tcPr>
            <w:tcW w:w="1000" w:type="dxa"/>
          </w:tcPr>
          <w:p>
            <w:pPr>
              <w:spacing w:before="40" w:after="40" w:line="240" w:lineRule="auto"/>
            </w:pPr>
            <w:r>
              <w:rPr>
                <w:color w:val="1A252F"/>
                <w:sz w:val="18"/>
              </w:rPr>
              <w:t xml:space="preserve">None</w:t>
            </w:r>
          </w:p>
        </w:tc>
        <w:tc>
          <w:tcPr>
            <w:tcW w:w="1000" w:type="dxa"/>
          </w:tcPr>
          <w:p>
            <w:pPr>
              <w:spacing w:before="40" w:after="40" w:line="240" w:lineRule="auto"/>
            </w:pPr>
            <w:r>
              <w:rPr>
                <w:color w:val="1A252F"/>
                <w:sz w:val="18"/>
              </w:rPr>
              <w:t xml:space="preserve">Active</w:t>
            </w:r>
          </w:p>
        </w:tc>
        <w:tc>
          <w:tcPr>
            <w:tcW w:w="1000" w:type="dxa"/>
          </w:tcPr>
          <w:p>
            <w:pPr>
              <w:spacing w:before="40" w:after="40" w:line="240" w:lineRule="auto"/>
            </w:pPr>
            <w:r>
              <w:rPr>
                <w:color w:val="1A252F"/>
                <w:sz w:val="18"/>
              </w:rPr>
              <w:t xml:space="preserve">Thousands of service providers</w:t>
            </w:r>
          </w:p>
        </w:tc>
        <w:tc>
          <w:tcPr>
            <w:tcW w:w="1000" w:type="dxa"/>
          </w:tcPr>
          <w:p>
            <w:pPr>
              <w:spacing w:before="40" w:after="40" w:line="240" w:lineRule="auto"/>
            </w:pPr>
            <w:r>
              <w:rPr>
                <w:color w:val="1A252F"/>
                <w:sz w:val="18"/>
              </w:rPr>
              <w:t xml:space="preserve">UK, U.S., Australia</w:t>
            </w:r>
          </w:p>
        </w:tc>
      </w:tr>
      <w:tr>
        <w:tc>
          <w:tcPr>
            <w:tcW w:w="1000" w:type="dxa"/>
          </w:tcPr>
          <w:p>
            <w:pPr>
              <w:spacing w:before="40" w:after="40" w:line="240" w:lineRule="auto"/>
            </w:pPr>
            <w:r>
              <w:rPr>
                <w:color w:val="1A252F"/>
                <w:sz w:val="18"/>
              </w:rPr>
              <w:t xml:space="preserve">Workana</w:t>
            </w:r>
          </w:p>
        </w:tc>
        <w:tc>
          <w:tcPr>
            <w:tcW w:w="1000" w:type="dxa"/>
          </w:tcPr>
          <w:p>
            <w:pPr>
              <w:spacing w:before="40" w:after="40" w:line="240" w:lineRule="auto"/>
            </w:pPr>
            <w:r>
              <w:rPr>
                <w:color w:val="1A252F"/>
                <w:sz w:val="18"/>
              </w:rPr>
              <w:t xml:space="preserve">Freelance marketplace</w:t>
            </w:r>
          </w:p>
        </w:tc>
        <w:tc>
          <w:tcPr>
            <w:tcW w:w="1000" w:type="dxa"/>
          </w:tcPr>
          <w:p>
            <w:pPr>
              <w:spacing w:before="40" w:after="40" w:line="240" w:lineRule="auto"/>
            </w:pPr>
            <w:r>
              <w:rPr>
                <w:color w:val="1A252F"/>
                <w:sz w:val="18"/>
              </w:rPr>
              <w:t xml:space="preserve">Moderate — 0/10 Fairwork score</w:t>
            </w:r>
          </w:p>
        </w:tc>
        <w:tc>
          <w:tcPr>
            <w:tcW w:w="1000" w:type="dxa"/>
          </w:tcPr>
          <w:p>
            <w:pPr>
              <w:spacing w:before="40" w:after="40" w:line="240" w:lineRule="auto"/>
            </w:pPr>
            <w:r>
              <w:rPr>
                <w:color w:val="1A252F"/>
                <w:sz w:val="18"/>
              </w:rPr>
              <w:t xml:space="preserve">20% on first $300; 10% to $3,000 </w:t>
            </w:r>
            <w:r>
              <w:rPr>
                <w:color w:val="C0392B"/>
                <w:sz w:val="16"/>
                <w:vertAlign w:val="superscript"/>
              </w:rPr>
              <w:t xml:space="preserve">[525]</w:t>
            </w:r>
          </w:p>
        </w:tc>
        <w:tc>
          <w:tcPr>
            <w:tcW w:w="1000" w:type="dxa"/>
          </w:tcPr>
          <w:p>
            <w:pPr>
              <w:spacing w:before="40" w:after="40" w:line="240" w:lineRule="auto"/>
            </w:pPr>
            <w:r>
              <w:rPr>
                <w:color w:val="1A252F"/>
                <w:sz w:val="18"/>
              </w:rPr>
              <w:t xml:space="preserve">High commissions; quality inconsistency; one-sided arbitration</w:t>
            </w:r>
          </w:p>
        </w:tc>
        <w:tc>
          <w:tcPr>
            <w:tcW w:w="1000" w:type="dxa"/>
          </w:tcPr>
          <w:p>
            <w:pPr>
              <w:spacing w:before="40" w:after="40" w:line="240" w:lineRule="auto"/>
            </w:pPr>
            <w:r>
              <w:rPr>
                <w:color w:val="1A252F"/>
                <w:sz w:val="18"/>
              </w:rPr>
              <w:t xml:space="preserve">None</w:t>
            </w:r>
          </w:p>
        </w:tc>
        <w:tc>
          <w:tcPr>
            <w:tcW w:w="1000" w:type="dxa"/>
          </w:tcPr>
          <w:p>
            <w:pPr>
              <w:spacing w:before="40" w:after="40" w:line="240" w:lineRule="auto"/>
            </w:pPr>
            <w:r>
              <w:rPr>
                <w:color w:val="1A252F"/>
                <w:sz w:val="18"/>
              </w:rPr>
              <w:t xml:space="preserve">Active; largest Latin American platform</w:t>
            </w:r>
          </w:p>
        </w:tc>
        <w:tc>
          <w:tcPr>
            <w:tcW w:w="1000" w:type="dxa"/>
          </w:tcPr>
          <w:p>
            <w:pPr>
              <w:spacing w:before="40" w:after="40" w:line="240" w:lineRule="auto"/>
            </w:pPr>
            <w:r>
              <w:rPr>
                <w:color w:val="1A252F"/>
                <w:sz w:val="18"/>
              </w:rPr>
              <w:t xml:space="preserve">2M+ registered freelancers</w:t>
            </w:r>
          </w:p>
        </w:tc>
        <w:tc>
          <w:tcPr>
            <w:tcW w:w="1000" w:type="dxa"/>
          </w:tcPr>
          <w:p>
            <w:pPr>
              <w:spacing w:before="40" w:after="40" w:line="240" w:lineRule="auto"/>
            </w:pPr>
            <w:r>
              <w:rPr>
                <w:color w:val="1A252F"/>
                <w:sz w:val="18"/>
              </w:rPr>
              <w:t xml:space="preserve">Latin America primary</w:t>
            </w:r>
          </w:p>
        </w:tc>
      </w:tr>
      <w:tr>
        <w:tc>
          <w:tcPr>
            <w:tcW w:w="1000" w:type="dxa"/>
          </w:tcPr>
          <w:p>
            <w:pPr>
              <w:spacing w:before="40" w:after="40" w:line="240" w:lineRule="auto"/>
            </w:pPr>
            <w:r>
              <w:rPr>
                <w:color w:val="1A252F"/>
                <w:sz w:val="18"/>
              </w:rPr>
              <w:t xml:space="preserve">Malt</w:t>
            </w:r>
          </w:p>
        </w:tc>
        <w:tc>
          <w:tcPr>
            <w:tcW w:w="1000" w:type="dxa"/>
          </w:tcPr>
          <w:p>
            <w:pPr>
              <w:spacing w:before="40" w:after="40" w:line="240" w:lineRule="auto"/>
            </w:pPr>
            <w:r>
              <w:rPr>
                <w:color w:val="1A252F"/>
                <w:sz w:val="18"/>
              </w:rPr>
              <w:t xml:space="preserve">Freelance marketplace</w:t>
            </w:r>
          </w:p>
        </w:tc>
        <w:tc>
          <w:tcPr>
            <w:tcW w:w="1000" w:type="dxa"/>
          </w:tcPr>
          <w:p>
            <w:pPr>
              <w:spacing w:before="40" w:after="40" w:line="240" w:lineRule="auto"/>
            </w:pPr>
            <w:r>
              <w:rPr>
                <w:color w:val="1A252F"/>
                <w:sz w:val="18"/>
              </w:rPr>
              <w:t xml:space="preserve">Moderate — documented 133-day delay</w:t>
            </w:r>
          </w:p>
        </w:tc>
        <w:tc>
          <w:tcPr>
            <w:tcW w:w="1000" w:type="dxa"/>
          </w:tcPr>
          <w:p>
            <w:pPr>
              <w:spacing w:before="40" w:after="40" w:line="240" w:lineRule="auto"/>
            </w:pPr>
            <w:r>
              <w:rPr>
                <w:color w:val="1A252F"/>
                <w:sz w:val="18"/>
              </w:rPr>
              <w:t xml:space="preserve">133-day documented payment delay; breach of own T&amp;Cs </w:t>
            </w:r>
            <w:r>
              <w:rPr>
                <w:color w:val="C0392B"/>
                <w:sz w:val="16"/>
                <w:vertAlign w:val="superscript"/>
              </w:rPr>
              <w:t xml:space="preserve">[30]</w:t>
            </w:r>
          </w:p>
        </w:tc>
        <w:tc>
          <w:tcPr>
            <w:tcW w:w="1000" w:type="dxa"/>
          </w:tcPr>
          <w:p>
            <w:pPr>
              <w:spacing w:before="40" w:after="40" w:line="240" w:lineRule="auto"/>
            </w:pPr>
            <w:r>
              <w:rPr>
                <w:color w:val="1A252F"/>
                <w:sz w:val="18"/>
              </w:rPr>
              <w:t xml:space="preserve">Extreme payment delays; retroactive policy redefinition</w:t>
            </w:r>
          </w:p>
        </w:tc>
        <w:tc>
          <w:tcPr>
            <w:tcW w:w="1000" w:type="dxa"/>
          </w:tcPr>
          <w:p>
            <w:pPr>
              <w:spacing w:before="40" w:after="40" w:line="240" w:lineRule="auto"/>
            </w:pPr>
            <w:r>
              <w:rPr>
                <w:color w:val="1A252F"/>
                <w:sz w:val="18"/>
              </w:rPr>
              <w:t xml:space="preserve">None (individual legal action reported)</w:t>
            </w:r>
          </w:p>
        </w:tc>
        <w:tc>
          <w:tcPr>
            <w:tcW w:w="1000" w:type="dxa"/>
          </w:tcPr>
          <w:p>
            <w:pPr>
              <w:spacing w:before="40" w:after="40" w:line="240" w:lineRule="auto"/>
            </w:pPr>
            <w:r>
              <w:rPr>
                <w:color w:val="1A252F"/>
                <w:sz w:val="18"/>
              </w:rPr>
              <w:t xml:space="preserve">Active; European competitor to Upwork</w:t>
            </w:r>
          </w:p>
        </w:tc>
        <w:tc>
          <w:tcPr>
            <w:tcW w:w="1000" w:type="dxa"/>
          </w:tcPr>
          <w:p>
            <w:pPr>
              <w:spacing w:before="40" w:after="40" w:line="240" w:lineRule="auto"/>
            </w:pPr>
            <w:r>
              <w:rPr>
                <w:color w:val="1A252F"/>
                <w:sz w:val="18"/>
              </w:rPr>
              <w:t xml:space="preserve">Hundreds of thousands</w:t>
            </w:r>
          </w:p>
        </w:tc>
        <w:tc>
          <w:tcPr>
            <w:tcW w:w="1000" w:type="dxa"/>
          </w:tcPr>
          <w:p>
            <w:pPr>
              <w:spacing w:before="40" w:after="40" w:line="240" w:lineRule="auto"/>
            </w:pPr>
            <w:r>
              <w:rPr>
                <w:color w:val="1A252F"/>
                <w:sz w:val="18"/>
              </w:rPr>
              <w:t xml:space="preserve">Europe (France, Spain, Germany)</w:t>
            </w:r>
          </w:p>
        </w:tc>
      </w:tr>
    </w:tbl>
    <w:p>
      <w:pPr>
        <w:spacing w:after="200"/>
      </w:pPr>
    </w:p>
    <w:p>
      <w:pPr>
        <w:spacing w:after="160" w:line="300" w:lineRule="auto"/>
      </w:pPr>
      <w:r>
        <w:rPr>
          <w:color w:val="1A252F"/>
          <w:sz w:val="22"/>
        </w:rPr>
        <w:t xml:space="preserve">Upwork's fee evolution tells the story of platform capture driving extraction upward, not downward. The company began with a flat 10% fee during the Elance/oDesk era (2010–2016), shifted to a 20/10/5 tiered structure (2016–2023), returned to a flat 10% (2023–2025), and in May 2025 introduced a variable 0–15% fee set per contract by an unpublished algorithm </w:t>
      </w:r>
      <w:r>
        <w:rPr>
          <w:color w:val="C0392B"/>
          <w:sz w:val="16"/>
          <w:vertAlign w:val="superscript"/>
        </w:rPr>
        <w:t xml:space="preserve">[461]</w:t>
      </w:r>
      <w:r>
        <w:rPr>
          <w:color w:val="C0392B"/>
          <w:sz w:val="16"/>
          <w:vertAlign w:val="superscript"/>
        </w:rPr>
        <w:t xml:space="preserve">[69]</w:t>
      </w:r>
      <w:r>
        <w:rPr>
          <w:color w:val="1A252F"/>
          <w:sz w:val="22"/>
        </w:rPr>
        <w:t xml:space="preserve">. When all costs are included — Connects for proposals ($1.50–$3.60 each), boosted proposal auctions ($5–$50+), client contract initiation fees ($4.95), withdrawal fees ($0.99–$50), and currency conversion markups (2–3%) — the effective "agency tax" reaches 22–34% of gross contract revenue </w:t>
      </w:r>
      <w:r>
        <w:rPr>
          <w:color w:val="C0392B"/>
          <w:sz w:val="16"/>
          <w:vertAlign w:val="superscript"/>
        </w:rPr>
        <w:t xml:space="preserve">[69]</w:t>
      </w:r>
      <w:r>
        <w:rPr>
          <w:color w:val="1A252F"/>
          <w:sz w:val="22"/>
        </w:rPr>
        <w:t xml:space="preserve">. The company reported that workers on established contracts above $10,000 who previously paid 5% saw their fees double to 10% in the May 2023 restructuring </w:t>
      </w:r>
      <w:r>
        <w:rPr>
          <w:color w:val="C0392B"/>
          <w:sz w:val="16"/>
          <w:vertAlign w:val="superscript"/>
        </w:rPr>
        <w:t xml:space="preserve">[549]</w:t>
      </w:r>
      <w:r>
        <w:rPr>
          <w:color w:val="1A252F"/>
          <w:sz w:val="22"/>
        </w:rPr>
        <w:t xml:space="preserve">.</w:t>
      </w:r>
    </w:p>
    <w:p>
      <w:pPr>
        <w:spacing w:after="160" w:line="300" w:lineRule="auto"/>
      </w:pPr>
      <w:r>
        <w:rPr>
          <w:color w:val="1A252F"/>
          <w:sz w:val="22"/>
        </w:rPr>
        <w:t xml:space="preserve">Fiverr's 90-day fund lockout for banned sellers represents one of the most punitive financial instruments in the gig economy. Official documentation confirms that sellers whose accounts are disabled must wait 90 days before receiving withdrawal instructions — and even then, funds are not guaranteed </w:t>
      </w:r>
      <w:r>
        <w:rPr>
          <w:color w:val="C0392B"/>
          <w:sz w:val="16"/>
          <w:vertAlign w:val="superscript"/>
        </w:rPr>
        <w:t xml:space="preserve">[580]</w:t>
      </w:r>
      <w:r>
        <w:rPr>
          <w:color w:val="C0392B"/>
          <w:sz w:val="16"/>
          <w:vertAlign w:val="superscript"/>
        </w:rPr>
        <w:t xml:space="preserve">[581]</w:t>
      </w:r>
      <w:r>
        <w:rPr>
          <w:color w:val="1A252F"/>
          <w:sz w:val="22"/>
        </w:rPr>
        <w:t xml:space="preserve">. Multiple Reddit users report waiting the full 90 days only to find Fiverr still withholding funds </w:t>
      </w:r>
      <w:r>
        <w:rPr>
          <w:color w:val="C0392B"/>
          <w:sz w:val="16"/>
          <w:vertAlign w:val="superscript"/>
        </w:rPr>
        <w:t xml:space="preserve">[541]</w:t>
      </w:r>
      <w:r>
        <w:rPr>
          <w:color w:val="C0392B"/>
          <w:sz w:val="16"/>
          <w:vertAlign w:val="superscript"/>
        </w:rPr>
        <w:t xml:space="preserve">[584]</w:t>
      </w:r>
      <w:r>
        <w:rPr>
          <w:color w:val="1A252F"/>
          <w:sz w:val="22"/>
        </w:rPr>
        <w:t xml:space="preserve">. The platform's 20% flat commission, applied with no volume discount, means a seller on a $1,000 project receives only $800 while Fiverr collects $200 plus a 5.5% service fee from the buyer </w:t>
      </w:r>
      <w:r>
        <w:rPr>
          <w:color w:val="C0392B"/>
          <w:sz w:val="16"/>
          <w:vertAlign w:val="superscript"/>
        </w:rPr>
        <w:t xml:space="preserve">[578]</w:t>
      </w:r>
      <w:r>
        <w:rPr>
          <w:color w:val="1A252F"/>
          <w:sz w:val="22"/>
        </w:rPr>
        <w:t xml:space="preserve">. The Johnson v. Fiverr class action, filed April 2025, alleges the company conceals an additional "junk fee" through drip pricing that only appears at the final checkout step </w:t>
      </w:r>
      <w:r>
        <w:rPr>
          <w:color w:val="C0392B"/>
          <w:sz w:val="16"/>
          <w:vertAlign w:val="superscript"/>
        </w:rPr>
        <w:t xml:space="preserve">[519]</w:t>
      </w:r>
      <w:r>
        <w:rPr>
          <w:color w:val="C0392B"/>
          <w:sz w:val="16"/>
          <w:vertAlign w:val="superscript"/>
        </w:rPr>
        <w:t xml:space="preserve">[524]</w:t>
      </w:r>
      <w:r>
        <w:rPr>
          <w:color w:val="1A252F"/>
          <w:sz w:val="22"/>
        </w:rPr>
        <w:t xml:space="preserve">.</w:t>
      </w:r>
    </w:p>
    <w:p>
      <w:pPr>
        <w:spacing w:after="160" w:line="300" w:lineRule="auto"/>
      </w:pPr>
      <w:r>
        <w:rPr>
          <w:color w:val="1A252F"/>
          <w:sz w:val="22"/>
        </w:rPr>
        <w:t xml:space="preserve">The chargeback liability shift on Upwork exemplifies how platforms externalize financial risk to the weakest party in the transaction. A documented case on Hacker News describes a freelancer who completed approximately 230 hours of work for a client over two years before Upwork demanded a full $12,500 refund because the client used a stolen credit card </w:t>
      </w:r>
      <w:r>
        <w:rPr>
          <w:color w:val="C0392B"/>
          <w:sz w:val="16"/>
          <w:vertAlign w:val="superscript"/>
        </w:rPr>
        <w:t xml:space="preserve">[537]</w:t>
      </w:r>
      <w:r>
        <w:rPr>
          <w:color w:val="1A252F"/>
          <w:sz w:val="22"/>
        </w:rPr>
        <w:t xml:space="preserve">. Upwork's Terms of Service explicitly reserve the right to recover funds from freelancers for any chargeback, suspected fraud, or duplicate transaction </w:t>
      </w:r>
      <w:r>
        <w:rPr>
          <w:color w:val="C0392B"/>
          <w:sz w:val="16"/>
          <w:vertAlign w:val="superscript"/>
        </w:rPr>
        <w:t xml:space="preserve">[537]</w:t>
      </w:r>
      <w:r>
        <w:rPr>
          <w:color w:val="1A252F"/>
          <w:sz w:val="22"/>
        </w:rPr>
        <w:t xml:space="preserve">. A subsequent Reddit-posted case in 2026 documented a $32,000 chargeback on a completed project </w:t>
      </w:r>
      <w:r>
        <w:rPr>
          <w:color w:val="C0392B"/>
          <w:sz w:val="16"/>
          <w:vertAlign w:val="superscript"/>
        </w:rPr>
        <w:t xml:space="preserve">[587]</w:t>
      </w:r>
      <w:r>
        <w:rPr>
          <w:color w:val="1A252F"/>
          <w:sz w:val="22"/>
        </w:rPr>
        <w:t xml:space="preserve">.</w:t>
      </w:r>
    </w:p>
    <w:p>
      <w:pPr>
        <w:spacing w:after="160" w:line="300" w:lineRule="auto"/>
      </w:pPr>
      <w:r>
        <w:rPr>
          <w:color w:val="1A252F"/>
          <w:sz w:val="22"/>
        </w:rPr>
        <w:t xml:space="preserve">The gender disparity in payment delays adds another dimension to freelance platform extraction. Female freelancers are paid late 31% of the time compared to 24% for male freelancers — a 29% higher rate of payment delay </w:t>
      </w:r>
      <w:r>
        <w:rPr>
          <w:color w:val="C0392B"/>
          <w:sz w:val="16"/>
          <w:vertAlign w:val="superscript"/>
        </w:rPr>
        <w:t xml:space="preserve">[522]</w:t>
      </w:r>
      <w:r>
        <w:rPr>
          <w:color w:val="1A252F"/>
          <w:sz w:val="22"/>
        </w:rPr>
        <w:t xml:space="preserve">. Oxford University's Fairwork research found that 250 workers across five AI-commonly-used platforms spent 26.8% of their time on unpaid tasks including looking for work, taking unpaid tests, and applying for work — bringing their effective hourly wage to $2.15 after accounting for all unpaid labor </w:t>
      </w:r>
      <w:r>
        <w:rPr>
          <w:color w:val="C0392B"/>
          <w:sz w:val="16"/>
          <w:vertAlign w:val="superscript"/>
        </w:rPr>
        <w:t xml:space="preserve">[592]</w:t>
      </w:r>
      <w:r>
        <w:rPr>
          <w:color w:val="1A252F"/>
          <w:sz w:val="22"/>
        </w:rPr>
        <w:t xml:space="preserve">. None of the platforms reviewed scored more than 5 out of 10 on Fairwork's fair working conditions index, and four platforms (Amazon Mechanical Turk, Workana, Microworkers, and Freelancer.com) scored zero </w:t>
      </w:r>
      <w:r>
        <w:rPr>
          <w:color w:val="C0392B"/>
          <w:sz w:val="16"/>
          <w:vertAlign w:val="superscript"/>
        </w:rPr>
        <w:t xml:space="preserve">[592]</w:t>
      </w:r>
      <w:r>
        <w:rPr>
          <w:color w:val="1A252F"/>
          <w:sz w:val="22"/>
        </w:rPr>
        <w:t xml:space="preserve">. A score of 10, researchers noted, "simply means that a company is complying with the bare minimum" </w:t>
      </w:r>
      <w:r>
        <w:rPr>
          <w:color w:val="C0392B"/>
          <w:sz w:val="16"/>
          <w:vertAlign w:val="superscript"/>
        </w:rPr>
        <w:t xml:space="preserve">[592]</w:t>
      </w:r>
      <w:r>
        <w:rPr>
          <w:color w:val="1A252F"/>
          <w:sz w:val="22"/>
        </w:rPr>
        <w:t xml:space="preserve">.</w:t>
      </w:r>
    </w:p>
    <w:p>
      <w:pPr>
        <w:spacing w:after="160" w:line="300" w:lineRule="auto"/>
      </w:pPr>
      <w:r>
        <w:rPr>
          <w:color w:val="1A252F"/>
          <w:sz w:val="22"/>
        </w:rPr>
        <w:t xml:space="preserve">Speculative work on design contest platforms like 99designs represents a distinct category of extraction. Designers create complete work — logos, app interfaces, brand identities — with no guarantee of payment. One designer estimated spending 2–3 hours per logo contest entry and 6–8 hours per app design contest, knowing that only one winner among dozens of entrants would be paid </w:t>
      </w:r>
      <w:r>
        <w:rPr>
          <w:color w:val="C0392B"/>
          <w:sz w:val="16"/>
          <w:vertAlign w:val="superscript"/>
        </w:rPr>
        <w:t xml:space="preserve">[565]</w:t>
      </w:r>
      <w:r>
        <w:rPr>
          <w:color w:val="1A252F"/>
          <w:sz w:val="22"/>
        </w:rPr>
        <w:t xml:space="preserve">. Contest holders exploit this asymmetry to obtain multiple design options at minimal cost, with designers from the Philippines and Indonesia particularly vulnerable due to economic conditions that make even low-probability contest participation appear rational </w:t>
      </w:r>
      <w:r>
        <w:rPr>
          <w:color w:val="C0392B"/>
          <w:sz w:val="16"/>
          <w:vertAlign w:val="superscript"/>
        </w:rPr>
        <w:t xml:space="preserve">[565]</w:t>
      </w:r>
      <w:r>
        <w:rPr>
          <w:color w:val="1A252F"/>
          <w:sz w:val="22"/>
        </w:rPr>
        <w:t xml:space="preserve">.</w:t>
      </w:r>
    </w:p>
    <w:p>
      <w:pPr>
        <w:pStyle w:val="Heading2"/>
      </w:pPr>
      <w:r>
        <w:rPr>
          <w:color w:val="1A252F"/>
          <w:sz w:val="22"/>
        </w:rPr>
        <w:t xml:space="preserve">1.4 Remote Work and Professional Contractor Platforms</w:t>
      </w:r>
    </w:p>
    <w:p>
      <w:pPr>
        <w:spacing w:after="160" w:line="300" w:lineRule="auto"/>
      </w:pPr>
      <w:r>
        <w:rPr>
          <w:color w:val="1A252F"/>
          <w:sz w:val="22"/>
        </w:rPr>
        <w:t xml:space="preserve">Remote work and Employer of Record (EOR) platforms occupy a distinct category because they mediate employment relationships rather than simply matching workers to tasks. This structural position gives them unique leverage over worker compensation — and creates correspondingly unique opportunities for extraction. Deel, the sector's largest player at a $17.3 billion valuation, faces a multi-front legal crisis spanning worker misclassification, federal RICO allegations, congressional investigation, corporate espionage litigation, and a Department of Justice criminal probe </w:t>
      </w:r>
      <w:r>
        <w:rPr>
          <w:color w:val="C0392B"/>
          <w:sz w:val="16"/>
          <w:vertAlign w:val="superscript"/>
        </w:rPr>
        <w:t xml:space="preserve">[517]</w:t>
      </w:r>
      <w:r>
        <w:rPr>
          <w:color w:val="C0392B"/>
          <w:sz w:val="16"/>
          <w:vertAlign w:val="superscript"/>
        </w:rPr>
        <w:t xml:space="preserve">[559]</w:t>
      </w:r>
      <w:r>
        <w:rPr>
          <w:color w:val="1A252F"/>
          <w:sz w:val="22"/>
        </w:rPr>
        <w:t xml:space="preserve">.</w:t>
      </w:r>
    </w:p>
    <w:tbl>
      <w:tblPr>
        <w:tblW w:w="5000" w:type="pct"/>
        <w:tblBorders>
          <w:top w:val="single" w:color="2C3E50" w:sz="12"/>
          <w:left w:val="nil"/>
          <w:bottom w:val="single" w:color="2C3E50" w:sz="12"/>
          <w:right w:val="nil"/>
          <w:insideH w:val="single" w:color="BDC3C7" w:sz="4"/>
          <w:insideV w:val="nil"/>
        </w:tblBorders>
        <w:tblLook w:val="04A0" w:firstRow="true"/>
      </w:tblPr>
      <w:tblGrid>
        <w:gridCol w:w="1000"/>
        <w:gridCol w:w="1000"/>
        <w:gridCol w:w="1000"/>
        <w:gridCol w:w="1000"/>
        <w:gridCol w:w="1000"/>
        <w:gridCol w:w="1000"/>
        <w:gridCol w:w="1000"/>
        <w:gridCol w:w="1000"/>
        <w:gridCol w:w="1000"/>
      </w:tblGrid>
      <w:tr>
        <w:trPr>
          <w:tblHeader/>
        </w:trPr>
        <w:tc>
          <w:tcPr>
            <w:tcW w:w="1000" w:type="dxa"/>
            <w:tcBorders>
              <w:bottom w:val="single" w:color="2C3E50" w:sz="6"/>
            </w:tcBorders>
            <w:shd w:val="clear" w:fill="EDF0F2"/>
          </w:tcPr>
          <w:p>
            <w:pPr>
              <w:spacing w:before="60" w:after="60"/>
            </w:pPr>
            <w:r>
              <w:rPr>
                <w:b/>
                <w:color w:val="1A252F"/>
                <w:sz w:val="18"/>
              </w:rPr>
              <w:t xml:space="preserve">Platform</w:t>
            </w:r>
          </w:p>
        </w:tc>
        <w:tc>
          <w:tcPr>
            <w:tcW w:w="1000" w:type="dxa"/>
            <w:tcBorders>
              <w:bottom w:val="single" w:color="2C3E50" w:sz="6"/>
            </w:tcBorders>
            <w:shd w:val="clear" w:fill="EDF0F2"/>
          </w:tcPr>
          <w:p>
            <w:pPr>
              <w:spacing w:before="60" w:after="60"/>
            </w:pPr>
            <w:r>
              <w:rPr>
                <w:b/>
                <w:color w:val="1A252F"/>
                <w:sz w:val="18"/>
              </w:rPr>
              <w:t xml:space="preserve">Category</w:t>
            </w:r>
          </w:p>
        </w:tc>
        <w:tc>
          <w:tcPr>
            <w:tcW w:w="1000" w:type="dxa"/>
            <w:tcBorders>
              <w:bottom w:val="single" w:color="2C3E50" w:sz="6"/>
            </w:tcBorders>
            <w:shd w:val="clear" w:fill="EDF0F2"/>
          </w:tcPr>
          <w:p>
            <w:pPr>
              <w:spacing w:before="60" w:after="60"/>
            </w:pPr>
            <w:r>
              <w:rPr>
                <w:b/>
                <w:color w:val="1A252F"/>
                <w:sz w:val="18"/>
              </w:rPr>
              <w:t xml:space="preserve">Complaint Volume</w:t>
            </w:r>
          </w:p>
        </w:tc>
        <w:tc>
          <w:tcPr>
            <w:tcW w:w="1000" w:type="dxa"/>
            <w:tcBorders>
              <w:bottom w:val="single" w:color="2C3E50" w:sz="6"/>
            </w:tcBorders>
            <w:shd w:val="clear" w:fill="EDF0F2"/>
          </w:tcPr>
          <w:p>
            <w:pPr>
              <w:spacing w:before="60" w:after="60"/>
            </w:pPr>
            <w:r>
              <w:rPr>
                <w:b/>
                <w:color w:val="1A252F"/>
                <w:sz w:val="18"/>
              </w:rPr>
              <w:t xml:space="preserve">Est. Unpaid Amounts</w:t>
            </w:r>
          </w:p>
        </w:tc>
        <w:tc>
          <w:tcPr>
            <w:tcW w:w="1000" w:type="dxa"/>
            <w:tcBorders>
              <w:bottom w:val="single" w:color="2C3E50" w:sz="6"/>
            </w:tcBorders>
            <w:shd w:val="clear" w:fill="EDF0F2"/>
          </w:tcPr>
          <w:p>
            <w:pPr>
              <w:spacing w:before="60" w:after="60"/>
            </w:pPr>
            <w:r>
              <w:rPr>
                <w:b/>
                <w:color w:val="1A252F"/>
                <w:sz w:val="18"/>
              </w:rPr>
              <w:t xml:space="preserve">Most Common Complaint</w:t>
            </w:r>
          </w:p>
        </w:tc>
        <w:tc>
          <w:tcPr>
            <w:tcW w:w="1000" w:type="dxa"/>
            <w:tcBorders>
              <w:bottom w:val="single" w:color="2C3E50" w:sz="6"/>
            </w:tcBorders>
            <w:shd w:val="clear" w:fill="EDF0F2"/>
          </w:tcPr>
          <w:p>
            <w:pPr>
              <w:spacing w:before="60" w:after="60"/>
            </w:pPr>
            <w:r>
              <w:rPr>
                <w:b/>
                <w:color w:val="1A252F"/>
                <w:sz w:val="18"/>
              </w:rPr>
              <w:t xml:space="preserve">Legal Action</w:t>
            </w:r>
          </w:p>
        </w:tc>
        <w:tc>
          <w:tcPr>
            <w:tcW w:w="1000" w:type="dxa"/>
            <w:tcBorders>
              <w:bottom w:val="single" w:color="2C3E50" w:sz="6"/>
            </w:tcBorders>
            <w:shd w:val="clear" w:fill="EDF0F2"/>
          </w:tcPr>
          <w:p>
            <w:pPr>
              <w:spacing w:before="60" w:after="60"/>
            </w:pPr>
            <w:r>
              <w:rPr>
                <w:b/>
                <w:color w:val="1A252F"/>
                <w:sz w:val="18"/>
              </w:rPr>
              <w:t xml:space="preserve">Current Status</w:t>
            </w:r>
          </w:p>
        </w:tc>
        <w:tc>
          <w:tcPr>
            <w:tcW w:w="1000" w:type="dxa"/>
            <w:tcBorders>
              <w:bottom w:val="single" w:color="2C3E50" w:sz="6"/>
            </w:tcBorders>
            <w:shd w:val="clear" w:fill="EDF0F2"/>
          </w:tcPr>
          <w:p>
            <w:pPr>
              <w:spacing w:before="60" w:after="60"/>
            </w:pPr>
            <w:r>
              <w:rPr>
                <w:b/>
                <w:color w:val="1A252F"/>
                <w:sz w:val="18"/>
              </w:rPr>
              <w:t xml:space="preserve">Affected Workers</w:t>
            </w:r>
          </w:p>
        </w:tc>
        <w:tc>
          <w:tcPr>
            <w:tcW w:w="1000" w:type="dxa"/>
            <w:tcBorders>
              <w:bottom w:val="single" w:color="2C3E50" w:sz="6"/>
            </w:tcBorders>
            <w:shd w:val="clear" w:fill="EDF0F2"/>
          </w:tcPr>
          <w:p>
            <w:pPr>
              <w:spacing w:before="60" w:after="60"/>
            </w:pPr>
            <w:r>
              <w:rPr>
                <w:b/>
                <w:color w:val="1A252F"/>
                <w:sz w:val="18"/>
              </w:rPr>
              <w:t xml:space="preserve">Geographic Concentration</w:t>
            </w:r>
          </w:p>
        </w:tc>
      </w:tr>
      <w:tr>
        <w:tc>
          <w:tcPr>
            <w:tcW w:w="1000" w:type="dxa"/>
          </w:tcPr>
          <w:p>
            <w:pPr>
              <w:spacing w:before="40" w:after="40" w:line="240" w:lineRule="auto"/>
            </w:pPr>
            <w:r>
              <w:rPr>
                <w:color w:val="1A252F"/>
                <w:sz w:val="18"/>
              </w:rPr>
              <w:t xml:space="preserve">Deel</w:t>
            </w:r>
          </w:p>
        </w:tc>
        <w:tc>
          <w:tcPr>
            <w:tcW w:w="1000" w:type="dxa"/>
          </w:tcPr>
          <w:p>
            <w:pPr>
              <w:spacing w:before="40" w:after="40" w:line="240" w:lineRule="auto"/>
            </w:pPr>
            <w:r>
              <w:rPr>
                <w:color w:val="1A252F"/>
                <w:sz w:val="18"/>
              </w:rPr>
              <w:t xml:space="preserve">EOR / payroll</w:t>
            </w:r>
          </w:p>
        </w:tc>
        <w:tc>
          <w:tcPr>
            <w:tcW w:w="1000" w:type="dxa"/>
          </w:tcPr>
          <w:p>
            <w:pPr>
              <w:spacing w:before="40" w:after="40" w:line="240" w:lineRule="auto"/>
            </w:pPr>
            <w:r>
              <w:rPr>
                <w:color w:val="1A252F"/>
                <w:sz w:val="18"/>
              </w:rPr>
              <w:t xml:space="preserve">Very High — class action, RICO suit, DOJ criminal probe, congressional probe</w:t>
            </w:r>
          </w:p>
        </w:tc>
        <w:tc>
          <w:tcPr>
            <w:tcW w:w="1000" w:type="dxa"/>
          </w:tcPr>
          <w:p>
            <w:pPr>
              <w:spacing w:before="40" w:after="40" w:line="240" w:lineRule="auto"/>
            </w:pPr>
            <w:r>
              <w:rPr>
                <w:color w:val="1A252F"/>
                <w:sz w:val="18"/>
              </w:rPr>
              <w:t xml:space="preserve">FX markups of 1.5–5.5% on currency conversion (advertised 0.6–2%); $3,000/month hidden cost on $100K payroll; misclassification class action seeking $100M+ </w:t>
            </w:r>
            <w:r>
              <w:rPr>
                <w:color w:val="C0392B"/>
                <w:sz w:val="16"/>
                <w:vertAlign w:val="superscript"/>
              </w:rPr>
              <w:t xml:space="preserve">[456]</w:t>
            </w:r>
            <w:r>
              <w:rPr>
                <w:color w:val="C0392B"/>
                <w:sz w:val="16"/>
                <w:vertAlign w:val="superscript"/>
              </w:rPr>
              <w:t xml:space="preserve">[142]</w:t>
            </w:r>
          </w:p>
        </w:tc>
        <w:tc>
          <w:tcPr>
            <w:tcW w:w="1000" w:type="dxa"/>
          </w:tcPr>
          <w:p>
            <w:pPr>
              <w:spacing w:before="40" w:after="40" w:line="240" w:lineRule="auto"/>
            </w:pPr>
            <w:r>
              <w:rPr>
                <w:color w:val="1A252F"/>
                <w:sz w:val="18"/>
              </w:rPr>
              <w:t xml:space="preserve">Misclassification; hidden FX markups; salary deposit holds (1 month gross); country surcharges</w:t>
            </w:r>
          </w:p>
        </w:tc>
        <w:tc>
          <w:tcPr>
            <w:tcW w:w="1000" w:type="dxa"/>
          </w:tcPr>
          <w:p>
            <w:pPr>
              <w:spacing w:before="40" w:after="40" w:line="240" w:lineRule="auto"/>
            </w:pPr>
            <w:r>
              <w:rPr>
                <w:color w:val="1A252F"/>
                <w:sz w:val="18"/>
              </w:rPr>
              <w:t xml:space="preserve">Class action (misclassification, active); Damian v. Deel RICO (dismissed Aug 2025, refile possible); DOJ criminal probe opened Jan 2026; 6 congressmen demanded investigation </w:t>
            </w:r>
            <w:r>
              <w:rPr>
                <w:color w:val="C0392B"/>
                <w:sz w:val="16"/>
                <w:vertAlign w:val="superscript"/>
              </w:rPr>
              <w:t xml:space="preserve">[517]</w:t>
            </w:r>
            <w:r>
              <w:rPr>
                <w:color w:val="C0392B"/>
                <w:sz w:val="16"/>
                <w:vertAlign w:val="superscript"/>
              </w:rPr>
              <w:t xml:space="preserve">[559]</w:t>
            </w:r>
            <w:r>
              <w:rPr>
                <w:color w:val="C0392B"/>
                <w:sz w:val="16"/>
                <w:vertAlign w:val="superscript"/>
              </w:rPr>
              <w:t xml:space="preserve">[531]</w:t>
            </w:r>
          </w:p>
        </w:tc>
        <w:tc>
          <w:tcPr>
            <w:tcW w:w="1000" w:type="dxa"/>
          </w:tcPr>
          <w:p>
            <w:pPr>
              <w:spacing w:before="40" w:after="40" w:line="240" w:lineRule="auto"/>
            </w:pPr>
            <w:r>
              <w:rPr>
                <w:color w:val="1A252F"/>
                <w:sz w:val="18"/>
              </w:rPr>
              <w:t xml:space="preserve">Active; hired new CFO, GC, CCO after DOJ probe; faces class action certification</w:t>
            </w:r>
          </w:p>
        </w:tc>
        <w:tc>
          <w:tcPr>
            <w:tcW w:w="1000" w:type="dxa"/>
          </w:tcPr>
          <w:p>
            <w:pPr>
              <w:spacing w:before="40" w:after="40" w:line="240" w:lineRule="auto"/>
            </w:pPr>
            <w:r>
              <w:rPr>
                <w:color w:val="1A252F"/>
                <w:sz w:val="18"/>
              </w:rPr>
              <w:t xml:space="preserve">Potentially all contractors processed through Deel; misclassification class could reach 100,000+</w:t>
            </w:r>
          </w:p>
        </w:tc>
        <w:tc>
          <w:tcPr>
            <w:tcW w:w="1000" w:type="dxa"/>
          </w:tcPr>
          <w:p>
            <w:pPr>
              <w:spacing w:before="40" w:after="40" w:line="240" w:lineRule="auto"/>
            </w:pPr>
            <w:r>
              <w:rPr>
                <w:color w:val="1A252F"/>
                <w:sz w:val="18"/>
              </w:rPr>
              <w:t xml:space="preserve">150+ countries; major presence in U.S., Europe, LATAM</w:t>
            </w:r>
          </w:p>
        </w:tc>
      </w:tr>
      <w:tr>
        <w:tc>
          <w:tcPr>
            <w:tcW w:w="1000" w:type="dxa"/>
          </w:tcPr>
          <w:p>
            <w:pPr>
              <w:spacing w:before="40" w:after="40" w:line="240" w:lineRule="auto"/>
            </w:pPr>
            <w:r>
              <w:rPr>
                <w:color w:val="1A252F"/>
                <w:sz w:val="18"/>
              </w:rPr>
              <w:t xml:space="preserve">Oyster HR</w:t>
            </w:r>
          </w:p>
        </w:tc>
        <w:tc>
          <w:tcPr>
            <w:tcW w:w="1000" w:type="dxa"/>
          </w:tcPr>
          <w:p>
            <w:pPr>
              <w:spacing w:before="40" w:after="40" w:line="240" w:lineRule="auto"/>
            </w:pPr>
            <w:r>
              <w:rPr>
                <w:color w:val="1A252F"/>
                <w:sz w:val="18"/>
              </w:rPr>
              <w:t xml:space="preserve">EOR / payroll</w:t>
            </w:r>
          </w:p>
        </w:tc>
        <w:tc>
          <w:tcPr>
            <w:tcW w:w="1000" w:type="dxa"/>
          </w:tcPr>
          <w:p>
            <w:pPr>
              <w:spacing w:before="40" w:after="40" w:line="240" w:lineRule="auto"/>
            </w:pPr>
            <w:r>
              <w:rPr>
                <w:color w:val="1A252F"/>
                <w:sz w:val="18"/>
              </w:rPr>
              <w:t xml:space="preserve">Moderate-High — Trustpilot crisis</w:t>
            </w:r>
          </w:p>
        </w:tc>
        <w:tc>
          <w:tcPr>
            <w:tcW w:w="1000" w:type="dxa"/>
          </w:tcPr>
          <w:p>
            <w:pPr>
              <w:spacing w:before="40" w:after="40" w:line="240" w:lineRule="auto"/>
            </w:pPr>
            <w:r>
              <w:rPr>
                <w:color w:val="1A252F"/>
                <w:sz w:val="18"/>
              </w:rPr>
              <w:t xml:space="preserve">133-day payment delays; payroll accuracy failures at scale </w:t>
            </w:r>
            <w:r>
              <w:rPr>
                <w:color w:val="C0392B"/>
                <w:sz w:val="16"/>
                <w:vertAlign w:val="superscript"/>
              </w:rPr>
              <w:t xml:space="preserve">[464]</w:t>
            </w:r>
            <w:r>
              <w:rPr>
                <w:color w:val="C0392B"/>
                <w:sz w:val="16"/>
                <w:vertAlign w:val="superscript"/>
              </w:rPr>
              <w:t xml:space="preserve">[30]</w:t>
            </w:r>
          </w:p>
        </w:tc>
        <w:tc>
          <w:tcPr>
            <w:tcW w:w="1000" w:type="dxa"/>
          </w:tcPr>
          <w:p>
            <w:pPr>
              <w:spacing w:before="40" w:after="40" w:line="240" w:lineRule="auto"/>
            </w:pPr>
            <w:r>
              <w:rPr>
                <w:color w:val="1A252F"/>
                <w:sz w:val="18"/>
              </w:rPr>
              <w:t xml:space="preserve">Systemic payment delays (5–10 business days beyond stated dates); labor law breaches in Belgium, Mexico</w:t>
            </w:r>
          </w:p>
        </w:tc>
        <w:tc>
          <w:tcPr>
            <w:tcW w:w="1000" w:type="dxa"/>
          </w:tcPr>
          <w:p>
            <w:pPr>
              <w:spacing w:before="40" w:after="40" w:line="240" w:lineRule="auto"/>
            </w:pPr>
            <w:r>
              <w:rPr>
                <w:color w:val="1A252F"/>
                <w:sz w:val="18"/>
              </w:rPr>
              <w:t xml:space="preserve">None formal</w:t>
            </w:r>
          </w:p>
        </w:tc>
        <w:tc>
          <w:tcPr>
            <w:tcW w:w="1000" w:type="dxa"/>
          </w:tcPr>
          <w:p>
            <w:pPr>
              <w:spacing w:before="40" w:after="40" w:line="240" w:lineRule="auto"/>
            </w:pPr>
            <w:r>
              <w:rPr>
                <w:color w:val="1A252F"/>
                <w:sz w:val="18"/>
              </w:rPr>
              <w:t xml:space="preserve">Active; ~$599/month per employee; compliance failures documented</w:t>
            </w:r>
          </w:p>
        </w:tc>
        <w:tc>
          <w:tcPr>
            <w:tcW w:w="1000" w:type="dxa"/>
          </w:tcPr>
          <w:p>
            <w:pPr>
              <w:spacing w:before="40" w:after="40" w:line="240" w:lineRule="auto"/>
            </w:pPr>
            <w:r>
              <w:rPr>
                <w:color w:val="1A252F"/>
                <w:sz w:val="18"/>
              </w:rPr>
              <w:t xml:space="preserve">Thousands across multiple countries</w:t>
            </w:r>
          </w:p>
        </w:tc>
        <w:tc>
          <w:tcPr>
            <w:tcW w:w="1000" w:type="dxa"/>
          </w:tcPr>
          <w:p>
            <w:pPr>
              <w:spacing w:before="40" w:after="40" w:line="240" w:lineRule="auto"/>
            </w:pPr>
            <w:r>
              <w:rPr>
                <w:color w:val="1A252F"/>
                <w:sz w:val="18"/>
              </w:rPr>
              <w:t xml:space="preserve">Global</w:t>
            </w:r>
          </w:p>
        </w:tc>
      </w:tr>
      <w:tr>
        <w:tc>
          <w:tcPr>
            <w:tcW w:w="1000" w:type="dxa"/>
          </w:tcPr>
          <w:p>
            <w:pPr>
              <w:spacing w:before="40" w:after="40" w:line="240" w:lineRule="auto"/>
            </w:pPr>
            <w:r>
              <w:rPr>
                <w:color w:val="1A252F"/>
                <w:sz w:val="18"/>
              </w:rPr>
              <w:t xml:space="preserve">Andela</w:t>
            </w:r>
          </w:p>
        </w:tc>
        <w:tc>
          <w:tcPr>
            <w:tcW w:w="1000" w:type="dxa"/>
          </w:tcPr>
          <w:p>
            <w:pPr>
              <w:spacing w:before="40" w:after="40" w:line="240" w:lineRule="auto"/>
            </w:pPr>
            <w:r>
              <w:rPr>
                <w:color w:val="1A252F"/>
                <w:sz w:val="18"/>
              </w:rPr>
              <w:t xml:space="preserve">Talent accelerator</w:t>
            </w:r>
          </w:p>
        </w:tc>
        <w:tc>
          <w:tcPr>
            <w:tcW w:w="1000" w:type="dxa"/>
          </w:tcPr>
          <w:p>
            <w:pPr>
              <w:spacing w:before="40" w:after="40" w:line="240" w:lineRule="auto"/>
            </w:pPr>
            <w:r>
              <w:rPr>
                <w:color w:val="1A252F"/>
                <w:sz w:val="18"/>
              </w:rPr>
              <w:t xml:space="preserve">High — mass layoffs</w:t>
            </w:r>
          </w:p>
        </w:tc>
        <w:tc>
          <w:tcPr>
            <w:tcW w:w="1000" w:type="dxa"/>
          </w:tcPr>
          <w:p>
            <w:pPr>
              <w:spacing w:before="40" w:after="40" w:line="240" w:lineRule="auto"/>
            </w:pPr>
            <w:r>
              <w:rPr>
                <w:color w:val="1A252F"/>
                <w:sz w:val="18"/>
              </w:rPr>
              <w:t xml:space="preserve">Severance packages distributed but career displacement unquantified</w:t>
            </w:r>
          </w:p>
        </w:tc>
        <w:tc>
          <w:tcPr>
            <w:tcW w:w="1000" w:type="dxa"/>
          </w:tcPr>
          <w:p>
            <w:pPr>
              <w:spacing w:before="40" w:after="40" w:line="240" w:lineRule="auto"/>
            </w:pPr>
            <w:r>
              <w:rPr>
                <w:color w:val="1A252F"/>
                <w:sz w:val="18"/>
              </w:rPr>
              <w:t xml:space="preserve">Mass layoffs of junior developers; recruitment promises unfulfilled</w:t>
            </w:r>
          </w:p>
        </w:tc>
        <w:tc>
          <w:tcPr>
            <w:tcW w:w="1000" w:type="dxa"/>
          </w:tcPr>
          <w:p>
            <w:pPr>
              <w:spacing w:before="40" w:after="40" w:line="240" w:lineRule="auto"/>
            </w:pPr>
            <w:r>
              <w:rPr>
                <w:color w:val="1A252F"/>
                <w:sz w:val="18"/>
              </w:rPr>
              <w:t xml:space="preserve">None</w:t>
            </w:r>
          </w:p>
        </w:tc>
        <w:tc>
          <w:tcPr>
            <w:tcW w:w="1000" w:type="dxa"/>
          </w:tcPr>
          <w:p>
            <w:pPr>
              <w:spacing w:before="40" w:after="40" w:line="240" w:lineRule="auto"/>
            </w:pPr>
            <w:r>
              <w:rPr>
                <w:color w:val="1A252F"/>
                <w:sz w:val="18"/>
              </w:rPr>
              <w:t xml:space="preserve">Active; pivoted to senior talent only after layoffs</w:t>
            </w:r>
          </w:p>
        </w:tc>
        <w:tc>
          <w:tcPr>
            <w:tcW w:w="1000" w:type="dxa"/>
          </w:tcPr>
          <w:p>
            <w:pPr>
              <w:spacing w:before="40" w:after="40" w:line="240" w:lineRule="auto"/>
            </w:pPr>
            <w:r>
              <w:rPr>
                <w:color w:val="1A252F"/>
                <w:sz w:val="18"/>
              </w:rPr>
              <w:t xml:space="preserve">535 laid off (400 junior Sep 2019; 135 May 2020); 1,575 engineers at peak </w:t>
            </w:r>
            <w:r>
              <w:rPr>
                <w:color w:val="C0392B"/>
                <w:sz w:val="16"/>
                <w:vertAlign w:val="superscript"/>
              </w:rPr>
              <w:t xml:space="preserve">[474]</w:t>
            </w:r>
            <w:r>
              <w:rPr>
                <w:color w:val="C0392B"/>
                <w:sz w:val="16"/>
                <w:vertAlign w:val="superscript"/>
              </w:rPr>
              <w:t xml:space="preserve">[472]</w:t>
            </w:r>
          </w:p>
        </w:tc>
        <w:tc>
          <w:tcPr>
            <w:tcW w:w="1000" w:type="dxa"/>
          </w:tcPr>
          <w:p>
            <w:pPr>
              <w:spacing w:before="40" w:after="40" w:line="240" w:lineRule="auto"/>
            </w:pPr>
            <w:r>
              <w:rPr>
                <w:color w:val="1A252F"/>
                <w:sz w:val="18"/>
              </w:rPr>
              <w:t xml:space="preserve">Africa (Nigeria, Kenya, Uganda, Egypt)</w:t>
            </w:r>
          </w:p>
        </w:tc>
      </w:tr>
      <w:tr>
        <w:tc>
          <w:tcPr>
            <w:tcW w:w="1000" w:type="dxa"/>
          </w:tcPr>
          <w:p>
            <w:pPr>
              <w:spacing w:before="40" w:after="40" w:line="240" w:lineRule="auto"/>
            </w:pPr>
            <w:r>
              <w:rPr>
                <w:color w:val="1A252F"/>
                <w:sz w:val="18"/>
              </w:rPr>
              <w:t xml:space="preserve">Contra</w:t>
            </w:r>
          </w:p>
        </w:tc>
        <w:tc>
          <w:tcPr>
            <w:tcW w:w="1000" w:type="dxa"/>
          </w:tcPr>
          <w:p>
            <w:pPr>
              <w:spacing w:before="40" w:after="40" w:line="240" w:lineRule="auto"/>
            </w:pPr>
            <w:r>
              <w:rPr>
                <w:color w:val="1A252F"/>
                <w:sz w:val="18"/>
              </w:rPr>
              <w:t xml:space="preserve">Freelance platform</w:t>
            </w:r>
          </w:p>
        </w:tc>
        <w:tc>
          <w:tcPr>
            <w:tcW w:w="1000" w:type="dxa"/>
          </w:tcPr>
          <w:p>
            <w:pPr>
              <w:spacing w:before="40" w:after="40" w:line="240" w:lineRule="auto"/>
            </w:pPr>
            <w:r>
              <w:rPr>
                <w:color w:val="1A252F"/>
                <w:sz w:val="18"/>
              </w:rPr>
              <w:t xml:space="preserve">Moderate — bait-and-switch fees</w:t>
            </w:r>
          </w:p>
        </w:tc>
        <w:tc>
          <w:tcPr>
            <w:tcW w:w="1000" w:type="dxa"/>
          </w:tcPr>
          <w:p>
            <w:pPr>
              <w:spacing w:before="40" w:after="40" w:line="240" w:lineRule="auto"/>
            </w:pPr>
            <w:r>
              <w:rPr>
                <w:color w:val="1A252F"/>
                <w:sz w:val="18"/>
              </w:rPr>
              <w:t xml:space="preserve">2% instant withdrawal fee after initial "free" promise </w:t>
            </w:r>
            <w:r>
              <w:rPr>
                <w:color w:val="C0392B"/>
                <w:sz w:val="16"/>
                <w:vertAlign w:val="superscript"/>
              </w:rPr>
              <w:t xml:space="preserve">[80]</w:t>
            </w:r>
          </w:p>
        </w:tc>
        <w:tc>
          <w:tcPr>
            <w:tcW w:w="1000" w:type="dxa"/>
          </w:tcPr>
          <w:p>
            <w:pPr>
              <w:spacing w:before="40" w:after="40" w:line="240" w:lineRule="auto"/>
            </w:pPr>
            <w:r>
              <w:rPr>
                <w:color w:val="1A252F"/>
                <w:sz w:val="18"/>
              </w:rPr>
              <w:t xml:space="preserve">Bait-and-switch: free withdrawals became 2% fee + 4-day security review</w:t>
            </w:r>
          </w:p>
        </w:tc>
        <w:tc>
          <w:tcPr>
            <w:tcW w:w="1000" w:type="dxa"/>
          </w:tcPr>
          <w:p>
            <w:pPr>
              <w:spacing w:before="40" w:after="40" w:line="240" w:lineRule="auto"/>
            </w:pPr>
            <w:r>
              <w:rPr>
                <w:color w:val="1A252F"/>
                <w:sz w:val="18"/>
              </w:rPr>
              <w:t xml:space="preserve">None</w:t>
            </w:r>
          </w:p>
        </w:tc>
        <w:tc>
          <w:tcPr>
            <w:tcW w:w="1000" w:type="dxa"/>
          </w:tcPr>
          <w:p>
            <w:pPr>
              <w:spacing w:before="40" w:after="40" w:line="240" w:lineRule="auto"/>
            </w:pPr>
            <w:r>
              <w:rPr>
                <w:color w:val="1A252F"/>
                <w:sz w:val="18"/>
              </w:rPr>
              <w:t xml:space="preserve">Active; Pro subscription ($29/mo) required to apply to jobs</w:t>
            </w:r>
          </w:p>
        </w:tc>
        <w:tc>
          <w:tcPr>
            <w:tcW w:w="1000" w:type="dxa"/>
          </w:tcPr>
          <w:p>
            <w:pPr>
              <w:spacing w:before="40" w:after="40" w:line="240" w:lineRule="auto"/>
            </w:pPr>
            <w:r>
              <w:rPr>
                <w:color w:val="1A252F"/>
                <w:sz w:val="18"/>
              </w:rPr>
              <w:t xml:space="preserve">Thousands</w:t>
            </w:r>
          </w:p>
        </w:tc>
        <w:tc>
          <w:tcPr>
            <w:tcW w:w="1000" w:type="dxa"/>
          </w:tcPr>
          <w:p>
            <w:pPr>
              <w:spacing w:before="40" w:after="40" w:line="240" w:lineRule="auto"/>
            </w:pPr>
            <w:r>
              <w:rPr>
                <w:color w:val="1A252F"/>
                <w:sz w:val="18"/>
              </w:rPr>
              <w:t xml:space="preserve">Global</w:t>
            </w:r>
          </w:p>
        </w:tc>
      </w:tr>
      <w:tr>
        <w:tc>
          <w:tcPr>
            <w:tcW w:w="1000" w:type="dxa"/>
          </w:tcPr>
          <w:p>
            <w:pPr>
              <w:spacing w:before="40" w:after="40" w:line="240" w:lineRule="auto"/>
            </w:pPr>
            <w:r>
              <w:rPr>
                <w:color w:val="1A252F"/>
                <w:sz w:val="18"/>
              </w:rPr>
              <w:t xml:space="preserve">Gigster</w:t>
            </w:r>
          </w:p>
        </w:tc>
        <w:tc>
          <w:tcPr>
            <w:tcW w:w="1000" w:type="dxa"/>
          </w:tcPr>
          <w:p>
            <w:pPr>
              <w:spacing w:before="40" w:after="40" w:line="240" w:lineRule="auto"/>
            </w:pPr>
            <w:r>
              <w:rPr>
                <w:color w:val="1A252F"/>
                <w:sz w:val="18"/>
              </w:rPr>
              <w:t xml:space="preserve">Developer marketplace</w:t>
            </w:r>
          </w:p>
        </w:tc>
        <w:tc>
          <w:tcPr>
            <w:tcW w:w="1000" w:type="dxa"/>
          </w:tcPr>
          <w:p>
            <w:pPr>
              <w:spacing w:before="40" w:after="40" w:line="240" w:lineRule="auto"/>
            </w:pPr>
            <w:r>
              <w:rPr>
                <w:color w:val="1A252F"/>
                <w:sz w:val="18"/>
              </w:rPr>
              <w:t xml:space="preserve">Moderate — undisclosed fees</w:t>
            </w:r>
          </w:p>
        </w:tc>
        <w:tc>
          <w:tcPr>
            <w:tcW w:w="1000" w:type="dxa"/>
          </w:tcPr>
          <w:p>
            <w:pPr>
              <w:spacing w:before="40" w:after="40" w:line="240" w:lineRule="auto"/>
            </w:pPr>
            <w:r>
              <w:rPr>
                <w:color w:val="1A252F"/>
                <w:sz w:val="18"/>
              </w:rPr>
              <w:t xml:space="preserve">Undisclosed $50 "linking fees" demanded after work completion </w:t>
            </w:r>
            <w:r>
              <w:rPr>
                <w:color w:val="C0392B"/>
                <w:sz w:val="16"/>
                <w:vertAlign w:val="superscript"/>
              </w:rPr>
              <w:t xml:space="preserve">[187]</w:t>
            </w:r>
          </w:p>
        </w:tc>
        <w:tc>
          <w:tcPr>
            <w:tcW w:w="1000" w:type="dxa"/>
          </w:tcPr>
          <w:p>
            <w:pPr>
              <w:spacing w:before="40" w:after="40" w:line="240" w:lineRule="auto"/>
            </w:pPr>
            <w:r>
              <w:rPr>
                <w:color w:val="1A252F"/>
                <w:sz w:val="18"/>
              </w:rPr>
              <w:t xml:space="preserve">Undisclosed fees after work completion; no oversight or transparency</w:t>
            </w:r>
          </w:p>
        </w:tc>
        <w:tc>
          <w:tcPr>
            <w:tcW w:w="1000" w:type="dxa"/>
          </w:tcPr>
          <w:p>
            <w:pPr>
              <w:spacing w:before="40" w:after="40" w:line="240" w:lineRule="auto"/>
            </w:pPr>
            <w:r>
              <w:rPr>
                <w:color w:val="1A252F"/>
                <w:sz w:val="18"/>
              </w:rPr>
              <w:t xml:space="preserve">None</w:t>
            </w:r>
          </w:p>
        </w:tc>
        <w:tc>
          <w:tcPr>
            <w:tcW w:w="1000" w:type="dxa"/>
          </w:tcPr>
          <w:p>
            <w:pPr>
              <w:spacing w:before="40" w:after="40" w:line="240" w:lineRule="auto"/>
            </w:pPr>
            <w:r>
              <w:rPr>
                <w:color w:val="1A252F"/>
                <w:sz w:val="18"/>
              </w:rPr>
              <w:t xml:space="preserve">Active</w:t>
            </w:r>
          </w:p>
        </w:tc>
        <w:tc>
          <w:tcPr>
            <w:tcW w:w="1000" w:type="dxa"/>
          </w:tcPr>
          <w:p>
            <w:pPr>
              <w:spacing w:before="40" w:after="40" w:line="240" w:lineRule="auto"/>
            </w:pPr>
            <w:r>
              <w:rPr>
                <w:color w:val="1A252F"/>
                <w:sz w:val="18"/>
              </w:rPr>
              <w:t xml:space="preserve">Thousands</w:t>
            </w:r>
          </w:p>
        </w:tc>
        <w:tc>
          <w:tcPr>
            <w:tcW w:w="1000" w:type="dxa"/>
          </w:tcPr>
          <w:p>
            <w:pPr>
              <w:spacing w:before="40" w:after="40" w:line="240" w:lineRule="auto"/>
            </w:pPr>
            <w:r>
              <w:rPr>
                <w:color w:val="1A252F"/>
                <w:sz w:val="18"/>
              </w:rPr>
              <w:t xml:space="preserve">U.S.-focused</w:t>
            </w:r>
          </w:p>
        </w:tc>
      </w:tr>
      <w:tr>
        <w:tc>
          <w:tcPr>
            <w:tcW w:w="1000" w:type="dxa"/>
          </w:tcPr>
          <w:p>
            <w:pPr>
              <w:spacing w:before="40" w:after="40" w:line="240" w:lineRule="auto"/>
            </w:pPr>
            <w:r>
              <w:rPr>
                <w:color w:val="1A252F"/>
                <w:sz w:val="18"/>
              </w:rPr>
              <w:t xml:space="preserve">Gun.io</w:t>
            </w:r>
          </w:p>
        </w:tc>
        <w:tc>
          <w:tcPr>
            <w:tcW w:w="1000" w:type="dxa"/>
          </w:tcPr>
          <w:p>
            <w:pPr>
              <w:spacing w:before="40" w:after="40" w:line="240" w:lineRule="auto"/>
            </w:pPr>
            <w:r>
              <w:rPr>
                <w:color w:val="1A252F"/>
                <w:sz w:val="18"/>
              </w:rPr>
              <w:t xml:space="preserve">Developer marketplace</w:t>
            </w:r>
          </w:p>
        </w:tc>
        <w:tc>
          <w:tcPr>
            <w:tcW w:w="1000" w:type="dxa"/>
          </w:tcPr>
          <w:p>
            <w:pPr>
              <w:spacing w:before="40" w:after="40" w:line="240" w:lineRule="auto"/>
            </w:pPr>
            <w:r>
              <w:rPr>
                <w:color w:val="1A252F"/>
                <w:sz w:val="18"/>
              </w:rPr>
              <w:t xml:space="preserve">Moderate — unpaid wages, bans</w:t>
            </w:r>
          </w:p>
        </w:tc>
        <w:tc>
          <w:tcPr>
            <w:tcW w:w="1000" w:type="dxa"/>
          </w:tcPr>
          <w:p>
            <w:pPr>
              <w:spacing w:before="40" w:after="40" w:line="240" w:lineRule="auto"/>
            </w:pPr>
            <w:r>
              <w:rPr>
                <w:color w:val="1A252F"/>
                <w:sz w:val="18"/>
              </w:rPr>
              <w:t xml:space="preserve">2 of 5 weeks unpaid before ban in documented case </w:t>
            </w:r>
            <w:r>
              <w:rPr>
                <w:color w:val="C0392B"/>
                <w:sz w:val="16"/>
                <w:vertAlign w:val="superscript"/>
              </w:rPr>
              <w:t xml:space="preserve">[478]</w:t>
            </w:r>
          </w:p>
        </w:tc>
        <w:tc>
          <w:tcPr>
            <w:tcW w:w="1000" w:type="dxa"/>
          </w:tcPr>
          <w:p>
            <w:pPr>
              <w:spacing w:before="40" w:after="40" w:line="240" w:lineRule="auto"/>
            </w:pPr>
            <w:r>
              <w:rPr>
                <w:color w:val="1A252F"/>
                <w:sz w:val="18"/>
              </w:rPr>
              <w:t xml:space="preserve">Partial payment before account ban; unresponsive support</w:t>
            </w:r>
          </w:p>
        </w:tc>
        <w:tc>
          <w:tcPr>
            <w:tcW w:w="1000" w:type="dxa"/>
          </w:tcPr>
          <w:p>
            <w:pPr>
              <w:spacing w:before="40" w:after="40" w:line="240" w:lineRule="auto"/>
            </w:pPr>
            <w:r>
              <w:rPr>
                <w:color w:val="1A252F"/>
                <w:sz w:val="18"/>
              </w:rPr>
              <w:t xml:space="preserve">None</w:t>
            </w:r>
          </w:p>
        </w:tc>
        <w:tc>
          <w:tcPr>
            <w:tcW w:w="1000" w:type="dxa"/>
          </w:tcPr>
          <w:p>
            <w:pPr>
              <w:spacing w:before="40" w:after="40" w:line="240" w:lineRule="auto"/>
            </w:pPr>
            <w:r>
              <w:rPr>
                <w:color w:val="1A252F"/>
                <w:sz w:val="18"/>
              </w:rPr>
              <w:t xml:space="preserve">Active</w:t>
            </w:r>
          </w:p>
        </w:tc>
        <w:tc>
          <w:tcPr>
            <w:tcW w:w="1000" w:type="dxa"/>
          </w:tcPr>
          <w:p>
            <w:pPr>
              <w:spacing w:before="40" w:after="40" w:line="240" w:lineRule="auto"/>
            </w:pPr>
            <w:r>
              <w:rPr>
                <w:color w:val="1A252F"/>
                <w:sz w:val="18"/>
              </w:rPr>
              <w:t xml:space="preserve">Thousands</w:t>
            </w:r>
          </w:p>
        </w:tc>
        <w:tc>
          <w:tcPr>
            <w:tcW w:w="1000" w:type="dxa"/>
          </w:tcPr>
          <w:p>
            <w:pPr>
              <w:spacing w:before="40" w:after="40" w:line="240" w:lineRule="auto"/>
            </w:pPr>
            <w:r>
              <w:rPr>
                <w:color w:val="1A252F"/>
                <w:sz w:val="18"/>
              </w:rPr>
              <w:t xml:space="preserve">U.S.-focused</w:t>
            </w:r>
          </w:p>
        </w:tc>
      </w:tr>
      <w:tr>
        <w:tc>
          <w:tcPr>
            <w:tcW w:w="1000" w:type="dxa"/>
          </w:tcPr>
          <w:p>
            <w:pPr>
              <w:spacing w:before="40" w:after="40" w:line="240" w:lineRule="auto"/>
            </w:pPr>
            <w:r>
              <w:rPr>
                <w:color w:val="1A252F"/>
                <w:sz w:val="18"/>
              </w:rPr>
              <w:t xml:space="preserve">Braintrust</w:t>
            </w:r>
          </w:p>
        </w:tc>
        <w:tc>
          <w:tcPr>
            <w:tcW w:w="1000" w:type="dxa"/>
          </w:tcPr>
          <w:p>
            <w:pPr>
              <w:spacing w:before="40" w:after="40" w:line="240" w:lineRule="auto"/>
            </w:pPr>
            <w:r>
              <w:rPr>
                <w:color w:val="1A252F"/>
                <w:sz w:val="18"/>
              </w:rPr>
              <w:t xml:space="preserve">Decentralized talent</w:t>
            </w:r>
          </w:p>
        </w:tc>
        <w:tc>
          <w:tcPr>
            <w:tcW w:w="1000" w:type="dxa"/>
          </w:tcPr>
          <w:p>
            <w:pPr>
              <w:spacing w:before="40" w:after="40" w:line="240" w:lineRule="auto"/>
            </w:pPr>
            <w:r>
              <w:rPr>
                <w:color w:val="1A252F"/>
                <w:sz w:val="18"/>
              </w:rPr>
              <w:t xml:space="preserve">Moderate — token model failures</w:t>
            </w:r>
          </w:p>
        </w:tc>
        <w:tc>
          <w:tcPr>
            <w:tcW w:w="1000" w:type="dxa"/>
          </w:tcPr>
          <w:p>
            <w:pPr>
              <w:spacing w:before="40" w:after="40" w:line="240" w:lineRule="auto"/>
            </w:pPr>
            <w:r>
              <w:rPr>
                <w:color w:val="1A252F"/>
                <w:sz w:val="18"/>
              </w:rPr>
              <w:t xml:space="preserve">Workers asked to purchase tokens for "hints" on applications </w:t>
            </w:r>
            <w:r>
              <w:rPr>
                <w:color w:val="C0392B"/>
                <w:sz w:val="16"/>
                <w:vertAlign w:val="superscript"/>
              </w:rPr>
              <w:t xml:space="preserve">[492]</w:t>
            </w:r>
          </w:p>
        </w:tc>
        <w:tc>
          <w:tcPr>
            <w:tcW w:w="1000" w:type="dxa"/>
          </w:tcPr>
          <w:p>
            <w:pPr>
              <w:spacing w:before="40" w:after="40" w:line="240" w:lineRule="auto"/>
            </w:pPr>
            <w:r>
              <w:rPr>
                <w:color w:val="1A252F"/>
                <w:sz w:val="18"/>
              </w:rPr>
              <w:t xml:space="preserve">Data privacy concerns; deceptive application process; token-based pay model failures</w:t>
            </w:r>
          </w:p>
        </w:tc>
        <w:tc>
          <w:tcPr>
            <w:tcW w:w="1000" w:type="dxa"/>
          </w:tcPr>
          <w:p>
            <w:pPr>
              <w:spacing w:before="40" w:after="40" w:line="240" w:lineRule="auto"/>
            </w:pPr>
            <w:r>
              <w:rPr>
                <w:color w:val="1A252F"/>
                <w:sz w:val="18"/>
              </w:rPr>
              <w:t xml:space="preserve">None</w:t>
            </w:r>
          </w:p>
        </w:tc>
        <w:tc>
          <w:tcPr>
            <w:tcW w:w="1000" w:type="dxa"/>
          </w:tcPr>
          <w:p>
            <w:pPr>
              <w:spacing w:before="40" w:after="40" w:line="240" w:lineRule="auto"/>
            </w:pPr>
            <w:r>
              <w:rPr>
                <w:color w:val="1A252F"/>
                <w:sz w:val="18"/>
              </w:rPr>
              <w:t xml:space="preserve">Active; 1.7/5 Trustpilot; 18 reviews</w:t>
            </w:r>
          </w:p>
        </w:tc>
        <w:tc>
          <w:tcPr>
            <w:tcW w:w="1000" w:type="dxa"/>
          </w:tcPr>
          <w:p>
            <w:pPr>
              <w:spacing w:before="40" w:after="40" w:line="240" w:lineRule="auto"/>
            </w:pPr>
            <w:r>
              <w:rPr>
                <w:color w:val="1A252F"/>
                <w:sz w:val="18"/>
              </w:rPr>
              <w:t xml:space="preserve">Thousands</w:t>
            </w:r>
          </w:p>
        </w:tc>
        <w:tc>
          <w:tcPr>
            <w:tcW w:w="1000" w:type="dxa"/>
          </w:tcPr>
          <w:p>
            <w:pPr>
              <w:spacing w:before="40" w:after="40" w:line="240" w:lineRule="auto"/>
            </w:pPr>
            <w:r>
              <w:rPr>
                <w:color w:val="1A252F"/>
                <w:sz w:val="18"/>
              </w:rPr>
              <w:t xml:space="preserve">Global</w:t>
            </w:r>
          </w:p>
        </w:tc>
      </w:tr>
      <w:tr>
        <w:tc>
          <w:tcPr>
            <w:tcW w:w="1000" w:type="dxa"/>
          </w:tcPr>
          <w:p>
            <w:pPr>
              <w:spacing w:before="40" w:after="40" w:line="240" w:lineRule="auto"/>
            </w:pPr>
            <w:r>
              <w:rPr>
                <w:color w:val="1A252F"/>
                <w:sz w:val="18"/>
              </w:rPr>
              <w:t xml:space="preserve">Remote.com</w:t>
            </w:r>
          </w:p>
        </w:tc>
        <w:tc>
          <w:tcPr>
            <w:tcW w:w="1000" w:type="dxa"/>
          </w:tcPr>
          <w:p>
            <w:pPr>
              <w:spacing w:before="40" w:after="40" w:line="240" w:lineRule="auto"/>
            </w:pPr>
            <w:r>
              <w:rPr>
                <w:color w:val="1A252F"/>
                <w:sz w:val="18"/>
              </w:rPr>
              <w:t xml:space="preserve">EOR / payroll</w:t>
            </w:r>
          </w:p>
        </w:tc>
        <w:tc>
          <w:tcPr>
            <w:tcW w:w="1000" w:type="dxa"/>
          </w:tcPr>
          <w:p>
            <w:pPr>
              <w:spacing w:before="40" w:after="40" w:line="240" w:lineRule="auto"/>
            </w:pPr>
            <w:r>
              <w:rPr>
                <w:color w:val="1A252F"/>
                <w:sz w:val="18"/>
              </w:rPr>
              <w:t xml:space="preserve">Low-Moderate — Glassdoor compensation concerns</w:t>
            </w:r>
          </w:p>
        </w:tc>
        <w:tc>
          <w:tcPr>
            <w:tcW w:w="1000" w:type="dxa"/>
          </w:tcPr>
          <w:p>
            <w:pPr>
              <w:spacing w:before="40" w:after="40" w:line="240" w:lineRule="auto"/>
            </w:pPr>
            <w:r>
              <w:rPr>
                <w:color w:val="1A252F"/>
                <w:sz w:val="18"/>
              </w:rPr>
              <w:t xml:space="preserve">3.5/5 Glassdoor compensation rating </w:t>
            </w:r>
            <w:r>
              <w:rPr>
                <w:color w:val="C0392B"/>
                <w:sz w:val="16"/>
                <w:vertAlign w:val="superscript"/>
              </w:rPr>
              <w:t xml:space="preserve">[502]</w:t>
            </w:r>
          </w:p>
        </w:tc>
        <w:tc>
          <w:tcPr>
            <w:tcW w:w="1000" w:type="dxa"/>
          </w:tcPr>
          <w:p>
            <w:pPr>
              <w:spacing w:before="40" w:after="40" w:line="240" w:lineRule="auto"/>
            </w:pPr>
            <w:r>
              <w:rPr>
                <w:color w:val="1A252F"/>
                <w:sz w:val="18"/>
              </w:rPr>
              <w:t xml:space="preserve">Marketing department undervalued; compensation below regional promises</w:t>
            </w:r>
          </w:p>
        </w:tc>
        <w:tc>
          <w:tcPr>
            <w:tcW w:w="1000" w:type="dxa"/>
          </w:tcPr>
          <w:p>
            <w:pPr>
              <w:spacing w:before="40" w:after="40" w:line="240" w:lineRule="auto"/>
            </w:pPr>
            <w:r>
              <w:rPr>
                <w:color w:val="1A252F"/>
                <w:sz w:val="18"/>
              </w:rPr>
              <w:t xml:space="preserve">None</w:t>
            </w:r>
          </w:p>
        </w:tc>
        <w:tc>
          <w:tcPr>
            <w:tcW w:w="1000" w:type="dxa"/>
          </w:tcPr>
          <w:p>
            <w:pPr>
              <w:spacing w:before="40" w:after="40" w:line="240" w:lineRule="auto"/>
            </w:pPr>
            <w:r>
              <w:rPr>
                <w:color w:val="1A252F"/>
                <w:sz w:val="18"/>
              </w:rPr>
              <w:t xml:space="preserve">Active; generally positive worker reviews</w:t>
            </w:r>
          </w:p>
        </w:tc>
        <w:tc>
          <w:tcPr>
            <w:tcW w:w="1000" w:type="dxa"/>
          </w:tcPr>
          <w:p>
            <w:pPr>
              <w:spacing w:before="40" w:after="40" w:line="240" w:lineRule="auto"/>
            </w:pPr>
            <w:r>
              <w:rPr>
                <w:color w:val="1A252F"/>
                <w:sz w:val="18"/>
              </w:rPr>
              <w:t xml:space="preserve">Thousands</w:t>
            </w:r>
          </w:p>
        </w:tc>
        <w:tc>
          <w:tcPr>
            <w:tcW w:w="1000" w:type="dxa"/>
          </w:tcPr>
          <w:p>
            <w:pPr>
              <w:spacing w:before="40" w:after="40" w:line="240" w:lineRule="auto"/>
            </w:pPr>
            <w:r>
              <w:rPr>
                <w:color w:val="1A252F"/>
                <w:sz w:val="18"/>
              </w:rPr>
              <w:t xml:space="preserve">Global</w:t>
            </w:r>
          </w:p>
        </w:tc>
      </w:tr>
      <w:tr>
        <w:tc>
          <w:tcPr>
            <w:tcW w:w="1000" w:type="dxa"/>
          </w:tcPr>
          <w:p>
            <w:pPr>
              <w:spacing w:before="40" w:after="40" w:line="240" w:lineRule="auto"/>
            </w:pPr>
            <w:r>
              <w:rPr>
                <w:color w:val="1A252F"/>
                <w:sz w:val="18"/>
              </w:rPr>
              <w:t xml:space="preserve">Arc.dev</w:t>
            </w:r>
          </w:p>
        </w:tc>
        <w:tc>
          <w:tcPr>
            <w:tcW w:w="1000" w:type="dxa"/>
          </w:tcPr>
          <w:p>
            <w:pPr>
              <w:spacing w:before="40" w:after="40" w:line="240" w:lineRule="auto"/>
            </w:pPr>
            <w:r>
              <w:rPr>
                <w:color w:val="1A252F"/>
                <w:sz w:val="18"/>
              </w:rPr>
              <w:t xml:space="preserve">Developer marketplace</w:t>
            </w:r>
          </w:p>
        </w:tc>
        <w:tc>
          <w:tcPr>
            <w:tcW w:w="1000" w:type="dxa"/>
          </w:tcPr>
          <w:p>
            <w:pPr>
              <w:spacing w:before="40" w:after="40" w:line="240" w:lineRule="auto"/>
            </w:pPr>
            <w:r>
              <w:rPr>
                <w:color w:val="1A252F"/>
                <w:sz w:val="18"/>
              </w:rPr>
              <w:t xml:space="preserve">Low-Moderate — low compensation rating</w:t>
            </w:r>
          </w:p>
        </w:tc>
        <w:tc>
          <w:tcPr>
            <w:tcW w:w="1000" w:type="dxa"/>
          </w:tcPr>
          <w:p>
            <w:pPr>
              <w:spacing w:before="40" w:after="40" w:line="240" w:lineRule="auto"/>
            </w:pPr>
            <w:r>
              <w:rPr>
                <w:color w:val="1A252F"/>
                <w:sz w:val="18"/>
              </w:rPr>
              <w:t xml:space="preserve">2.9/5 Glassdoor compensation rating (lowest in sector) </w:t>
            </w:r>
            <w:r>
              <w:rPr>
                <w:color w:val="C0392B"/>
                <w:sz w:val="16"/>
                <w:vertAlign w:val="superscript"/>
              </w:rPr>
              <w:t xml:space="preserve">[503]</w:t>
            </w:r>
          </w:p>
        </w:tc>
        <w:tc>
          <w:tcPr>
            <w:tcW w:w="1000" w:type="dxa"/>
          </w:tcPr>
          <w:p>
            <w:pPr>
              <w:spacing w:before="40" w:after="40" w:line="240" w:lineRule="auto"/>
            </w:pPr>
            <w:r>
              <w:rPr>
                <w:color w:val="1A252F"/>
                <w:sz w:val="18"/>
              </w:rPr>
              <w:t xml:space="preserve">Below-market compensation for developer roles</w:t>
            </w:r>
          </w:p>
        </w:tc>
        <w:tc>
          <w:tcPr>
            <w:tcW w:w="1000" w:type="dxa"/>
          </w:tcPr>
          <w:p>
            <w:pPr>
              <w:spacing w:before="40" w:after="40" w:line="240" w:lineRule="auto"/>
            </w:pPr>
            <w:r>
              <w:rPr>
                <w:color w:val="1A252F"/>
                <w:sz w:val="18"/>
              </w:rPr>
              <w:t xml:space="preserve">None</w:t>
            </w:r>
          </w:p>
        </w:tc>
        <w:tc>
          <w:tcPr>
            <w:tcW w:w="1000" w:type="dxa"/>
          </w:tcPr>
          <w:p>
            <w:pPr>
              <w:spacing w:before="40" w:after="40" w:line="240" w:lineRule="auto"/>
            </w:pPr>
            <w:r>
              <w:rPr>
                <w:color w:val="1A252F"/>
                <w:sz w:val="18"/>
              </w:rPr>
              <w:t xml:space="preserve">Active</w:t>
            </w:r>
          </w:p>
        </w:tc>
        <w:tc>
          <w:tcPr>
            <w:tcW w:w="1000" w:type="dxa"/>
          </w:tcPr>
          <w:p>
            <w:pPr>
              <w:spacing w:before="40" w:after="40" w:line="240" w:lineRule="auto"/>
            </w:pPr>
            <w:r>
              <w:rPr>
                <w:color w:val="1A252F"/>
                <w:sz w:val="18"/>
              </w:rPr>
              <w:t xml:space="preserve">Thousands</w:t>
            </w:r>
          </w:p>
        </w:tc>
        <w:tc>
          <w:tcPr>
            <w:tcW w:w="1000" w:type="dxa"/>
          </w:tcPr>
          <w:p>
            <w:pPr>
              <w:spacing w:before="40" w:after="40" w:line="240" w:lineRule="auto"/>
            </w:pPr>
            <w:r>
              <w:rPr>
                <w:color w:val="1A252F"/>
                <w:sz w:val="18"/>
              </w:rPr>
              <w:t xml:space="preserve">Global</w:t>
            </w:r>
          </w:p>
        </w:tc>
      </w:tr>
      <w:tr>
        <w:tc>
          <w:tcPr>
            <w:tcW w:w="1000" w:type="dxa"/>
          </w:tcPr>
          <w:p>
            <w:pPr>
              <w:spacing w:before="40" w:after="40" w:line="240" w:lineRule="auto"/>
            </w:pPr>
            <w:r>
              <w:rPr>
                <w:color w:val="1A252F"/>
                <w:sz w:val="18"/>
              </w:rPr>
              <w:t xml:space="preserve">Lemon.io</w:t>
            </w:r>
          </w:p>
        </w:tc>
        <w:tc>
          <w:tcPr>
            <w:tcW w:w="1000" w:type="dxa"/>
          </w:tcPr>
          <w:p>
            <w:pPr>
              <w:spacing w:before="40" w:after="40" w:line="240" w:lineRule="auto"/>
            </w:pPr>
            <w:r>
              <w:rPr>
                <w:color w:val="1A252F"/>
                <w:sz w:val="18"/>
              </w:rPr>
              <w:t xml:space="preserve">Developer marketplace</w:t>
            </w:r>
          </w:p>
        </w:tc>
        <w:tc>
          <w:tcPr>
            <w:tcW w:w="1000" w:type="dxa"/>
          </w:tcPr>
          <w:p>
            <w:pPr>
              <w:spacing w:before="40" w:after="40" w:line="240" w:lineRule="auto"/>
            </w:pPr>
            <w:r>
              <w:rPr>
                <w:color w:val="1A252F"/>
                <w:sz w:val="18"/>
              </w:rPr>
              <w:t xml:space="preserve">Moderate — 50% fee disclosure shock</w:t>
            </w:r>
          </w:p>
        </w:tc>
        <w:tc>
          <w:tcPr>
            <w:tcW w:w="1000" w:type="dxa"/>
          </w:tcPr>
          <w:p>
            <w:pPr>
              <w:spacing w:before="40" w:after="40" w:line="240" w:lineRule="auto"/>
            </w:pPr>
            <w:r>
              <w:rPr>
                <w:color w:val="1A252F"/>
                <w:sz w:val="18"/>
              </w:rPr>
              <w:t xml:space="preserve">50% platform fee on client budgets revealed post-hire </w:t>
            </w:r>
            <w:r>
              <w:rPr>
                <w:color w:val="C0392B"/>
                <w:sz w:val="16"/>
                <w:vertAlign w:val="superscript"/>
              </w:rPr>
              <w:t xml:space="preserve">[490]</w:t>
            </w:r>
          </w:p>
        </w:tc>
        <w:tc>
          <w:tcPr>
            <w:tcW w:w="1000" w:type="dxa"/>
          </w:tcPr>
          <w:p>
            <w:pPr>
              <w:spacing w:before="40" w:after="40" w:line="240" w:lineRule="auto"/>
            </w:pPr>
            <w:r>
              <w:rPr>
                <w:color w:val="1A252F"/>
                <w:sz w:val="18"/>
              </w:rPr>
              <w:t xml:space="preserve">Hidden 50% fee structure; chargeback disputes resolved in platform's favor</w:t>
            </w:r>
          </w:p>
        </w:tc>
        <w:tc>
          <w:tcPr>
            <w:tcW w:w="1000" w:type="dxa"/>
          </w:tcPr>
          <w:p>
            <w:pPr>
              <w:spacing w:before="40" w:after="40" w:line="240" w:lineRule="auto"/>
            </w:pPr>
            <w:r>
              <w:rPr>
                <w:color w:val="1A252F"/>
                <w:sz w:val="18"/>
              </w:rPr>
              <w:t xml:space="preserve">None</w:t>
            </w:r>
          </w:p>
        </w:tc>
        <w:tc>
          <w:tcPr>
            <w:tcW w:w="1000" w:type="dxa"/>
          </w:tcPr>
          <w:p>
            <w:pPr>
              <w:spacing w:before="40" w:after="40" w:line="240" w:lineRule="auto"/>
            </w:pPr>
            <w:r>
              <w:rPr>
                <w:color w:val="1A252F"/>
                <w:sz w:val="18"/>
              </w:rPr>
              <w:t xml:space="preserve">Active</w:t>
            </w:r>
          </w:p>
        </w:tc>
        <w:tc>
          <w:tcPr>
            <w:tcW w:w="1000" w:type="dxa"/>
          </w:tcPr>
          <w:p>
            <w:pPr>
              <w:spacing w:before="40" w:after="40" w:line="240" w:lineRule="auto"/>
            </w:pPr>
            <w:r>
              <w:rPr>
                <w:color w:val="1A252F"/>
                <w:sz w:val="18"/>
              </w:rPr>
              <w:t xml:space="preserve">Thousands</w:t>
            </w:r>
          </w:p>
        </w:tc>
        <w:tc>
          <w:tcPr>
            <w:tcW w:w="1000" w:type="dxa"/>
          </w:tcPr>
          <w:p>
            <w:pPr>
              <w:spacing w:before="40" w:after="40" w:line="240" w:lineRule="auto"/>
            </w:pPr>
            <w:r>
              <w:rPr>
                <w:color w:val="1A252F"/>
                <w:sz w:val="18"/>
              </w:rPr>
              <w:t xml:space="preserve">Ukraine-based developers primary</w:t>
            </w:r>
          </w:p>
        </w:tc>
      </w:tr>
    </w:tbl>
    <w:p>
      <w:pPr>
        <w:spacing w:after="200"/>
      </w:pPr>
    </w:p>
    <w:p>
      <w:pPr>
        <w:spacing w:after="160" w:line="300" w:lineRule="auto"/>
      </w:pPr>
      <w:r>
        <w:rPr>
          <w:color w:val="1A252F"/>
          <w:sz w:val="22"/>
        </w:rPr>
        <w:t xml:space="preserve">Deel's foreign exchange markup fraud illustrates how EOR platforms extract value through opacity rather than explicit fees. The platform advertises 0.6–2% FX markups above mid-market rates, but independent analyses and customer reports indicate actual spreads of 1.5–5.5% </w:t>
      </w:r>
      <w:r>
        <w:rPr>
          <w:color w:val="C0392B"/>
          <w:sz w:val="16"/>
          <w:vertAlign w:val="superscript"/>
        </w:rPr>
        <w:t xml:space="preserve">[456]</w:t>
      </w:r>
      <w:r>
        <w:rPr>
          <w:color w:val="C0392B"/>
          <w:sz w:val="16"/>
          <w:vertAlign w:val="superscript"/>
        </w:rPr>
        <w:t xml:space="preserve">[77]</w:t>
      </w:r>
      <w:r>
        <w:rPr>
          <w:color w:val="1A252F"/>
          <w:sz w:val="22"/>
        </w:rPr>
        <w:t xml:space="preserve">. On a $100,000 monthly payroll corridor from USD to EUR at a 3% spread, this creates an unadvertised $3,000 monthly fee — exceeding the entire base service fee for five full-time employees </w:t>
      </w:r>
      <w:r>
        <w:rPr>
          <w:color w:val="C0392B"/>
          <w:sz w:val="16"/>
          <w:vertAlign w:val="superscript"/>
        </w:rPr>
        <w:t xml:space="preserve">[456]</w:t>
      </w:r>
      <w:r>
        <w:rPr>
          <w:color w:val="1A252F"/>
          <w:sz w:val="22"/>
        </w:rPr>
        <w:t xml:space="preserve">. When combined with salary deposit holds (one month gross per employee), country surcharges ($50–$150/month for complex markets), credit card processing fees (2.9–3.9%), and supplemental benefit markups (10–15%), Deel's effective cost far exceeds its advertised pricing </w:t>
      </w:r>
      <w:r>
        <w:rPr>
          <w:color w:val="C0392B"/>
          <w:sz w:val="16"/>
          <w:vertAlign w:val="superscript"/>
        </w:rPr>
        <w:t xml:space="preserve">[76]</w:t>
      </w:r>
      <w:r>
        <w:rPr>
          <w:color w:val="1A252F"/>
          <w:sz w:val="22"/>
        </w:rPr>
        <w:t xml:space="preserve">.</w:t>
      </w:r>
    </w:p>
    <w:p>
      <w:pPr>
        <w:spacing w:after="160" w:line="300" w:lineRule="auto"/>
      </w:pPr>
      <w:r>
        <w:rPr>
          <w:color w:val="1A252F"/>
          <w:sz w:val="22"/>
        </w:rPr>
        <w:t xml:space="preserve">The DOJ criminal investigation into Deel, opened in January 2026, represents an escalation from civil liability to potential criminal exposure. Federal prosecutors are examining allegations that Deel orchestrated a corporate espionage operation against rival Rippling, including a spy who admitted in a sworn affidavit to covertly communicating with Deel's co-founder between September 2024 and March 2025, and revelations that Deel's CFO allegedly suggested future payments be made via cryptocurrency because it "leaves no trace" </w:t>
      </w:r>
      <w:r>
        <w:rPr>
          <w:color w:val="C0392B"/>
          <w:sz w:val="16"/>
          <w:vertAlign w:val="superscript"/>
        </w:rPr>
        <w:t xml:space="preserve">[559]</w:t>
      </w:r>
      <w:r>
        <w:rPr>
          <w:color w:val="C0392B"/>
          <w:sz w:val="16"/>
          <w:vertAlign w:val="superscript"/>
        </w:rPr>
        <w:t xml:space="preserve">[539]</w:t>
      </w:r>
      <w:r>
        <w:rPr>
          <w:color w:val="1A252F"/>
          <w:sz w:val="22"/>
        </w:rPr>
        <w:t xml:space="preserve">. The criminal probe examines potential violations of the Economic Espionage Act, Computer Fraud and Abuse Act, Wire Fraud statutes, and RICO conspiracy </w:t>
      </w:r>
      <w:r>
        <w:rPr>
          <w:color w:val="C0392B"/>
          <w:sz w:val="16"/>
          <w:vertAlign w:val="superscript"/>
        </w:rPr>
        <w:t xml:space="preserve">[559]</w:t>
      </w:r>
      <w:r>
        <w:rPr>
          <w:color w:val="1A252F"/>
          <w:sz w:val="22"/>
        </w:rPr>
        <w:t xml:space="preserve">.</w:t>
      </w:r>
    </w:p>
    <w:p>
      <w:pPr>
        <w:spacing w:after="160" w:line="300" w:lineRule="auto"/>
      </w:pPr>
      <w:r>
        <w:rPr>
          <w:color w:val="1A252F"/>
          <w:sz w:val="22"/>
        </w:rPr>
        <w:t xml:space="preserve">Andela's mass layoffs of 535 junior developers across Africa in 2019 and 2020 illustrate a different pattern: the displacement of workers recruited with promises of professional development. The company laid off 400 junior engineers in September 2019 while simultaneously announcing it would exceed $50 million in annual revenue </w:t>
      </w:r>
      <w:r>
        <w:rPr>
          <w:color w:val="C0392B"/>
          <w:sz w:val="16"/>
          <w:vertAlign w:val="superscript"/>
        </w:rPr>
        <w:t xml:space="preserve">[474]</w:t>
      </w:r>
      <w:r>
        <w:rPr>
          <w:color w:val="1A252F"/>
          <w:sz w:val="22"/>
        </w:rPr>
        <w:t xml:space="preserve">. CEO Jeremy Johnson attributed the layoffs to "market demand for more senior engineering talent" rather than financial distress — yet the affected workers had been actively recruited from universities with the promise of long-term career development </w:t>
      </w:r>
      <w:r>
        <w:rPr>
          <w:color w:val="C0392B"/>
          <w:sz w:val="16"/>
          <w:vertAlign w:val="superscript"/>
        </w:rPr>
        <w:t xml:space="preserve">[474]</w:t>
      </w:r>
      <w:r>
        <w:rPr>
          <w:color w:val="1A252F"/>
          <w:sz w:val="22"/>
        </w:rPr>
        <w:t xml:space="preserve">. The human cost extended beyond immediate job loss: multiple Nigerian developers had dropped out of university to join Andela's program, leaving them without degrees and without employment </w:t>
      </w:r>
      <w:r>
        <w:rPr>
          <w:color w:val="C0392B"/>
          <w:sz w:val="16"/>
          <w:vertAlign w:val="superscript"/>
        </w:rPr>
        <w:t xml:space="preserve">[476]</w:t>
      </w:r>
      <w:r>
        <w:rPr>
          <w:color w:val="1A252F"/>
          <w:sz w:val="22"/>
        </w:rPr>
        <w:t xml:space="preserve">.</w:t>
      </w:r>
    </w:p>
    <w:p>
      <w:pPr>
        <w:spacing w:after="160" w:line="300" w:lineRule="auto"/>
      </w:pPr>
      <w:r>
        <w:rPr>
          <w:color w:val="1A252F"/>
          <w:sz w:val="22"/>
        </w:rPr>
        <w:t xml:space="preserve">Payment delays across remote work platforms are not occasional operational failures — they are systemic. Eighty-five percent of freelancers experience late payment, with 21% paid late or not at all more than 50% of the time </w:t>
      </w:r>
      <w:r>
        <w:rPr>
          <w:color w:val="C0392B"/>
          <w:sz w:val="16"/>
          <w:vertAlign w:val="superscript"/>
        </w:rPr>
        <w:t xml:space="preserve">[519]</w:t>
      </w:r>
      <w:r>
        <w:rPr>
          <w:color w:val="1A252F"/>
          <w:sz w:val="22"/>
        </w:rPr>
        <w:t xml:space="preserve">. The average global payment delay is 37–42 days after invoice, and platform-mediated payments average 23–28 days longer than direct payments </w:t>
      </w:r>
      <w:r>
        <w:rPr>
          <w:color w:val="C0392B"/>
          <w:sz w:val="16"/>
          <w:vertAlign w:val="superscript"/>
        </w:rPr>
        <w:t xml:space="preserve">[143]</w:t>
      </w:r>
      <w:r>
        <w:rPr>
          <w:color w:val="1A252F"/>
          <w:sz w:val="22"/>
        </w:rPr>
        <w:t xml:space="preserve">. At any given time, 18–21% of freelancers have unpaid invoices outstanding, and 42% have missed bill payments due to payment delays </w:t>
      </w:r>
      <w:r>
        <w:rPr>
          <w:color w:val="C0392B"/>
          <w:sz w:val="16"/>
          <w:vertAlign w:val="superscript"/>
        </w:rPr>
        <w:t xml:space="preserve">[143]</w:t>
      </w:r>
      <w:r>
        <w:rPr>
          <w:color w:val="1A252F"/>
          <w:sz w:val="22"/>
        </w:rPr>
        <w:t xml:space="preserve">. The average freelancer spends 8.5 hours per month chasing payments — an annual opportunity cost of $5,100 at $50/hour </w:t>
      </w:r>
      <w:r>
        <w:rPr>
          <w:color w:val="C0392B"/>
          <w:sz w:val="16"/>
          <w:vertAlign w:val="superscript"/>
        </w:rPr>
        <w:t xml:space="preserve">[143]</w:t>
      </w:r>
      <w:r>
        <w:rPr>
          <w:color w:val="1A252F"/>
          <w:sz w:val="22"/>
        </w:rPr>
        <w:t xml:space="preserve">. For workers on platforms like Malt, where documented delays reached 133 days — nearly four and a half months — the financial stress cascades into missed rent, defaulted loans, and deteriorating health.</w:t>
      </w:r>
    </w:p>
    <w:p>
      <w:pPr>
        <w:pStyle w:val="Heading2"/>
      </w:pPr>
      <w:r>
        <w:rPr>
          <w:color w:val="1A252F"/>
          <w:sz w:val="22"/>
        </w:rPr>
        <w:t xml:space="preserve">1.5 Cross-Cutting Patterns</w:t>
      </w:r>
    </w:p>
    <w:p>
      <w:pPr>
        <w:spacing w:after="160" w:line="300" w:lineRule="auto"/>
      </w:pPr>
      <w:r>
        <w:rPr>
          <w:color w:val="1A252F"/>
          <w:sz w:val="22"/>
        </w:rPr>
        <w:t xml:space="preserve">Four structural patterns emerge across all 50 platforms analyzed. First, </w:t>
      </w:r>
      <w:r>
        <w:rPr>
          <w:b/>
          <w:color w:val="1A252F"/>
          <w:sz w:val="22"/>
        </w:rPr>
        <w:t xml:space="preserve">misclassification is the foundational mechanism</w:t>
      </w:r>
      <w:r>
        <w:rPr>
          <w:color w:val="1A252F"/>
          <w:sz w:val="22"/>
        </w:rPr>
        <w:t xml:space="preserve"> — every platform in every category classifies workers as independent contractors, shifting the costs of equipment, maintenance, insurance, sick leave, and unemployment coverage to individuals who cannot absorb them. The National Employment Law Project estimates that 10–30% of U.S. employers misclassify workers </w:t>
      </w:r>
      <w:r>
        <w:rPr>
          <w:color w:val="C0392B"/>
          <w:sz w:val="16"/>
          <w:vertAlign w:val="superscript"/>
        </w:rPr>
        <w:t xml:space="preserve">[493]</w:t>
      </w:r>
      <w:r>
        <w:rPr>
          <w:color w:val="1A252F"/>
          <w:sz w:val="22"/>
        </w:rPr>
        <w:t xml:space="preserve">, and the Economic Policy Institute documents that workers misclassified as independent contractors lose minimum wage, overtime pay, unemployment insurance, collective bargaining rights, and anti-discrimination protections </w:t>
      </w:r>
      <w:r>
        <w:rPr>
          <w:color w:val="C0392B"/>
          <w:sz w:val="16"/>
          <w:vertAlign w:val="superscript"/>
        </w:rPr>
        <w:t xml:space="preserve">[493]</w:t>
      </w:r>
      <w:r>
        <w:rPr>
          <w:color w:val="1A252F"/>
          <w:sz w:val="22"/>
        </w:rPr>
        <w:t xml:space="preserve">.</w:t>
      </w:r>
    </w:p>
    <w:p>
      <w:pPr>
        <w:spacing w:after="160" w:line="300" w:lineRule="auto"/>
      </w:pPr>
      <w:r>
        <w:rPr>
          <w:color w:val="1A252F"/>
          <w:sz w:val="22"/>
        </w:rPr>
        <w:t xml:space="preserve">Second, </w:t>
      </w:r>
      <w:r>
        <w:rPr>
          <w:b/>
          <w:color w:val="1A252F"/>
          <w:sz w:val="22"/>
        </w:rPr>
        <w:t xml:space="preserve">algorithmic management creates invisible wage theft</w:t>
      </w:r>
      <w:r>
        <w:rPr>
          <w:color w:val="1A252F"/>
          <w:sz w:val="22"/>
        </w:rPr>
        <w:t xml:space="preserve">. Uber's "Up Front Pricing" reduced driver pay while increasing Uber's take rate from 25% to over 50% on some trips </w:t>
      </w:r>
      <w:r>
        <w:rPr>
          <w:color w:val="C0392B"/>
          <w:sz w:val="16"/>
          <w:vertAlign w:val="superscript"/>
        </w:rPr>
        <w:t xml:space="preserve">[132]</w:t>
      </w:r>
      <w:r>
        <w:rPr>
          <w:color w:val="1A252F"/>
          <w:sz w:val="22"/>
        </w:rPr>
        <w:t xml:space="preserve">. DoorDash's algorithm reduced base pay when customer tips were predicted to be high </w:t>
      </w:r>
      <w:r>
        <w:rPr>
          <w:color w:val="C0392B"/>
          <w:sz w:val="16"/>
          <w:vertAlign w:val="superscript"/>
        </w:rPr>
        <w:t xml:space="preserve">[447]</w:t>
      </w:r>
      <w:r>
        <w:rPr>
          <w:color w:val="1A252F"/>
          <w:sz w:val="22"/>
        </w:rPr>
        <w:t xml:space="preserve">. Instacart's batch pay inversely tied to tips </w:t>
      </w:r>
      <w:r>
        <w:rPr>
          <w:color w:val="C0392B"/>
          <w:sz w:val="16"/>
          <w:vertAlign w:val="superscript"/>
        </w:rPr>
        <w:t xml:space="preserve">[551]</w:t>
      </w:r>
      <w:r>
        <w:rPr>
          <w:color w:val="1A252F"/>
          <w:sz w:val="22"/>
        </w:rPr>
        <w:t xml:space="preserve">. Workers cannot contest what they cannot see — and platforms design algorithms specifically to be opaque. Research by the University of Oxford and Worker Info Exchange, analyzing 1.5 million trips from 258 Uber drivers, found that 82% of UK drivers earned less per hour after dynamic pay was introduced, with average gross hourly pay dropping from £22.20 to £19.06 </w:t>
      </w:r>
      <w:r>
        <w:rPr>
          <w:color w:val="C0392B"/>
          <w:sz w:val="16"/>
          <w:vertAlign w:val="superscript"/>
        </w:rPr>
        <w:t xml:space="preserve">[132]</w:t>
      </w:r>
      <w:r>
        <w:rPr>
          <w:color w:val="1A252F"/>
          <w:sz w:val="22"/>
        </w:rPr>
        <w:t xml:space="preserve">.</w:t>
      </w:r>
    </w:p>
    <w:p>
      <w:pPr>
        <w:spacing w:after="160" w:line="300" w:lineRule="auto"/>
      </w:pPr>
      <w:r>
        <w:rPr>
          <w:color w:val="1A252F"/>
          <w:sz w:val="22"/>
        </w:rPr>
        <w:t xml:space="preserve">Third, </w:t>
      </w:r>
      <w:r>
        <w:rPr>
          <w:b/>
          <w:color w:val="1A252F"/>
          <w:sz w:val="22"/>
        </w:rPr>
        <w:t xml:space="preserve">fee structures evolve toward increasing extraction, never decreasing</w:t>
      </w:r>
      <w:r>
        <w:rPr>
          <w:color w:val="1A252F"/>
          <w:sz w:val="22"/>
        </w:rPr>
        <w:t xml:space="preserve">. Upwork's fee trajectory — 10% flat → 20/10/5 tiered → 10% flat → 0–15% variable (22–34% effective) — is replicated across categories. Delivery platforms reduced base pay while adding "promotions" and "boosts" that disguise net pay declines. EOR platforms layered hidden FX markups, country surcharges, and processing fees atop advertised base pricing. This is not market competition driving prices down; it is platform capture driving extraction up.</w:t>
      </w:r>
    </w:p>
    <w:p>
      <w:pPr>
        <w:spacing w:after="160" w:line="300" w:lineRule="auto"/>
      </w:pPr>
      <w:r>
        <w:rPr>
          <w:color w:val="1A252F"/>
          <w:sz w:val="22"/>
        </w:rPr>
        <w:t xml:space="preserve">Fourth, </w:t>
      </w:r>
      <w:r>
        <w:rPr>
          <w:b/>
          <w:color w:val="1A252F"/>
          <w:sz w:val="22"/>
        </w:rPr>
        <w:t xml:space="preserve">jurisdiction arbitrage is the default response to regulation</w:t>
      </w:r>
      <w:r>
        <w:rPr>
          <w:color w:val="1A252F"/>
          <w:sz w:val="22"/>
        </w:rPr>
        <w:t xml:space="preserve">. Scale AI stopped hiring California workers after lawsuits and routed work to lower-protection states and countries </w:t>
      </w:r>
      <w:r>
        <w:rPr>
          <w:color w:val="C0392B"/>
          <w:sz w:val="16"/>
          <w:vertAlign w:val="superscript"/>
        </w:rPr>
        <w:t xml:space="preserve">[7]</w:t>
      </w:r>
      <w:r>
        <w:rPr>
          <w:color w:val="1A252F"/>
          <w:sz w:val="22"/>
        </w:rPr>
        <w:t xml:space="preserve">. Deliveroo exited the Netherlands after an adverse worker-status ruling and Australia after regulatory pressure </w:t>
      </w:r>
      <w:r>
        <w:rPr>
          <w:color w:val="C0392B"/>
          <w:sz w:val="16"/>
          <w:vertAlign w:val="superscript"/>
        </w:rPr>
        <w:t xml:space="preserve">[575]</w:t>
      </w:r>
      <w:r>
        <w:rPr>
          <w:color w:val="C0392B"/>
          <w:sz w:val="16"/>
          <w:vertAlign w:val="superscript"/>
        </w:rPr>
        <w:t xml:space="preserve">[576]</w:t>
      </w:r>
      <w:r>
        <w:rPr>
          <w:color w:val="1A252F"/>
          <w:sz w:val="22"/>
        </w:rPr>
        <w:t xml:space="preserve">. Sama offshored traumatic content moderation from the U.S. to Kenya, where workers earned one-tenth of the rates paid to U.S. annotators for the same work </w:t>
      </w:r>
      <w:r>
        <w:rPr>
          <w:color w:val="C0392B"/>
          <w:sz w:val="16"/>
          <w:vertAlign w:val="superscript"/>
        </w:rPr>
        <w:t xml:space="preserve">[12]</w:t>
      </w:r>
      <w:r>
        <w:rPr>
          <w:color w:val="1A252F"/>
          <w:sz w:val="22"/>
        </w:rPr>
        <w:t xml:space="preserve">. This pattern means wage theft is never eliminated by a single strong ruling — it is displaced. The implication for Sindicato is direct: effective worker protection requires cross-border coordination, because platforms will always route exploitation to the jurisdiction with the weakest enforcement.</w:t>
      </w:r>
    </w:p>
    <w:p>
      <w:pPr>
        <w:spacing w:after="160" w:line="300" w:lineRule="auto"/>
      </w:pPr>
      <w:r>
        <w:rPr>
          <w:color w:val="1A252F"/>
          <w:sz w:val="22"/>
        </w:rPr>
        <w:t xml:space="preserve">A fifth pattern specific to the freelance and remote work sectors deserves attention: </w:t>
      </w:r>
      <w:r>
        <w:rPr>
          <w:b/>
          <w:color w:val="1A252F"/>
          <w:sz w:val="22"/>
        </w:rPr>
        <w:t xml:space="preserve">the privatization of employment risk</w:t>
      </w:r>
      <w:r>
        <w:rPr>
          <w:color w:val="1A252F"/>
          <w:sz w:val="22"/>
        </w:rPr>
        <w:t xml:space="preserve">. Traditional employers bear the costs of recruitment, training, equipment, sick leave, and unemployment insurance. EOR and contractor platforms have successfully externalized all of these costs to individual workers while capturing the revenue streams that would traditionally fund them. Deel's FX markup alone, at an actual spread of 1.5–5.5% rather than the advertised 0.6–2%, transfers $3,000–$5,500 per month from workers to the platform on a $100,000 payroll </w:t>
      </w:r>
      <w:r>
        <w:rPr>
          <w:color w:val="C0392B"/>
          <w:sz w:val="16"/>
          <w:vertAlign w:val="superscript"/>
        </w:rPr>
        <w:t xml:space="preserve">[456]</w:t>
      </w:r>
      <w:r>
        <w:rPr>
          <w:color w:val="1A252F"/>
          <w:sz w:val="22"/>
        </w:rPr>
        <w:t xml:space="preserve">. This is not a service fee — it is a wealth extraction mechanism disguised as a convenience charge.</w:t>
      </w:r>
    </w:p>
    <w:p>
      <w:pPr>
        <w:spacing w:after="160" w:line="300" w:lineRule="auto"/>
      </w:pPr>
      <w:r>
        <w:rPr>
          <w:color w:val="1A252F"/>
          <w:sz w:val="22"/>
        </w:rPr>
        <w:t xml:space="preserve">The 50 platforms documented in this chapter collectively employ or have employed tens of millions of workers globally. The verified financial recoveries — settlements, fines, and court-ordered payments secured through litigation and regulatory action — exceed $2 billion. The unrecovered amounts, comprising unpaid wages, stolen tips, hidden fee extraction, FX markup fraud, chargeback liability transfers, and the uncompensated costs of misclassification, likely exceed $50 billion annually across the four categories. These figures do not include the psychological costs of content moderation trauma, the career displacement from arbitrary deactivation, the mental health toll of payment uncertainty documented across every platform category, or the incalculable damage of workers who abandon promising careers after being exploited by platforms that promised flexibility and delivered precarity. Chapter 2 aggregates these findings into a global statistical framework; Chapter 3 examines the regulatory landscape that shapes what recovery is possible.</w:t>
      </w:r>
    </w:p>
    <w:p>
      <w:pPr>
        <w:spacing w:after="160" w:line="300" w:lineRule="auto"/>
      </w:pPr>
      <w:r>
        <w:rPr>
          <w:color w:val="1A252F"/>
          <w:sz w:val="22"/>
        </w:rPr>
        <w:t xml:space="preserve">-e </w:t>
      </w:r>
    </w:p>
    <w:p>
      <w:pPr>
        <w:pStyle w:val="Heading2"/>
      </w:pPr>
      <w:r>
        <w:rPr>
          <w:color w:val="1A252F"/>
          <w:sz w:val="22"/>
        </w:rPr>
        <w:t xml:space="preserve">2. Category Aggregates</w:t>
      </w:r>
    </w:p>
    <w:p>
      <w:pPr>
        <w:pStyle w:val="Heading3"/>
      </w:pPr>
      <w:r>
        <w:rPr>
          <w:color w:val="1A252F"/>
          <w:sz w:val="22"/>
        </w:rPr>
        <w:t xml:space="preserve">2.1 Total Estimated Wage Theft Volume by Category</w:t>
      </w:r>
    </w:p>
    <w:p>
      <w:pPr>
        <w:spacing w:after="160" w:line="300" w:lineRule="auto"/>
      </w:pPr>
      <w:r>
        <w:rPr>
          <w:color w:val="1A252F"/>
          <w:sz w:val="22"/>
        </w:rPr>
        <w:t xml:space="preserve">The preceding chapter documented wage theft across approximately 50 individual platforms. Aggregating those platform-level findings into four functional categories — AI platforms, delivery/ride-hailing, freelance marketplaces, and remote work/contractor management — reveals a striking hierarchy of exploitation. While every category exhibits systemic underpayment, the mechanisms, scale, and remedy pathways differ substantially.</w:t>
      </w:r>
    </w:p>
    <w:p>
      <w:pPr>
        <w:spacing w:after="160" w:line="300" w:lineRule="auto"/>
      </w:pPr>
      <w:r>
        <w:rPr>
          <w:b/>
          <w:color w:val="1A252F"/>
          <w:sz w:val="22"/>
        </w:rPr>
        <w:t xml:space="preserve">AI platforms</w:t>
      </w:r>
      <w:r>
        <w:rPr>
          <w:color w:val="1A252F"/>
          <w:sz w:val="22"/>
        </w:rPr>
        <w:t xml:space="preserve"> constitute the smallest measured workforce by headcount but exhibit the highest wage suppression per worker. The U.S. data annotation industry alone supported nearly 200,000 flexible earning opportunities in 2024 while contributing $5.7 billion to U.S. GDP </w:t>
      </w:r>
      <w:r>
        <w:rPr>
          <w:color w:val="C0392B"/>
          <w:sz w:val="16"/>
          <w:vertAlign w:val="superscript"/>
        </w:rPr>
        <w:t xml:space="preserve">[46]</w:t>
      </w:r>
      <w:r>
        <w:rPr>
          <w:color w:val="1A252F"/>
          <w:sz w:val="22"/>
        </w:rPr>
        <w:t xml:space="preserve">. Yet peer-reviewed research on Amazon Mechanical Turk — the longest-running microtask platform — found a median hourly wage of approximately $2, with only 4% of workers earning above the federal minimum wage of $7.25 </w:t>
      </w:r>
      <w:r>
        <w:rPr>
          <w:color w:val="C0392B"/>
          <w:sz w:val="16"/>
          <w:vertAlign w:val="superscript"/>
        </w:rPr>
        <w:t xml:space="preserve">[18]</w:t>
      </w:r>
      <w:r>
        <w:rPr>
          <w:color w:val="1A252F"/>
          <w:sz w:val="22"/>
        </w:rPr>
        <w:t xml:space="preserve">. At Sama, the Kenyan data-labeling firm contracted by OpenAI, workers received $1.32–$2 per hour for labeling toxic content while OpenAI paid Sama $12.50 per hour — a six-to-nine-times markup captured entirely by the intermediary </w:t>
      </w:r>
      <w:r>
        <w:rPr>
          <w:color w:val="C0392B"/>
          <w:sz w:val="16"/>
          <w:vertAlign w:val="superscript"/>
        </w:rPr>
        <w:t xml:space="preserve">[12]</w:t>
      </w:r>
      <w:r>
        <w:rPr>
          <w:color w:val="1A252F"/>
          <w:sz w:val="22"/>
        </w:rPr>
        <w:t xml:space="preserve">. Scale AI, valued at $13.8 billion, advertised $15–$40 per hour to U.S. contractors while effective pay routinely fell below California's minimum wage after accounting for unpaid training and assessment time </w:t>
      </w:r>
      <w:r>
        <w:rPr>
          <w:color w:val="C0392B"/>
          <w:sz w:val="16"/>
          <w:vertAlign w:val="superscript"/>
        </w:rPr>
        <w:t xml:space="preserve">[1]</w:t>
      </w:r>
      <w:r>
        <w:rPr>
          <w:color w:val="1A252F"/>
          <w:sz w:val="22"/>
        </w:rPr>
        <w:t xml:space="preserve"> </w:t>
      </w:r>
      <w:r>
        <w:rPr>
          <w:color w:val="C0392B"/>
          <w:sz w:val="16"/>
          <w:vertAlign w:val="superscript"/>
        </w:rPr>
        <w:t xml:space="preserve">[3]</w:t>
      </w:r>
      <w:r>
        <w:rPr>
          <w:color w:val="1A252F"/>
          <w:sz w:val="22"/>
        </w:rPr>
        <w:t xml:space="preserve">. When California workers filed suit, Scale AI's response was not to raise wages but to stop hiring California residents entirely </w:t>
      </w:r>
      <w:r>
        <w:rPr>
          <w:color w:val="C0392B"/>
          <w:sz w:val="16"/>
          <w:vertAlign w:val="superscript"/>
        </w:rPr>
        <w:t xml:space="preserve">[7]</w:t>
      </w:r>
      <w:r>
        <w:rPr>
          <w:color w:val="1A252F"/>
          <w:sz w:val="22"/>
        </w:rPr>
        <w:t xml:space="preserve">.</w:t>
      </w:r>
    </w:p>
    <w:p>
      <w:pPr>
        <w:spacing w:after="160" w:line="300" w:lineRule="auto"/>
      </w:pPr>
      <w:r>
        <w:rPr>
          <w:b/>
          <w:color w:val="1A252F"/>
          <w:sz w:val="22"/>
        </w:rPr>
        <w:t xml:space="preserve">Delivery and ride-hailing</w:t>
      </w:r>
      <w:r>
        <w:rPr>
          <w:color w:val="1A252F"/>
          <w:sz w:val="22"/>
        </w:rPr>
        <w:t xml:space="preserve"> produce the largest single-category settlement volume. Confirmed government-enforced recoveries exceed $544 million: the $328 million New York Attorney General settlement with Uber and Lyft </w:t>
      </w:r>
      <w:r>
        <w:rPr>
          <w:color w:val="C0392B"/>
          <w:sz w:val="16"/>
          <w:vertAlign w:val="superscript"/>
        </w:rPr>
        <w:t xml:space="preserve">[285]</w:t>
      </w:r>
      <w:r>
        <w:rPr>
          <w:color w:val="1A252F"/>
          <w:sz w:val="22"/>
        </w:rPr>
        <w:t xml:space="preserve">, the $175 million Massachusetts settlement </w:t>
      </w:r>
      <w:r>
        <w:rPr>
          <w:color w:val="C0392B"/>
          <w:sz w:val="16"/>
          <w:vertAlign w:val="superscript"/>
        </w:rPr>
        <w:t xml:space="preserve">[1005]</w:t>
      </w:r>
      <w:r>
        <w:rPr>
          <w:color w:val="1A252F"/>
          <w:sz w:val="22"/>
        </w:rPr>
        <w:t xml:space="preserve">, the $16.75 million DoorDash tip-theft recovery in New York </w:t>
      </w:r>
      <w:r>
        <w:rPr>
          <w:color w:val="C0392B"/>
          <w:sz w:val="16"/>
          <w:vertAlign w:val="superscript"/>
        </w:rPr>
        <w:t xml:space="preserve">[447]</w:t>
      </w:r>
      <w:r>
        <w:rPr>
          <w:color w:val="1A252F"/>
          <w:sz w:val="22"/>
        </w:rPr>
        <w:t xml:space="preserve">, and multiple municipal actions including Seattle's $15 million Uber Eats settlement </w:t>
      </w:r>
      <w:r>
        <w:rPr>
          <w:color w:val="C0392B"/>
          <w:sz w:val="16"/>
          <w:vertAlign w:val="superscript"/>
        </w:rPr>
        <w:t xml:space="preserve">[557]</w:t>
      </w:r>
      <w:r>
        <w:rPr>
          <w:color w:val="1A252F"/>
          <w:sz w:val="22"/>
        </w:rPr>
        <w:t xml:space="preserve"> and $3.78 million Amazon Flex recovery </w:t>
      </w:r>
      <w:r>
        <w:rPr>
          <w:color w:val="C0392B"/>
          <w:sz w:val="16"/>
          <w:vertAlign w:val="superscript"/>
        </w:rPr>
        <w:t xml:space="preserve">[246]</w:t>
      </w:r>
      <w:r>
        <w:rPr>
          <w:color w:val="1A252F"/>
          <w:sz w:val="22"/>
        </w:rPr>
        <w:t xml:space="preserve">. Pending litigation adds another $1.3 billion in California pre-Proposition 22 wage claims </w:t>
      </w:r>
      <w:r>
        <w:rPr>
          <w:color w:val="C0392B"/>
          <w:sz w:val="16"/>
          <w:vertAlign w:val="superscript"/>
        </w:rPr>
        <w:t xml:space="preserve">[181]</w:t>
      </w:r>
      <w:r>
        <w:rPr>
          <w:color w:val="1A252F"/>
          <w:sz w:val="22"/>
        </w:rPr>
        <w:t xml:space="preserve">, £200 million-plus in the United Kingdom Bolt driver tribunal </w:t>
      </w:r>
      <w:r>
        <w:rPr>
          <w:color w:val="C0392B"/>
          <w:sz w:val="16"/>
          <w:vertAlign w:val="superscript"/>
        </w:rPr>
        <w:t xml:space="preserve">[474]</w:t>
      </w:r>
      <w:r>
        <w:rPr>
          <w:color w:val="1A252F"/>
          <w:sz w:val="22"/>
        </w:rPr>
        <w:t xml:space="preserve">, and €450 million in Spanish social security demands against Glovo </w:t>
      </w:r>
      <w:r>
        <w:rPr>
          <w:color w:val="C0392B"/>
          <w:sz w:val="16"/>
          <w:vertAlign w:val="superscript"/>
        </w:rPr>
        <w:t xml:space="preserve">[280]</w:t>
      </w:r>
      <w:r>
        <w:rPr>
          <w:color w:val="1A252F"/>
          <w:sz w:val="22"/>
        </w:rPr>
        <w:t xml:space="preserve">. The 100,000-plus drivers eligible for the New York settlement </w:t>
      </w:r>
      <w:r>
        <w:rPr>
          <w:color w:val="C0392B"/>
          <w:sz w:val="16"/>
          <w:vertAlign w:val="superscript"/>
        </w:rPr>
        <w:t xml:space="preserve">[285]</w:t>
      </w:r>
      <w:r>
        <w:rPr>
          <w:color w:val="1A252F"/>
          <w:sz w:val="22"/>
        </w:rPr>
        <w:t xml:space="preserve"> and 250,000 potentially eligible in California </w:t>
      </w:r>
      <w:r>
        <w:rPr>
          <w:color w:val="C0392B"/>
          <w:sz w:val="16"/>
          <w:vertAlign w:val="superscript"/>
        </w:rPr>
        <w:t xml:space="preserve">[184]</w:t>
      </w:r>
      <w:r>
        <w:rPr>
          <w:color w:val="1A252F"/>
          <w:sz w:val="22"/>
        </w:rPr>
        <w:t xml:space="preserve"> indicate aU.S. affected population in the low millions; global delivery and ride-hailing workforces number in the tens of millions.</w:t>
      </w:r>
    </w:p>
    <w:p>
      <w:pPr>
        <w:spacing w:after="160" w:line="300" w:lineRule="auto"/>
      </w:pPr>
      <w:r>
        <w:rPr>
          <w:b/>
          <w:color w:val="1A252F"/>
          <w:sz w:val="22"/>
        </w:rPr>
        <w:t xml:space="preserve">Freelance marketplaces</w:t>
      </w:r>
      <w:r>
        <w:rPr>
          <w:color w:val="1A252F"/>
          <w:sz w:val="22"/>
        </w:rPr>
        <w:t xml:space="preserve"> extract the largest absolute volume of worker value, though not all of it fits the traditional definition of "wage theft." The top five platforms (Upwork, Fiverr, Freelancer.com, Toptal, PeoplePerHour) control 78% of the $455 billion platform-mediated freelance market, extracting $46.5–$76.8 billion annually through commission fees alone </w:t>
      </w:r>
      <w:r>
        <w:rPr>
          <w:color w:val="C0392B"/>
          <w:sz w:val="16"/>
          <w:vertAlign w:val="superscript"/>
        </w:rPr>
        <w:t xml:space="preserve">[578]</w:t>
      </w:r>
      <w:r>
        <w:rPr>
          <w:color w:val="1A252F"/>
          <w:sz w:val="22"/>
        </w:rPr>
        <w:t xml:space="preserve">. Non-payment and delayed payment add another $15 billion in annual losses, with 58% of freelancers globally experiencing non-payment or delay </w:t>
      </w:r>
      <w:r>
        <w:rPr>
          <w:color w:val="C0392B"/>
          <w:sz w:val="16"/>
          <w:vertAlign w:val="superscript"/>
        </w:rPr>
        <w:t xml:space="preserve">[535]</w:t>
      </w:r>
      <w:r>
        <w:rPr>
          <w:color w:val="1A252F"/>
          <w:sz w:val="22"/>
        </w:rPr>
        <w:t xml:space="preserve">. Upwork's effective "agency tax" — combining service fees, paid connects, boosted proposals, withdrawal fees, and currency conversion — reaches 22–34% of gross contract revenue </w:t>
      </w:r>
      <w:r>
        <w:rPr>
          <w:color w:val="C0392B"/>
          <w:sz w:val="16"/>
          <w:vertAlign w:val="superscript"/>
        </w:rPr>
        <w:t xml:space="preserve">[69]</w:t>
      </w:r>
      <w:r>
        <w:rPr>
          <w:color w:val="1A252F"/>
          <w:sz w:val="22"/>
        </w:rPr>
        <w:t xml:space="preserve">. Fiverr's 20% flat commission plus 90-day fund lockouts for banned sellers </w:t>
      </w:r>
      <w:r>
        <w:rPr>
          <w:color w:val="C0392B"/>
          <w:sz w:val="16"/>
          <w:vertAlign w:val="superscript"/>
        </w:rPr>
        <w:t xml:space="preserve">[580]</w:t>
      </w:r>
      <w:r>
        <w:rPr>
          <w:color w:val="1A252F"/>
          <w:sz w:val="22"/>
        </w:rPr>
        <w:t xml:space="preserve"> </w:t>
      </w:r>
      <w:r>
        <w:rPr>
          <w:color w:val="C0392B"/>
          <w:sz w:val="16"/>
          <w:vertAlign w:val="superscript"/>
        </w:rPr>
        <w:t xml:space="preserve">[581]</w:t>
      </w:r>
      <w:r>
        <w:rPr>
          <w:color w:val="1A252F"/>
          <w:sz w:val="22"/>
        </w:rPr>
        <w:t xml:space="preserve"> and Workana's 20% tiered rate </w:t>
      </w:r>
      <w:r>
        <w:rPr>
          <w:color w:val="C0392B"/>
          <w:sz w:val="16"/>
          <w:vertAlign w:val="superscript"/>
        </w:rPr>
        <w:t xml:space="preserve">[525]</w:t>
      </w:r>
      <w:r>
        <w:rPr>
          <w:color w:val="1A252F"/>
          <w:sz w:val="22"/>
        </w:rPr>
        <w:t xml:space="preserve"> compound the extraction.</w:t>
      </w:r>
    </w:p>
    <w:p>
      <w:pPr>
        <w:spacing w:after="160" w:line="300" w:lineRule="auto"/>
      </w:pPr>
      <w:r>
        <w:rPr>
          <w:b/>
          <w:color w:val="1A252F"/>
          <w:sz w:val="22"/>
        </w:rPr>
        <w:t xml:space="preserve">Remote work and contractor management platforms</w:t>
      </w:r>
      <w:r>
        <w:rPr>
          <w:color w:val="1A252F"/>
          <w:sz w:val="22"/>
        </w:rPr>
        <w:t xml:space="preserve"> operate through a different mechanism: hidden fee architectures rather than suppressed piece rates. Deel, the $17.3 billion global payroll platform, advertises 0.6–2% foreign exchange markups but independent audits found actual spreads of 1.5–5.5% </w:t>
      </w:r>
      <w:r>
        <w:rPr>
          <w:color w:val="C0392B"/>
          <w:sz w:val="16"/>
          <w:vertAlign w:val="superscript"/>
        </w:rPr>
        <w:t xml:space="preserve">[456]</w:t>
      </w:r>
      <w:r>
        <w:rPr>
          <w:color w:val="1A252F"/>
          <w:sz w:val="22"/>
        </w:rPr>
        <w:t xml:space="preserve"> </w:t>
      </w:r>
      <w:r>
        <w:rPr>
          <w:color w:val="C0392B"/>
          <w:sz w:val="16"/>
          <w:vertAlign w:val="superscript"/>
        </w:rPr>
        <w:t xml:space="preserve">[77]</w:t>
      </w:r>
      <w:r>
        <w:rPr>
          <w:color w:val="1A252F"/>
          <w:sz w:val="22"/>
        </w:rPr>
        <w:t xml:space="preserve">, generating unadvertised costs of $3,000–$5,500 monthly on a $100,000 payroll corridor </w:t>
      </w:r>
      <w:r>
        <w:rPr>
          <w:color w:val="C0392B"/>
          <w:sz w:val="16"/>
          <w:vertAlign w:val="superscript"/>
        </w:rPr>
        <w:t xml:space="preserve">[456]</w:t>
      </w:r>
      <w:r>
        <w:rPr>
          <w:color w:val="1A252F"/>
          <w:sz w:val="22"/>
        </w:rPr>
        <w:t xml:space="preserve">. Payment delays are endemic: 85% of freelancers experience late payment and 21% are paid late or not at all more than half the time </w:t>
      </w:r>
      <w:r>
        <w:rPr>
          <w:color w:val="C0392B"/>
          <w:sz w:val="16"/>
          <w:vertAlign w:val="superscript"/>
        </w:rPr>
        <w:t xml:space="preserve">[519]</w:t>
      </w:r>
      <w:r>
        <w:rPr>
          <w:color w:val="1A252F"/>
          <w:sz w:val="22"/>
        </w:rPr>
        <w:t xml:space="preserve">. The cross-border nature of remote work means enforcement gaps are structural — a contractor in Kenya paid through a Delaware-registered platform has no clear venue for complaint.</w:t>
      </w:r>
    </w:p>
    <w:tbl>
      <w:tblPr>
        <w:tblW w:w="5000" w:type="pct"/>
        <w:tblBorders>
          <w:top w:val="single" w:color="2C3E50" w:sz="12"/>
          <w:left w:val="nil"/>
          <w:bottom w:val="single" w:color="2C3E50" w:sz="12"/>
          <w:right w:val="nil"/>
          <w:insideH w:val="single" w:color="BDC3C7" w:sz="4"/>
          <w:insideV w:val="nil"/>
        </w:tblBorders>
        <w:tblLook w:val="04A0" w:firstRow="true"/>
      </w:tblPr>
      <w:tblGrid>
        <w:gridCol w:w="2250"/>
        <w:gridCol w:w="2250"/>
        <w:gridCol w:w="2250"/>
        <w:gridCol w:w="2250"/>
      </w:tblGrid>
      <w:tr>
        <w:trPr>
          <w:tblHeader/>
        </w:trPr>
        <w:tc>
          <w:tcPr>
            <w:tcW w:w="2250" w:type="dxa"/>
            <w:tcBorders>
              <w:bottom w:val="single" w:color="2C3E50" w:sz="6"/>
            </w:tcBorders>
            <w:shd w:val="clear" w:fill="EDF0F2"/>
          </w:tcPr>
          <w:p>
            <w:pPr>
              <w:spacing w:before="60" w:after="60"/>
            </w:pPr>
            <w:r>
              <w:rPr>
                <w:b/>
                <w:color w:val="1A252F"/>
                <w:sz w:val="18"/>
              </w:rPr>
              <w:t xml:space="preserve">Category</w:t>
            </w:r>
          </w:p>
        </w:tc>
        <w:tc>
          <w:tcPr>
            <w:tcW w:w="2250" w:type="dxa"/>
            <w:tcBorders>
              <w:bottom w:val="single" w:color="2C3E50" w:sz="6"/>
            </w:tcBorders>
            <w:shd w:val="clear" w:fill="EDF0F2"/>
          </w:tcPr>
          <w:p>
            <w:pPr>
              <w:spacing w:before="60" w:after="60"/>
            </w:pPr>
            <w:r>
              <w:rPr>
                <w:b/>
                <w:color w:val="1A252F"/>
                <w:sz w:val="18"/>
              </w:rPr>
              <w:t xml:space="preserve">Est. Annual Wage Theft</w:t>
            </w:r>
          </w:p>
        </w:tc>
        <w:tc>
          <w:tcPr>
            <w:tcW w:w="2250" w:type="dxa"/>
            <w:tcBorders>
              <w:bottom w:val="single" w:color="2C3E50" w:sz="6"/>
            </w:tcBorders>
            <w:shd w:val="clear" w:fill="EDF0F2"/>
          </w:tcPr>
          <w:p>
            <w:pPr>
              <w:spacing w:before="60" w:after="60"/>
            </w:pPr>
            <w:r>
              <w:rPr>
                <w:b/>
                <w:color w:val="1A252F"/>
                <w:sz w:val="18"/>
              </w:rPr>
              <w:t xml:space="preserve">Primary Affected Workers (Global)</w:t>
            </w:r>
          </w:p>
        </w:tc>
        <w:tc>
          <w:tcPr>
            <w:tcW w:w="2250" w:type="dxa"/>
            <w:tcBorders>
              <w:bottom w:val="single" w:color="2C3E50" w:sz="6"/>
            </w:tcBorders>
            <w:shd w:val="clear" w:fill="EDF0F2"/>
          </w:tcPr>
          <w:p>
            <w:pPr>
              <w:spacing w:before="60" w:after="60"/>
            </w:pPr>
            <w:r>
              <w:rPr>
                <w:b/>
                <w:color w:val="1A252F"/>
                <w:sz w:val="18"/>
              </w:rPr>
              <w:t xml:space="preserve">Total Settlements Recovered</w:t>
            </w:r>
          </w:p>
        </w:tc>
      </w:tr>
      <w:tr>
        <w:tc>
          <w:tcPr>
            <w:tcW w:w="2250" w:type="dxa"/>
          </w:tcPr>
          <w:p>
            <w:pPr>
              <w:spacing w:before="40" w:after="40" w:line="240" w:lineRule="auto"/>
            </w:pPr>
            <w:r>
              <w:rPr>
                <w:color w:val="1A252F"/>
                <w:sz w:val="18"/>
              </w:rPr>
              <w:t xml:space="preserve">AI Platforms</w:t>
            </w:r>
          </w:p>
        </w:tc>
        <w:tc>
          <w:tcPr>
            <w:tcW w:w="2250" w:type="dxa"/>
          </w:tcPr>
          <w:p>
            <w:pPr>
              <w:spacing w:before="40" w:after="40" w:line="240" w:lineRule="auto"/>
            </w:pPr>
            <w:r>
              <w:rPr>
                <w:color w:val="1A252F"/>
                <w:sz w:val="18"/>
              </w:rPr>
              <w:t xml:space="preserve">$500M–$1B</w:t>
            </w:r>
          </w:p>
        </w:tc>
        <w:tc>
          <w:tcPr>
            <w:tcW w:w="2250" w:type="dxa"/>
          </w:tcPr>
          <w:p>
            <w:pPr>
              <w:spacing w:before="40" w:after="40" w:line="240" w:lineRule="auto"/>
            </w:pPr>
            <w:r>
              <w:rPr>
                <w:color w:val="1A252F"/>
                <w:sz w:val="18"/>
              </w:rPr>
              <w:t xml:space="preserve">500,000+</w:t>
            </w:r>
          </w:p>
        </w:tc>
        <w:tc>
          <w:tcPr>
            <w:tcW w:w="2250" w:type="dxa"/>
          </w:tcPr>
          <w:p>
            <w:pPr>
              <w:spacing w:before="40" w:after="40" w:line="240" w:lineRule="auto"/>
            </w:pPr>
            <w:r>
              <w:rPr>
                <w:color w:val="1A252F"/>
                <w:sz w:val="18"/>
              </w:rPr>
              <w:t xml:space="preserve">Undisclosed (Scale AI 4 cases settled 2025) </w:t>
            </w:r>
            <w:r>
              <w:rPr>
                <w:color w:val="C0392B"/>
                <w:sz w:val="16"/>
                <w:vertAlign w:val="superscript"/>
              </w:rPr>
              <w:t xml:space="preserve">[7]</w:t>
            </w:r>
          </w:p>
        </w:tc>
      </w:tr>
      <w:tr>
        <w:tc>
          <w:tcPr>
            <w:tcW w:w="2250" w:type="dxa"/>
          </w:tcPr>
          <w:p>
            <w:pPr>
              <w:spacing w:before="40" w:after="40" w:line="240" w:lineRule="auto"/>
            </w:pPr>
            <w:r>
              <w:rPr>
                <w:color w:val="1A252F"/>
                <w:sz w:val="18"/>
              </w:rPr>
              <w:t xml:space="preserve">Delivery/Ride-Hailing</w:t>
            </w:r>
          </w:p>
        </w:tc>
        <w:tc>
          <w:tcPr>
            <w:tcW w:w="2250" w:type="dxa"/>
          </w:tcPr>
          <w:p>
            <w:pPr>
              <w:spacing w:before="40" w:after="40" w:line="240" w:lineRule="auto"/>
            </w:pPr>
            <w:r>
              <w:rPr>
                <w:color w:val="1A252F"/>
                <w:sz w:val="18"/>
              </w:rPr>
              <w:t xml:space="preserve">$5B–$10B</w:t>
            </w:r>
          </w:p>
        </w:tc>
        <w:tc>
          <w:tcPr>
            <w:tcW w:w="2250" w:type="dxa"/>
          </w:tcPr>
          <w:p>
            <w:pPr>
              <w:spacing w:before="40" w:after="40" w:line="240" w:lineRule="auto"/>
            </w:pPr>
            <w:r>
              <w:rPr>
                <w:color w:val="1A252F"/>
                <w:sz w:val="18"/>
              </w:rPr>
              <w:t xml:space="preserve">3,000,000+</w:t>
            </w:r>
          </w:p>
        </w:tc>
        <w:tc>
          <w:tcPr>
            <w:tcW w:w="2250" w:type="dxa"/>
          </w:tcPr>
          <w:p>
            <w:pPr>
              <w:spacing w:before="40" w:after="40" w:line="240" w:lineRule="auto"/>
            </w:pPr>
            <w:r>
              <w:rPr>
                <w:color w:val="1A252F"/>
                <w:sz w:val="18"/>
              </w:rPr>
              <w:t xml:space="preserve">$544M confirmed; $1.3B+ pending </w:t>
            </w:r>
            <w:r>
              <w:rPr>
                <w:color w:val="C0392B"/>
                <w:sz w:val="16"/>
                <w:vertAlign w:val="superscript"/>
              </w:rPr>
              <w:t xml:space="preserve">[285]</w:t>
            </w:r>
            <w:r>
              <w:rPr>
                <w:color w:val="1A252F"/>
                <w:sz w:val="18"/>
              </w:rPr>
              <w:t xml:space="preserve"> </w:t>
            </w:r>
            <w:r>
              <w:rPr>
                <w:color w:val="C0392B"/>
                <w:sz w:val="16"/>
                <w:vertAlign w:val="superscript"/>
              </w:rPr>
              <w:t xml:space="preserve">[181]</w:t>
            </w:r>
          </w:p>
        </w:tc>
      </w:tr>
      <w:tr>
        <w:tc>
          <w:tcPr>
            <w:tcW w:w="2250" w:type="dxa"/>
          </w:tcPr>
          <w:p>
            <w:pPr>
              <w:spacing w:before="40" w:after="40" w:line="240" w:lineRule="auto"/>
            </w:pPr>
            <w:r>
              <w:rPr>
                <w:color w:val="1A252F"/>
                <w:sz w:val="18"/>
              </w:rPr>
              <w:t xml:space="preserve">Freelance</w:t>
            </w:r>
          </w:p>
        </w:tc>
        <w:tc>
          <w:tcPr>
            <w:tcW w:w="2250" w:type="dxa"/>
          </w:tcPr>
          <w:p>
            <w:pPr>
              <w:spacing w:before="40" w:after="40" w:line="240" w:lineRule="auto"/>
            </w:pPr>
            <w:r>
              <w:rPr>
                <w:color w:val="1A252F"/>
                <w:sz w:val="18"/>
              </w:rPr>
              <w:t xml:space="preserve">$27B–$35B</w:t>
            </w:r>
          </w:p>
        </w:tc>
        <w:tc>
          <w:tcPr>
            <w:tcW w:w="2250" w:type="dxa"/>
          </w:tcPr>
          <w:p>
            <w:pPr>
              <w:spacing w:before="40" w:after="40" w:line="240" w:lineRule="auto"/>
            </w:pPr>
            <w:r>
              <w:rPr>
                <w:color w:val="1A252F"/>
                <w:sz w:val="18"/>
              </w:rPr>
              <w:t xml:space="preserve">58,000,000+</w:t>
            </w:r>
          </w:p>
        </w:tc>
        <w:tc>
          <w:tcPr>
            <w:tcW w:w="2250" w:type="dxa"/>
          </w:tcPr>
          <w:p>
            <w:pPr>
              <w:spacing w:before="40" w:after="40" w:line="240" w:lineRule="auto"/>
            </w:pPr>
            <w:r>
              <w:rPr>
                <w:color w:val="1A252F"/>
                <w:sz w:val="18"/>
              </w:rPr>
              <w:t xml:space="preserve">$5M+ (Fiverr class action pending) </w:t>
            </w:r>
            <w:r>
              <w:rPr>
                <w:color w:val="C0392B"/>
                <w:sz w:val="16"/>
                <w:vertAlign w:val="superscript"/>
              </w:rPr>
              <w:t xml:space="preserve">[522]</w:t>
            </w:r>
          </w:p>
        </w:tc>
      </w:tr>
      <w:tr>
        <w:tc>
          <w:tcPr>
            <w:tcW w:w="2250" w:type="dxa"/>
          </w:tcPr>
          <w:p>
            <w:pPr>
              <w:spacing w:before="40" w:after="40" w:line="240" w:lineRule="auto"/>
            </w:pPr>
            <w:r>
              <w:rPr>
                <w:color w:val="1A252F"/>
                <w:sz w:val="18"/>
              </w:rPr>
              <w:t xml:space="preserve">Remote Work/Contractor</w:t>
            </w:r>
          </w:p>
        </w:tc>
        <w:tc>
          <w:tcPr>
            <w:tcW w:w="2250" w:type="dxa"/>
          </w:tcPr>
          <w:p>
            <w:pPr>
              <w:spacing w:before="40" w:after="40" w:line="240" w:lineRule="auto"/>
            </w:pPr>
            <w:r>
              <w:rPr>
                <w:color w:val="1A252F"/>
                <w:sz w:val="18"/>
              </w:rPr>
              <w:t xml:space="preserve">$5B–$10B</w:t>
            </w:r>
          </w:p>
        </w:tc>
        <w:tc>
          <w:tcPr>
            <w:tcW w:w="2250" w:type="dxa"/>
          </w:tcPr>
          <w:p>
            <w:pPr>
              <w:spacing w:before="40" w:after="40" w:line="240" w:lineRule="auto"/>
            </w:pPr>
            <w:r>
              <w:rPr>
                <w:color w:val="1A252F"/>
                <w:sz w:val="18"/>
              </w:rPr>
              <w:t xml:space="preserve">15,000,000+</w:t>
            </w:r>
          </w:p>
        </w:tc>
        <w:tc>
          <w:tcPr>
            <w:tcW w:w="2250" w:type="dxa"/>
          </w:tcPr>
          <w:p>
            <w:pPr>
              <w:spacing w:before="40" w:after="40" w:line="240" w:lineRule="auto"/>
            </w:pPr>
            <w:r>
              <w:rPr>
                <w:color w:val="1A252F"/>
                <w:sz w:val="18"/>
              </w:rPr>
              <w:t xml:space="preserve">$3M (Arise Virtual Solutions) </w:t>
            </w:r>
            <w:r>
              <w:rPr>
                <w:color w:val="C0392B"/>
                <w:sz w:val="16"/>
                <w:vertAlign w:val="superscript"/>
              </w:rPr>
              <w:t xml:space="preserve">[731]</w:t>
            </w:r>
          </w:p>
        </w:tc>
      </w:tr>
    </w:tbl>
    <w:p>
      <w:pPr>
        <w:spacing w:after="200"/>
      </w:pPr>
    </w:p>
    <w:p>
      <w:pPr>
        <w:spacing w:before="40" w:after="160"/>
      </w:pPr>
      <w:r>
        <w:rPr>
          <w:i/>
          <w:color w:val="7F8C8D"/>
          <w:sz w:val="22"/>
        </w:rPr>
        <w:t xml:space="preserve">Sources: AI worker figures from Oxford Economics/Scale AI commissioned study </w:t>
      </w:r>
      <w:r>
        <w:rPr>
          <w:color w:val="C0392B"/>
          <w:sz w:val="16"/>
          <w:vertAlign w:val="superscript"/>
        </w:rPr>
        <w:t xml:space="preserve">[46]</w:t>
      </w:r>
      <w:r>
        <w:rPr>
          <w:i/>
          <w:color w:val="7F8C8D"/>
          <w:sz w:val="22"/>
        </w:rPr>
        <w:t xml:space="preserve">; MTurk wage data from Hara et al., CHI 2018 </w:t>
      </w:r>
      <w:r>
        <w:rPr>
          <w:color w:val="C0392B"/>
          <w:sz w:val="16"/>
          <w:vertAlign w:val="superscript"/>
        </w:rPr>
        <w:t xml:space="preserve">[18]</w:t>
      </w:r>
      <w:r>
        <w:rPr>
          <w:i/>
          <w:color w:val="7F8C8D"/>
          <w:sz w:val="22"/>
        </w:rPr>
        <w:t xml:space="preserve">; freelance extraction from Jobbers.io market analysis </w:t>
      </w:r>
      <w:r>
        <w:rPr>
          <w:color w:val="C0392B"/>
          <w:sz w:val="16"/>
          <w:vertAlign w:val="superscript"/>
        </w:rPr>
        <w:t xml:space="preserve">[578]</w:t>
      </w:r>
      <w:r>
        <w:rPr>
          <w:i/>
          <w:color w:val="7F8C8D"/>
          <w:sz w:val="22"/>
        </w:rPr>
        <w:t xml:space="preserve"> and Payoneer/Flexable </w:t>
      </w:r>
      <w:r>
        <w:rPr>
          <w:color w:val="C0392B"/>
          <w:sz w:val="16"/>
          <w:vertAlign w:val="superscript"/>
        </w:rPr>
        <w:t xml:space="preserve">[535]</w:t>
      </w:r>
      <w:r>
        <w:rPr>
          <w:i/>
          <w:color w:val="7F8C8D"/>
          <w:sz w:val="22"/>
        </w:rPr>
        <w:t xml:space="preserve">; delivery settlements from NY AG </w:t>
      </w:r>
      <w:r>
        <w:rPr>
          <w:color w:val="C0392B"/>
          <w:sz w:val="16"/>
          <w:vertAlign w:val="superscript"/>
        </w:rPr>
        <w:t xml:space="preserve">[285]</w:t>
      </w:r>
      <w:r>
        <w:rPr>
          <w:i/>
          <w:color w:val="7F8C8D"/>
          <w:sz w:val="22"/>
        </w:rPr>
        <w:t xml:space="preserve">, MA AG </w:t>
      </w:r>
      <w:r>
        <w:rPr>
          <w:color w:val="C0392B"/>
          <w:sz w:val="16"/>
          <w:vertAlign w:val="superscript"/>
        </w:rPr>
        <w:t xml:space="preserve">[1005]</w:t>
      </w:r>
      <w:r>
        <w:rPr>
          <w:i/>
          <w:color w:val="7F8C8D"/>
          <w:sz w:val="22"/>
        </w:rPr>
        <w:t xml:space="preserve">, and California DIR </w:t>
      </w:r>
      <w:r>
        <w:rPr>
          <w:color w:val="C0392B"/>
          <w:sz w:val="16"/>
          <w:vertAlign w:val="superscript"/>
        </w:rPr>
        <w:t xml:space="preserve">[181]</w:t>
      </w:r>
      <w:r>
        <w:rPr>
          <w:i/>
          <w:color w:val="7F8C8D"/>
          <w:sz w:val="22"/>
        </w:rPr>
        <w:t xml:space="preserve">; remote work payment data from Remote.com/Bonsai surveys </w:t>
      </w:r>
      <w:r>
        <w:rPr>
          <w:color w:val="C0392B"/>
          <w:sz w:val="16"/>
          <w:vertAlign w:val="superscript"/>
        </w:rPr>
        <w:t xml:space="preserve">[519]</w:t>
      </w:r>
      <w:r>
        <w:rPr>
          <w:i/>
          <w:color w:val="7F8C8D"/>
          <w:sz w:val="22"/>
        </w:rPr>
        <w:t xml:space="preserve"> and Vylor Group audit </w:t>
      </w:r>
      <w:r>
        <w:rPr>
          <w:color w:val="C0392B"/>
          <w:sz w:val="16"/>
          <w:vertAlign w:val="superscript"/>
        </w:rPr>
        <w:t xml:space="preserve">[456]</w:t>
      </w:r>
      <w:r>
        <w:rPr>
          <w:i/>
          <w:color w:val="7F8C8D"/>
          <w:sz w:val="22"/>
        </w:rPr>
        <w:t xml:space="preserve">. Annual wage theft estimates are Sindicato projections combining platform revenue data, underpayment rates from peer-reviewed studies, and settlement-to-harm ratios.</w:t>
      </w:r>
    </w:p>
    <w:p>
      <w:pPr>
        <w:spacing w:after="160" w:line="300" w:lineRule="auto"/>
      </w:pPr>
      <w:r>
        <w:rPr>
          <w:color w:val="1A252F"/>
          <w:sz w:val="22"/>
        </w:rPr>
        <w:t xml:space="preserve">The AI platform figure merits particular scrutiny. Its $500 million–$1 billion annual estimate is derived from the gap between advertised and actual wages across the roughly 200,000 U.S. data annotation workers </w:t>
      </w:r>
      <w:r>
        <w:rPr>
          <w:color w:val="C0392B"/>
          <w:sz w:val="16"/>
          <w:vertAlign w:val="superscript"/>
        </w:rPr>
        <w:t xml:space="preserve">[46]</w:t>
      </w:r>
      <w:r>
        <w:rPr>
          <w:color w:val="1A252F"/>
          <w:sz w:val="22"/>
        </w:rPr>
        <w:t xml:space="preserve"> and several hundred thousand additional workers in the Global South earning $1.32–$3 per hour </w:t>
      </w:r>
      <w:r>
        <w:rPr>
          <w:color w:val="C0392B"/>
          <w:sz w:val="16"/>
          <w:vertAlign w:val="superscript"/>
        </w:rPr>
        <w:t xml:space="preserve">[12]</w:t>
      </w:r>
      <w:r>
        <w:rPr>
          <w:color w:val="1A252F"/>
          <w:sz w:val="22"/>
        </w:rPr>
        <w:t xml:space="preserve"> </w:t>
      </w:r>
      <w:r>
        <w:rPr>
          <w:color w:val="C0392B"/>
          <w:sz w:val="16"/>
          <w:vertAlign w:val="superscript"/>
        </w:rPr>
        <w:t xml:space="preserve">[26]</w:t>
      </w:r>
      <w:r>
        <w:rPr>
          <w:color w:val="1A252F"/>
          <w:sz w:val="22"/>
        </w:rPr>
        <w:t xml:space="preserve">. The delivery/ride-hailing estimate incorporates the $554 million in documented tip losses to New York City delivery workers alone </w:t>
      </w:r>
      <w:r>
        <w:rPr>
          <w:color w:val="C0392B"/>
          <w:sz w:val="16"/>
          <w:vertAlign w:val="superscript"/>
        </w:rPr>
        <w:t xml:space="preserve">[566]</w:t>
      </w:r>
      <w:r>
        <w:rPr>
          <w:color w:val="1A252F"/>
          <w:sz w:val="22"/>
        </w:rPr>
        <w:t xml:space="preserve">, extrapolated across major U.S. and European metro areas with minimum wage ordinances. The freelance figure is the most robust because it draws directly on platform-disclosed commission revenue and industry-wide non-payment surveys rather than modeling. The remote work estimate captures FX markup losses, payment delay costs, and misclassification penalties, though cross-border opacity makes this the least certain projection.</w:t>
      </w:r>
    </w:p>
    <w:p>
      <w:pPr>
        <w:pStyle w:val="Heading3"/>
      </w:pPr>
      <w:r>
        <w:rPr>
          <w:color w:val="1A252F"/>
          <w:sz w:val="22"/>
        </w:rPr>
        <w:t xml:space="preserve">2.2 Average Complaint Resolution Rate per Category</w:t>
      </w:r>
    </w:p>
    <w:p>
      <w:pPr>
        <w:spacing w:after="160" w:line="300" w:lineRule="auto"/>
      </w:pPr>
      <w:r>
        <w:rPr>
          <w:color w:val="1A252F"/>
          <w:sz w:val="22"/>
        </w:rPr>
        <w:t xml:space="preserve">Settlement volume tells only part of the story. The probability that an individual worker's complaint reaches resolution varies dramatically by category, driven by three factors: the existence of collective action infrastructure, the presence of state enforcement capacity, and the accessibility of dispute-resolution mechanisms.</w:t>
      </w:r>
    </w:p>
    <w:p>
      <w:pPr>
        <w:spacing w:after="160" w:line="300" w:lineRule="auto"/>
      </w:pPr>
      <w:r>
        <w:rPr>
          <w:b/>
          <w:color w:val="1A252F"/>
          <w:sz w:val="22"/>
        </w:rPr>
        <w:t xml:space="preserve">Delivery/ride-hailing registers the highest resolution rate.</w:t>
      </w:r>
      <w:r>
        <w:rPr>
          <w:color w:val="1A252F"/>
          <w:sz w:val="22"/>
        </w:rPr>
        <w:t xml:space="preserve"> The category benefits from well-resourced worker organizations — the New York Taxi Workers Alliance, Rideshare Drivers United, the Independent Workers' Union of Great Britain — that channel individual grievances into regulatory complaints and class actions. State Attorneys General in New York and Massachusetts have recovered over $500 million through targeted enforcement </w:t>
      </w:r>
      <w:r>
        <w:rPr>
          <w:color w:val="C0392B"/>
          <w:sz w:val="16"/>
          <w:vertAlign w:val="superscript"/>
        </w:rPr>
        <w:t xml:space="preserve">[285]</w:t>
      </w:r>
      <w:r>
        <w:rPr>
          <w:color w:val="1A252F"/>
          <w:sz w:val="22"/>
        </w:rPr>
        <w:t xml:space="preserve"> </w:t>
      </w:r>
      <w:r>
        <w:rPr>
          <w:color w:val="C0392B"/>
          <w:sz w:val="16"/>
          <w:vertAlign w:val="superscript"/>
        </w:rPr>
        <w:t xml:space="preserve">[1005]</w:t>
      </w:r>
      <w:r>
        <w:rPr>
          <w:color w:val="1A252F"/>
          <w:sz w:val="22"/>
        </w:rPr>
        <w:t xml:space="preserve">. Seattle's Office of Labor Standards has built a dedicated municipal enforcement apparatus, securing $3.78 million from Amazon Flex and $15 million from Uber Eats </w:t>
      </w:r>
      <w:r>
        <w:rPr>
          <w:color w:val="C0392B"/>
          <w:sz w:val="16"/>
          <w:vertAlign w:val="superscript"/>
        </w:rPr>
        <w:t xml:space="preserve">[246]</w:t>
      </w:r>
      <w:r>
        <w:rPr>
          <w:color w:val="1A252F"/>
          <w:sz w:val="22"/>
        </w:rPr>
        <w:t xml:space="preserve"> </w:t>
      </w:r>
      <w:r>
        <w:rPr>
          <w:color w:val="C0392B"/>
          <w:sz w:val="16"/>
          <w:vertAlign w:val="superscript"/>
        </w:rPr>
        <w:t xml:space="preserve">[557]</w:t>
      </w:r>
      <w:r>
        <w:rPr>
          <w:color w:val="1A252F"/>
          <w:sz w:val="22"/>
        </w:rPr>
        <w:t xml:space="preserve">. The combination of organized worker bases and aggressive public enforcement means an estimated 15–25% of formal complaints in this category eventually produce monetary recovery — a low absolute rate, but the highest of any gig category.</w:t>
      </w:r>
    </w:p>
    <w:p>
      <w:pPr>
        <w:spacing w:after="160" w:line="300" w:lineRule="auto"/>
      </w:pPr>
      <w:r>
        <w:rPr>
          <w:b/>
          <w:color w:val="1A252F"/>
          <w:sz w:val="22"/>
        </w:rPr>
        <w:t xml:space="preserve">Freelance platforms exhibit the lowest resolution rate.</w:t>
      </w:r>
      <w:r>
        <w:rPr>
          <w:color w:val="1A252F"/>
          <w:sz w:val="22"/>
        </w:rPr>
        <w:t xml:space="preserve"> The structural barrier is individual arbitration. Most freelance platforms embed mandatory arbitration clauses in their terms of service, forcing workers into private proceedings that cost $300–$500 per hour in arbitrator fees — often exceeding the disputed amount </w:t>
      </w:r>
      <w:r>
        <w:rPr>
          <w:color w:val="C0392B"/>
          <w:sz w:val="16"/>
          <w:vertAlign w:val="superscript"/>
        </w:rPr>
        <w:t xml:space="preserve">[951]</w:t>
      </w:r>
      <w:r>
        <w:rPr>
          <w:color w:val="1A252F"/>
          <w:sz w:val="22"/>
        </w:rPr>
        <w:t xml:space="preserve">. Platforms scored zero out of ten points for fair working conditions in Oxford's Fairwork research, with Freelancer.com, Workana, Amazon Mechanical Turk, and Microworkers all failing every threshold </w:t>
      </w:r>
      <w:r>
        <w:rPr>
          <w:color w:val="C0392B"/>
          <w:sz w:val="16"/>
          <w:vertAlign w:val="superscript"/>
        </w:rPr>
        <w:t xml:space="preserve">[592]</w:t>
      </w:r>
      <w:r>
        <w:rPr>
          <w:color w:val="1A252F"/>
          <w:sz w:val="22"/>
        </w:rPr>
        <w:t xml:space="preserve">. Fiverr's 90-day fund lockout for banned sellers </w:t>
      </w:r>
      <w:r>
        <w:rPr>
          <w:color w:val="C0392B"/>
          <w:sz w:val="16"/>
          <w:vertAlign w:val="superscript"/>
        </w:rPr>
        <w:t xml:space="preserve">[580]</w:t>
      </w:r>
      <w:r>
        <w:rPr>
          <w:color w:val="1A252F"/>
          <w:sz w:val="22"/>
        </w:rPr>
        <w:t xml:space="preserve"> and Upwork's chargeback liability shifting — documented cases of freelancers losing $12,500 </w:t>
      </w:r>
      <w:r>
        <w:rPr>
          <w:color w:val="C0392B"/>
          <w:sz w:val="16"/>
          <w:vertAlign w:val="superscript"/>
        </w:rPr>
        <w:t xml:space="preserve">[537]</w:t>
      </w:r>
      <w:r>
        <w:rPr>
          <w:color w:val="1A252F"/>
          <w:sz w:val="22"/>
        </w:rPr>
        <w:t xml:space="preserve"> and $32,000 </w:t>
      </w:r>
      <w:r>
        <w:rPr>
          <w:color w:val="C0392B"/>
          <w:sz w:val="16"/>
          <w:vertAlign w:val="superscript"/>
        </w:rPr>
        <w:t xml:space="preserve">[587]</w:t>
      </w:r>
      <w:r>
        <w:rPr>
          <w:color w:val="1A252F"/>
          <w:sz w:val="22"/>
        </w:rPr>
        <w:t xml:space="preserve"> to client fraud — leave workers with no meaningful recourse. An estimated 2–5% of freelance wage theft complaints produce any recovery.</w:t>
      </w:r>
    </w:p>
    <w:p>
      <w:pPr>
        <w:spacing w:after="160" w:line="300" w:lineRule="auto"/>
      </w:pPr>
      <w:r>
        <w:rPr>
          <w:b/>
          <w:color w:val="1A252F"/>
          <w:sz w:val="22"/>
        </w:rPr>
        <w:t xml:space="preserve">AI data labeling platforms share the freelance category's resolution pathology.</w:t>
      </w:r>
      <w:r>
        <w:rPr>
          <w:color w:val="1A252F"/>
          <w:sz w:val="22"/>
        </w:rPr>
        <w:t xml:space="preserve"> Workers are atomized across continents, classified as independent contractors, and subject to the same forced arbitration clauses. When 45 former Scale AI contractors wrote to the Senate Commerce Committee detailing "wage theft" and "widespread labor abuse" </w:t>
      </w:r>
      <w:r>
        <w:rPr>
          <w:color w:val="C0392B"/>
          <w:sz w:val="16"/>
          <w:vertAlign w:val="superscript"/>
        </w:rPr>
        <w:t xml:space="preserve">[10]</w:t>
      </w:r>
      <w:r>
        <w:rPr>
          <w:color w:val="1A252F"/>
          <w:sz w:val="22"/>
        </w:rPr>
        <w:t xml:space="preserve">, the company settled four California lawsuits with undisclosed terms rather than litigate on the merits </w:t>
      </w:r>
      <w:r>
        <w:rPr>
          <w:color w:val="C0392B"/>
          <w:sz w:val="16"/>
          <w:vertAlign w:val="superscript"/>
        </w:rPr>
        <w:t xml:space="preserve">[7]</w:t>
      </w:r>
      <w:r>
        <w:rPr>
          <w:color w:val="1A252F"/>
          <w:sz w:val="22"/>
        </w:rPr>
        <w:t xml:space="preserve">. The settlement — while a tactical win for those plaintiffs — leaves workers outside California with no pathway. The federal psychological harm lawsuit (</w:t>
      </w:r>
      <w:r>
        <w:rPr>
          <w:i/>
          <w:color w:val="1A252F"/>
          <w:sz w:val="22"/>
        </w:rPr>
        <w:t xml:space="preserve">Schuster v. Scale AI</w:t>
      </w:r>
      <w:r>
        <w:rPr>
          <w:color w:val="1A252F"/>
          <w:sz w:val="22"/>
        </w:rPr>
        <w:t xml:space="preserve">) remains pending </w:t>
      </w:r>
      <w:r>
        <w:rPr>
          <w:color w:val="C0392B"/>
          <w:sz w:val="16"/>
          <w:vertAlign w:val="superscript"/>
        </w:rPr>
        <w:t xml:space="preserve">[5]</w:t>
      </w:r>
      <w:r>
        <w:rPr>
          <w:color w:val="1A252F"/>
          <w:sz w:val="22"/>
        </w:rPr>
        <w:t xml:space="preserve">, but the U.S. Department of Labor dropped its broader investigation in May 2025 </w:t>
      </w:r>
      <w:r>
        <w:rPr>
          <w:color w:val="C0392B"/>
          <w:sz w:val="16"/>
          <w:vertAlign w:val="superscript"/>
        </w:rPr>
        <w:t xml:space="preserve">[8]</w:t>
      </w:r>
      <w:r>
        <w:rPr>
          <w:color w:val="1A252F"/>
          <w:sz w:val="22"/>
        </w:rPr>
        <w:t xml:space="preserve">, removing the most potent enforcement lever. Resolution rate: an estimated 2–5%.</w:t>
      </w:r>
    </w:p>
    <w:p>
      <w:pPr>
        <w:spacing w:after="160" w:line="300" w:lineRule="auto"/>
      </w:pPr>
      <w:r>
        <w:rPr>
          <w:b/>
          <w:color w:val="1A252F"/>
          <w:sz w:val="22"/>
        </w:rPr>
        <w:t xml:space="preserve">Remote work and contractor management platforms suffer from the lowest resolution rate of all.</w:t>
      </w:r>
      <w:r>
        <w:rPr>
          <w:color w:val="1A252F"/>
          <w:sz w:val="22"/>
        </w:rPr>
        <w:t xml:space="preserve"> The cross-border nature of the work creates jurisdictional ambiguity that platforms exploit. A Kenyan contractor paid through Deel's platform could theoretically sue in California (where Deel is headquartered), Kenya (where the work is performed), or the client's jurisdiction — but each venue presents prohibitive cost and legal complexity barriers. Deel's own class action on misclassification remains in preliminary stages </w:t>
      </w:r>
      <w:r>
        <w:rPr>
          <w:color w:val="C0392B"/>
          <w:sz w:val="16"/>
          <w:vertAlign w:val="superscript"/>
        </w:rPr>
        <w:t xml:space="preserve">[142]</w:t>
      </w:r>
      <w:r>
        <w:rPr>
          <w:color w:val="1A252F"/>
          <w:sz w:val="22"/>
        </w:rPr>
        <w:t xml:space="preserve">, while its DOJ criminal investigation focuses on corporate espionage rather than wage theft </w:t>
      </w:r>
      <w:r>
        <w:rPr>
          <w:color w:val="C0392B"/>
          <w:sz w:val="16"/>
          <w:vertAlign w:val="superscript"/>
        </w:rPr>
        <w:t xml:space="preserve">[559]</w:t>
      </w:r>
      <w:r>
        <w:rPr>
          <w:color w:val="1A252F"/>
          <w:sz w:val="22"/>
        </w:rPr>
        <w:t xml:space="preserve">. Oyster HR's systemic payment delays drew Trustpilot complaints but no regulatory action </w:t>
      </w:r>
      <w:r>
        <w:rPr>
          <w:color w:val="C0392B"/>
          <w:sz w:val="16"/>
          <w:vertAlign w:val="superscript"/>
        </w:rPr>
        <w:t xml:space="preserve">[464]</w:t>
      </w:r>
      <w:r>
        <w:rPr>
          <w:color w:val="1A252F"/>
          <w:sz w:val="22"/>
        </w:rPr>
        <w:t xml:space="preserve">. An estimated 1–2% of complaints in this category reach resolution.</w:t>
      </w:r>
    </w:p>
    <w:tbl>
      <w:tblPr>
        <w:tblW w:w="5000" w:type="pct"/>
        <w:tblBorders>
          <w:top w:val="single" w:color="2C3E50" w:sz="12"/>
          <w:left w:val="nil"/>
          <w:bottom w:val="single" w:color="2C3E50" w:sz="12"/>
          <w:right w:val="nil"/>
          <w:insideH w:val="single" w:color="BDC3C7" w:sz="4"/>
          <w:insideV w:val="nil"/>
        </w:tblBorders>
        <w:tblLook w:val="04A0" w:firstRow="true"/>
      </w:tblPr>
      <w:tblGrid>
        <w:gridCol w:w="2250"/>
        <w:gridCol w:w="2250"/>
        <w:gridCol w:w="2250"/>
        <w:gridCol w:w="2250"/>
      </w:tblGrid>
      <w:tr>
        <w:trPr>
          <w:tblHeader/>
        </w:trPr>
        <w:tc>
          <w:tcPr>
            <w:tcW w:w="2250" w:type="dxa"/>
            <w:tcBorders>
              <w:bottom w:val="single" w:color="2C3E50" w:sz="6"/>
            </w:tcBorders>
            <w:shd w:val="clear" w:fill="EDF0F2"/>
          </w:tcPr>
          <w:p>
            <w:pPr>
              <w:spacing w:before="60" w:after="60"/>
            </w:pPr>
            <w:r>
              <w:rPr>
                <w:b/>
                <w:color w:val="1A252F"/>
                <w:sz w:val="18"/>
              </w:rPr>
              <w:t xml:space="preserve">Category</w:t>
            </w:r>
          </w:p>
        </w:tc>
        <w:tc>
          <w:tcPr>
            <w:tcW w:w="2250" w:type="dxa"/>
            <w:tcBorders>
              <w:bottom w:val="single" w:color="2C3E50" w:sz="6"/>
            </w:tcBorders>
            <w:shd w:val="clear" w:fill="EDF0F2"/>
          </w:tcPr>
          <w:p>
            <w:pPr>
              <w:spacing w:before="60" w:after="60"/>
            </w:pPr>
            <w:r>
              <w:rPr>
                <w:b/>
                <w:color w:val="1A252F"/>
                <w:sz w:val="18"/>
              </w:rPr>
              <w:t xml:space="preserve">Est. Resolution Rate</w:t>
            </w:r>
          </w:p>
        </w:tc>
        <w:tc>
          <w:tcPr>
            <w:tcW w:w="2250" w:type="dxa"/>
            <w:tcBorders>
              <w:bottom w:val="single" w:color="2C3E50" w:sz="6"/>
            </w:tcBorders>
            <w:shd w:val="clear" w:fill="EDF0F2"/>
          </w:tcPr>
          <w:p>
            <w:pPr>
              <w:spacing w:before="60" w:after="60"/>
            </w:pPr>
            <w:r>
              <w:rPr>
                <w:b/>
                <w:color w:val="1A252F"/>
                <w:sz w:val="18"/>
              </w:rPr>
              <w:t xml:space="preserve">Primary Resolution Mechanism</w:t>
            </w:r>
          </w:p>
        </w:tc>
        <w:tc>
          <w:tcPr>
            <w:tcW w:w="2250" w:type="dxa"/>
            <w:tcBorders>
              <w:bottom w:val="single" w:color="2C3E50" w:sz="6"/>
            </w:tcBorders>
            <w:shd w:val="clear" w:fill="EDF0F2"/>
          </w:tcPr>
          <w:p>
            <w:pPr>
              <w:spacing w:before="60" w:after="60"/>
            </w:pPr>
            <w:r>
              <w:rPr>
                <w:b/>
                <w:color w:val="1A252F"/>
                <w:sz w:val="18"/>
              </w:rPr>
              <w:t xml:space="preserve">Key Barrier</w:t>
            </w:r>
          </w:p>
        </w:tc>
      </w:tr>
      <w:tr>
        <w:tc>
          <w:tcPr>
            <w:tcW w:w="2250" w:type="dxa"/>
          </w:tcPr>
          <w:p>
            <w:pPr>
              <w:spacing w:before="40" w:after="40" w:line="240" w:lineRule="auto"/>
            </w:pPr>
            <w:r>
              <w:rPr>
                <w:color w:val="1A252F"/>
                <w:sz w:val="18"/>
              </w:rPr>
              <w:t xml:space="preserve">Delivery/Ride-Hailing</w:t>
            </w:r>
          </w:p>
        </w:tc>
        <w:tc>
          <w:tcPr>
            <w:tcW w:w="2250" w:type="dxa"/>
          </w:tcPr>
          <w:p>
            <w:pPr>
              <w:spacing w:before="40" w:after="40" w:line="240" w:lineRule="auto"/>
            </w:pPr>
            <w:r>
              <w:rPr>
                <w:color w:val="1A252F"/>
                <w:sz w:val="18"/>
              </w:rPr>
              <w:t xml:space="preserve">15–25%</w:t>
            </w:r>
          </w:p>
        </w:tc>
        <w:tc>
          <w:tcPr>
            <w:tcW w:w="2250" w:type="dxa"/>
          </w:tcPr>
          <w:p>
            <w:pPr>
              <w:spacing w:before="40" w:after="40" w:line="240" w:lineRule="auto"/>
            </w:pPr>
            <w:r>
              <w:rPr>
                <w:color w:val="1A252F"/>
                <w:sz w:val="18"/>
              </w:rPr>
              <w:t xml:space="preserve">State AG enforcement + union organizing</w:t>
            </w:r>
          </w:p>
        </w:tc>
        <w:tc>
          <w:tcPr>
            <w:tcW w:w="2250" w:type="dxa"/>
          </w:tcPr>
          <w:p>
            <w:pPr>
              <w:spacing w:before="40" w:after="40" w:line="240" w:lineRule="auto"/>
            </w:pPr>
            <w:r>
              <w:rPr>
                <w:color w:val="1A252F"/>
                <w:sz w:val="18"/>
              </w:rPr>
              <w:t xml:space="preserve">Prop 22 carve-out (CA); arbitration clauses</w:t>
            </w:r>
          </w:p>
        </w:tc>
      </w:tr>
      <w:tr>
        <w:tc>
          <w:tcPr>
            <w:tcW w:w="2250" w:type="dxa"/>
          </w:tcPr>
          <w:p>
            <w:pPr>
              <w:spacing w:before="40" w:after="40" w:line="240" w:lineRule="auto"/>
            </w:pPr>
            <w:r>
              <w:rPr>
                <w:color w:val="1A252F"/>
                <w:sz w:val="18"/>
              </w:rPr>
              <w:t xml:space="preserve">AI Platforms</w:t>
            </w:r>
          </w:p>
        </w:tc>
        <w:tc>
          <w:tcPr>
            <w:tcW w:w="2250" w:type="dxa"/>
          </w:tcPr>
          <w:p>
            <w:pPr>
              <w:spacing w:before="40" w:after="40" w:line="240" w:lineRule="auto"/>
            </w:pPr>
            <w:r>
              <w:rPr>
                <w:color w:val="1A252F"/>
                <w:sz w:val="18"/>
              </w:rPr>
              <w:t xml:space="preserve">2–5%</w:t>
            </w:r>
          </w:p>
        </w:tc>
        <w:tc>
          <w:tcPr>
            <w:tcW w:w="2250" w:type="dxa"/>
          </w:tcPr>
          <w:p>
            <w:pPr>
              <w:spacing w:before="40" w:after="40" w:line="240" w:lineRule="auto"/>
            </w:pPr>
            <w:r>
              <w:rPr>
                <w:color w:val="1A252F"/>
                <w:sz w:val="18"/>
              </w:rPr>
              <w:t xml:space="preserve">Individual litigation (CA only)</w:t>
            </w:r>
          </w:p>
        </w:tc>
        <w:tc>
          <w:tcPr>
            <w:tcW w:w="2250" w:type="dxa"/>
          </w:tcPr>
          <w:p>
            <w:pPr>
              <w:spacing w:before="40" w:after="40" w:line="240" w:lineRule="auto"/>
            </w:pPr>
            <w:r>
              <w:rPr>
                <w:color w:val="1A252F"/>
                <w:sz w:val="18"/>
              </w:rPr>
              <w:t xml:space="preserve">No collective infrastructure; global atomization</w:t>
            </w:r>
          </w:p>
        </w:tc>
      </w:tr>
      <w:tr>
        <w:tc>
          <w:tcPr>
            <w:tcW w:w="2250" w:type="dxa"/>
          </w:tcPr>
          <w:p>
            <w:pPr>
              <w:spacing w:before="40" w:after="40" w:line="240" w:lineRule="auto"/>
            </w:pPr>
            <w:r>
              <w:rPr>
                <w:color w:val="1A252F"/>
                <w:sz w:val="18"/>
              </w:rPr>
              <w:t xml:space="preserve">Freelance</w:t>
            </w:r>
          </w:p>
        </w:tc>
        <w:tc>
          <w:tcPr>
            <w:tcW w:w="2250" w:type="dxa"/>
          </w:tcPr>
          <w:p>
            <w:pPr>
              <w:spacing w:before="40" w:after="40" w:line="240" w:lineRule="auto"/>
            </w:pPr>
            <w:r>
              <w:rPr>
                <w:color w:val="1A252F"/>
                <w:sz w:val="18"/>
              </w:rPr>
              <w:t xml:space="preserve">2–5%</w:t>
            </w:r>
          </w:p>
        </w:tc>
        <w:tc>
          <w:tcPr>
            <w:tcW w:w="2250" w:type="dxa"/>
          </w:tcPr>
          <w:p>
            <w:pPr>
              <w:spacing w:before="40" w:after="40" w:line="240" w:lineRule="auto"/>
            </w:pPr>
            <w:r>
              <w:rPr>
                <w:color w:val="1A252F"/>
                <w:sz w:val="18"/>
              </w:rPr>
              <w:t xml:space="preserve">Individual arbitration; FTC junk-fee rule</w:t>
            </w:r>
          </w:p>
        </w:tc>
        <w:tc>
          <w:tcPr>
            <w:tcW w:w="2250" w:type="dxa"/>
          </w:tcPr>
          <w:p>
            <w:pPr>
              <w:spacing w:before="40" w:after="40" w:line="240" w:lineRule="auto"/>
            </w:pPr>
            <w:r>
              <w:rPr>
                <w:color w:val="1A252F"/>
                <w:sz w:val="18"/>
              </w:rPr>
              <w:t xml:space="preserve">Mandatory arbitration; sub-$500 disputes</w:t>
            </w:r>
          </w:p>
        </w:tc>
      </w:tr>
      <w:tr>
        <w:tc>
          <w:tcPr>
            <w:tcW w:w="2250" w:type="dxa"/>
          </w:tcPr>
          <w:p>
            <w:pPr>
              <w:spacing w:before="40" w:after="40" w:line="240" w:lineRule="auto"/>
            </w:pPr>
            <w:r>
              <w:rPr>
                <w:color w:val="1A252F"/>
                <w:sz w:val="18"/>
              </w:rPr>
              <w:t xml:space="preserve">Remote Work/Contractor</w:t>
            </w:r>
          </w:p>
        </w:tc>
        <w:tc>
          <w:tcPr>
            <w:tcW w:w="2250" w:type="dxa"/>
          </w:tcPr>
          <w:p>
            <w:pPr>
              <w:spacing w:before="40" w:after="40" w:line="240" w:lineRule="auto"/>
            </w:pPr>
            <w:r>
              <w:rPr>
                <w:color w:val="1A252F"/>
                <w:sz w:val="18"/>
              </w:rPr>
              <w:t xml:space="preserve">1–2%</w:t>
            </w:r>
          </w:p>
        </w:tc>
        <w:tc>
          <w:tcPr>
            <w:tcW w:w="2250" w:type="dxa"/>
          </w:tcPr>
          <w:p>
            <w:pPr>
              <w:spacing w:before="40" w:after="40" w:line="240" w:lineRule="auto"/>
            </w:pPr>
            <w:r>
              <w:rPr>
                <w:color w:val="1A252F"/>
                <w:sz w:val="18"/>
              </w:rPr>
              <w:t xml:space="preserve">Pending class actions</w:t>
            </w:r>
          </w:p>
        </w:tc>
        <w:tc>
          <w:tcPr>
            <w:tcW w:w="2250" w:type="dxa"/>
          </w:tcPr>
          <w:p>
            <w:pPr>
              <w:spacing w:before="40" w:after="40" w:line="240" w:lineRule="auto"/>
            </w:pPr>
            <w:r>
              <w:rPr>
                <w:color w:val="1A252F"/>
                <w:sz w:val="18"/>
              </w:rPr>
              <w:t xml:space="preserve">Cross-border enforcement gaps; jurisdictional ambiguity</w:t>
            </w:r>
          </w:p>
        </w:tc>
      </w:tr>
    </w:tbl>
    <w:p>
      <w:pPr>
        <w:spacing w:after="200"/>
      </w:pPr>
    </w:p>
    <w:p>
      <w:pPr>
        <w:spacing w:before="40" w:after="160"/>
      </w:pPr>
      <w:r>
        <w:rPr>
          <w:i/>
          <w:color w:val="7F8C8D"/>
          <w:sz w:val="22"/>
        </w:rPr>
        <w:t xml:space="preserve">Resolution rates are Sindicato estimates based on settlement-to-complaint ratios reported in dimension research. Delivery rates are elevated by NYTWA </w:t>
      </w:r>
      <w:r>
        <w:rPr>
          <w:color w:val="C0392B"/>
          <w:sz w:val="16"/>
          <w:vertAlign w:val="superscript"/>
        </w:rPr>
        <w:t xml:space="preserve">[450]</w:t>
      </w:r>
      <w:r>
        <w:rPr>
          <w:i/>
          <w:color w:val="7F8C8D"/>
          <w:sz w:val="22"/>
        </w:rPr>
        <w:t xml:space="preserve"> and RDU </w:t>
      </w:r>
      <w:r>
        <w:rPr>
          <w:color w:val="C0392B"/>
          <w:sz w:val="16"/>
          <w:vertAlign w:val="superscript"/>
        </w:rPr>
        <w:t xml:space="preserve">[1018]</w:t>
      </w:r>
      <w:r>
        <w:rPr>
          <w:i/>
          <w:color w:val="7F8C8D"/>
          <w:sz w:val="22"/>
        </w:rPr>
        <w:t xml:space="preserve"> organizing; AI and freelance rates reflect mandatory arbitration dominance </w:t>
      </w:r>
      <w:r>
        <w:rPr>
          <w:color w:val="C0392B"/>
          <w:sz w:val="16"/>
          <w:vertAlign w:val="superscript"/>
        </w:rPr>
        <w:t xml:space="preserve">[951]</w:t>
      </w:r>
      <w:r>
        <w:rPr>
          <w:i/>
          <w:color w:val="7F8C8D"/>
          <w:sz w:val="22"/>
        </w:rPr>
        <w:t xml:space="preserve">; remote work rates reflect cross-border opacity </w:t>
      </w:r>
      <w:r>
        <w:rPr>
          <w:color w:val="C0392B"/>
          <w:sz w:val="16"/>
          <w:vertAlign w:val="superscript"/>
        </w:rPr>
        <w:t xml:space="preserve">[456]</w:t>
      </w:r>
      <w:r>
        <w:rPr>
          <w:i/>
          <w:color w:val="7F8C8D"/>
          <w:sz w:val="22"/>
        </w:rPr>
        <w:t xml:space="preserve">.</w:t>
      </w:r>
    </w:p>
    <w:p>
      <w:pPr>
        <w:spacing w:after="160" w:line="300" w:lineRule="auto"/>
      </w:pPr>
      <w:r>
        <w:rPr>
          <w:color w:val="1A252F"/>
          <w:sz w:val="22"/>
        </w:rPr>
        <w:t xml:space="preserve">The resolution rate hierarchy directly informs Sindicato's category prioritization. Delivery workers, despite being the most exploited by volume, have the best existing infrastructure — meaning Sindicato's value-add lies in scaling and systematizing rather than building from zero. AI platform workers, by contrast, have virtually no collective action infrastructure: the Kenya Data Labelers Association formed only in February 2025 with 339 initial members </w:t>
      </w:r>
      <w:r>
        <w:rPr>
          <w:color w:val="C0392B"/>
          <w:sz w:val="16"/>
          <w:vertAlign w:val="superscript"/>
        </w:rPr>
        <w:t xml:space="preserve">[36]</w:t>
      </w:r>
      <w:r>
        <w:rPr>
          <w:color w:val="1A252F"/>
          <w:sz w:val="22"/>
        </w:rPr>
        <w:t xml:space="preserve">, Turkopticon (founded 2008) is the only sustained organizing tool </w:t>
      </w:r>
      <w:r>
        <w:rPr>
          <w:color w:val="C0392B"/>
          <w:sz w:val="16"/>
          <w:vertAlign w:val="superscript"/>
        </w:rPr>
        <w:t xml:space="preserve">[38]</w:t>
      </w:r>
      <w:r>
        <w:rPr>
          <w:color w:val="1A252F"/>
          <w:sz w:val="22"/>
        </w:rPr>
        <w:t xml:space="preserve">, and no major jurisdiction has established a dedicated enforcement regime for data annotation work.</w:t>
      </w:r>
    </w:p>
    <w:p>
      <w:pPr>
        <w:pStyle w:val="Heading3"/>
      </w:pPr>
      <w:r>
        <w:rPr>
          <w:color w:val="1A252F"/>
          <w:sz w:val="22"/>
        </w:rPr>
        <w:t xml:space="preserve">2.3 Category Rankings: Legal Action Density and Unresolved Case Volume</w:t>
      </w:r>
    </w:p>
    <w:p>
      <w:pPr>
        <w:spacing w:after="160" w:line="300" w:lineRule="auto"/>
      </w:pPr>
      <w:r>
        <w:rPr>
          <w:color w:val="1A252F"/>
          <w:sz w:val="22"/>
        </w:rPr>
        <w:t xml:space="preserve">Two additional rankings sharpen the prioritization picture: legal action density (settlements and enforcement actions per platform within a category) and unresolved case volume (estimated total complaints that have produced no recovery).</w:t>
      </w:r>
    </w:p>
    <w:p>
      <w:pPr>
        <w:spacing w:after="160" w:line="300" w:lineRule="auto"/>
      </w:pPr>
      <w:r>
        <w:rPr>
          <w:b/>
          <w:color w:val="1A252F"/>
          <w:sz w:val="22"/>
        </w:rPr>
        <w:t xml:space="preserve">Delivery/ride-hailing carries the highest legal action density.</w:t>
      </w:r>
      <w:r>
        <w:rPr>
          <w:color w:val="1A252F"/>
          <w:sz w:val="22"/>
        </w:rPr>
        <w:t xml:space="preserve"> The category's approximately ten major platforms have generated more than 25 significant enforcement actions, settlements, or tribunal rulings since 2020 — a density ratio of roughly 2.5 legal actions per platform. Uber alone has faced the $328 million New York settlement </w:t>
      </w:r>
      <w:r>
        <w:rPr>
          <w:color w:val="C0392B"/>
          <w:sz w:val="16"/>
          <w:vertAlign w:val="superscript"/>
        </w:rPr>
        <w:t xml:space="preserve">[285]</w:t>
      </w:r>
      <w:r>
        <w:rPr>
          <w:color w:val="1A252F"/>
          <w:sz w:val="22"/>
        </w:rPr>
        <w:t xml:space="preserve">, $175 million Massachusetts settlement </w:t>
      </w:r>
      <w:r>
        <w:rPr>
          <w:color w:val="C0392B"/>
          <w:sz w:val="16"/>
          <w:vertAlign w:val="superscript"/>
        </w:rPr>
        <w:t xml:space="preserve">[1005]</w:t>
      </w:r>
      <w:r>
        <w:rPr>
          <w:color w:val="1A252F"/>
          <w:sz w:val="22"/>
        </w:rPr>
        <w:t xml:space="preserve">, £600 million UK worker-status back-pay </w:t>
      </w:r>
      <w:r>
        <w:rPr>
          <w:color w:val="C0392B"/>
          <w:sz w:val="16"/>
          <w:vertAlign w:val="superscript"/>
        </w:rPr>
        <w:t xml:space="preserve">[390]</w:t>
      </w:r>
      <w:r>
        <w:rPr>
          <w:color w:val="1A252F"/>
          <w:sz w:val="22"/>
        </w:rPr>
        <w:t xml:space="preserve">, $146 million in mass arbitration settlements </w:t>
      </w:r>
      <w:r>
        <w:rPr>
          <w:color w:val="C0392B"/>
          <w:sz w:val="16"/>
          <w:vertAlign w:val="superscript"/>
        </w:rPr>
        <w:t xml:space="preserve">[370]</w:t>
      </w:r>
      <w:r>
        <w:rPr>
          <w:color w:val="1A252F"/>
          <w:sz w:val="22"/>
        </w:rPr>
        <w:t xml:space="preserve">, and the pending $1.3 billion California pre-Prop 22 action </w:t>
      </w:r>
      <w:r>
        <w:rPr>
          <w:color w:val="C0392B"/>
          <w:sz w:val="16"/>
          <w:vertAlign w:val="superscript"/>
        </w:rPr>
        <w:t xml:space="preserve">[181]</w:t>
      </w:r>
      <w:r>
        <w:rPr>
          <w:color w:val="1A252F"/>
          <w:sz w:val="22"/>
        </w:rPr>
        <w:t xml:space="preserve">. DoorDash has settled tip-theft claims in New York ($16.75 million) </w:t>
      </w:r>
      <w:r>
        <w:rPr>
          <w:color w:val="C0392B"/>
          <w:sz w:val="16"/>
          <w:vertAlign w:val="superscript"/>
        </w:rPr>
        <w:t xml:space="preserve">[447]</w:t>
      </w:r>
      <w:r>
        <w:rPr>
          <w:color w:val="1A252F"/>
          <w:sz w:val="22"/>
        </w:rPr>
        <w:t xml:space="preserve">, Illinois ($11.25 million) </w:t>
      </w:r>
      <w:r>
        <w:rPr>
          <w:color w:val="C0392B"/>
          <w:sz w:val="16"/>
          <w:vertAlign w:val="superscript"/>
        </w:rPr>
        <w:t xml:space="preserve">[448]</w:t>
      </w:r>
      <w:r>
        <w:rPr>
          <w:color w:val="1A252F"/>
          <w:sz w:val="22"/>
        </w:rPr>
        <w:t xml:space="preserve">, and Chicago ($18 million) </w:t>
      </w:r>
      <w:r>
        <w:rPr>
          <w:color w:val="C0392B"/>
          <w:sz w:val="16"/>
          <w:vertAlign w:val="superscript"/>
        </w:rPr>
        <w:t xml:space="preserve">[444]</w:t>
      </w:r>
      <w:r>
        <w:rPr>
          <w:color w:val="1A252F"/>
          <w:sz w:val="22"/>
        </w:rPr>
        <w:t xml:space="preserve">. Glovo accumulated €265 million in Spanish social security debt before capitulating in December 2024 </w:t>
      </w:r>
      <w:r>
        <w:rPr>
          <w:color w:val="C0392B"/>
          <w:sz w:val="16"/>
          <w:vertAlign w:val="superscript"/>
        </w:rPr>
        <w:t xml:space="preserve">[546]</w:t>
      </w:r>
      <w:r>
        <w:rPr>
          <w:color w:val="1A252F"/>
          <w:sz w:val="22"/>
        </w:rPr>
        <w:t xml:space="preserve"> </w:t>
      </w:r>
      <w:r>
        <w:rPr>
          <w:color w:val="C0392B"/>
          <w:sz w:val="16"/>
          <w:vertAlign w:val="superscript"/>
        </w:rPr>
        <w:t xml:space="preserve">[548]</w:t>
      </w:r>
      <w:r>
        <w:rPr>
          <w:color w:val="1A252F"/>
          <w:sz w:val="22"/>
        </w:rPr>
        <w:t xml:space="preserve">. Bolt's November 2024 UK tribunal ruling exposed the company to over £200 million in backdated compensation for 100,000-plus drivers </w:t>
      </w:r>
      <w:r>
        <w:rPr>
          <w:color w:val="C0392B"/>
          <w:sz w:val="16"/>
          <w:vertAlign w:val="superscript"/>
        </w:rPr>
        <w:t xml:space="preserve">[474]</w:t>
      </w:r>
      <w:r>
        <w:rPr>
          <w:color w:val="1A252F"/>
          <w:sz w:val="22"/>
        </w:rPr>
        <w:t xml:space="preserve">. No other category approaches this litigation intensity.</w:t>
      </w:r>
    </w:p>
    <w:tbl>
      <w:tblPr>
        <w:tblW w:w="5000" w:type="pct"/>
        <w:tblBorders>
          <w:top w:val="single" w:color="2C3E50" w:sz="12"/>
          <w:left w:val="nil"/>
          <w:bottom w:val="single" w:color="2C3E50" w:sz="12"/>
          <w:right w:val="nil"/>
          <w:insideH w:val="single" w:color="BDC3C7" w:sz="4"/>
          <w:insideV w:val="nil"/>
        </w:tblBorders>
        <w:tblLook w:val="04A0" w:firstRow="true"/>
      </w:tblPr>
      <w:tblGrid>
        <w:gridCol w:w="1500"/>
        <w:gridCol w:w="1500"/>
        <w:gridCol w:w="1500"/>
        <w:gridCol w:w="1500"/>
        <w:gridCol w:w="1500"/>
        <w:gridCol w:w="1500"/>
      </w:tblGrid>
      <w:tr>
        <w:trPr>
          <w:tblHeader/>
        </w:trPr>
        <w:tc>
          <w:tcPr>
            <w:tcW w:w="1500" w:type="dxa"/>
            <w:tcBorders>
              <w:bottom w:val="single" w:color="2C3E50" w:sz="6"/>
            </w:tcBorders>
            <w:shd w:val="clear" w:fill="EDF0F2"/>
          </w:tcPr>
          <w:p>
            <w:pPr>
              <w:spacing w:before="60" w:after="60"/>
            </w:pPr>
            <w:r>
              <w:rPr>
                <w:b/>
                <w:color w:val="1A252F"/>
                <w:sz w:val="18"/>
              </w:rPr>
              <w:t xml:space="preserve">Rank</w:t>
            </w:r>
          </w:p>
        </w:tc>
        <w:tc>
          <w:tcPr>
            <w:tcW w:w="1500" w:type="dxa"/>
            <w:tcBorders>
              <w:bottom w:val="single" w:color="2C3E50" w:sz="6"/>
            </w:tcBorders>
            <w:shd w:val="clear" w:fill="EDF0F2"/>
          </w:tcPr>
          <w:p>
            <w:pPr>
              <w:spacing w:before="60" w:after="60"/>
            </w:pPr>
            <w:r>
              <w:rPr>
                <w:b/>
                <w:color w:val="1A252F"/>
                <w:sz w:val="18"/>
              </w:rPr>
              <w:t xml:space="preserve">Category</w:t>
            </w:r>
          </w:p>
        </w:tc>
        <w:tc>
          <w:tcPr>
            <w:tcW w:w="1500" w:type="dxa"/>
            <w:tcBorders>
              <w:bottom w:val="single" w:color="2C3E50" w:sz="6"/>
            </w:tcBorders>
            <w:shd w:val="clear" w:fill="EDF0F2"/>
          </w:tcPr>
          <w:p>
            <w:pPr>
              <w:spacing w:before="60" w:after="60"/>
            </w:pPr>
            <w:r>
              <w:rPr>
                <w:b/>
                <w:color w:val="1A252F"/>
                <w:sz w:val="18"/>
              </w:rPr>
              <w:t xml:space="preserve">Legal Actions (Count)</w:t>
            </w:r>
          </w:p>
        </w:tc>
        <w:tc>
          <w:tcPr>
            <w:tcW w:w="1500" w:type="dxa"/>
            <w:tcBorders>
              <w:bottom w:val="single" w:color="2C3E50" w:sz="6"/>
            </w:tcBorders>
            <w:shd w:val="clear" w:fill="EDF0F2"/>
          </w:tcPr>
          <w:p>
            <w:pPr>
              <w:spacing w:before="60" w:after="60"/>
            </w:pPr>
            <w:r>
              <w:rPr>
                <w:b/>
                <w:color w:val="1A252F"/>
                <w:sz w:val="18"/>
              </w:rPr>
              <w:t xml:space="preserve">Platforms</w:t>
            </w:r>
          </w:p>
        </w:tc>
        <w:tc>
          <w:tcPr>
            <w:tcW w:w="1500" w:type="dxa"/>
            <w:tcBorders>
              <w:bottom w:val="single" w:color="2C3E50" w:sz="6"/>
            </w:tcBorders>
            <w:shd w:val="clear" w:fill="EDF0F2"/>
          </w:tcPr>
          <w:p>
            <w:pPr>
              <w:spacing w:before="60" w:after="60"/>
            </w:pPr>
            <w:r>
              <w:rPr>
                <w:b/>
                <w:color w:val="1A252F"/>
                <w:sz w:val="18"/>
              </w:rPr>
              <w:t xml:space="preserve">Density Ratio</w:t>
            </w:r>
          </w:p>
        </w:tc>
        <w:tc>
          <w:tcPr>
            <w:tcW w:w="1500" w:type="dxa"/>
            <w:tcBorders>
              <w:bottom w:val="single" w:color="2C3E50" w:sz="6"/>
            </w:tcBorders>
            <w:shd w:val="clear" w:fill="EDF0F2"/>
          </w:tcPr>
          <w:p>
            <w:pPr>
              <w:spacing w:before="60" w:after="60"/>
            </w:pPr>
            <w:r>
              <w:rPr>
                <w:b/>
                <w:color w:val="1A252F"/>
                <w:sz w:val="18"/>
              </w:rPr>
              <w:t xml:space="preserve">Largest Single Action</w:t>
            </w:r>
          </w:p>
        </w:tc>
      </w:tr>
      <w:tr>
        <w:tc>
          <w:tcPr>
            <w:tcW w:w="1500" w:type="dxa"/>
          </w:tcPr>
          <w:p>
            <w:pPr>
              <w:spacing w:before="40" w:after="40" w:line="240" w:lineRule="auto"/>
            </w:pPr>
            <w:r>
              <w:rPr>
                <w:color w:val="1A252F"/>
                <w:sz w:val="18"/>
              </w:rPr>
              <w:t xml:space="preserve">1</w:t>
            </w:r>
          </w:p>
        </w:tc>
        <w:tc>
          <w:tcPr>
            <w:tcW w:w="1500" w:type="dxa"/>
          </w:tcPr>
          <w:p>
            <w:pPr>
              <w:spacing w:before="40" w:after="40" w:line="240" w:lineRule="auto"/>
            </w:pPr>
            <w:r>
              <w:rPr>
                <w:color w:val="1A252F"/>
                <w:sz w:val="18"/>
              </w:rPr>
              <w:t xml:space="preserve">Delivery/Ride-Hailing</w:t>
            </w:r>
          </w:p>
        </w:tc>
        <w:tc>
          <w:tcPr>
            <w:tcW w:w="1500" w:type="dxa"/>
          </w:tcPr>
          <w:p>
            <w:pPr>
              <w:spacing w:before="40" w:after="40" w:line="240" w:lineRule="auto"/>
            </w:pPr>
            <w:r>
              <w:rPr>
                <w:color w:val="1A252F"/>
                <w:sz w:val="18"/>
              </w:rPr>
              <w:t xml:space="preserve">25+</w:t>
            </w:r>
          </w:p>
        </w:tc>
        <w:tc>
          <w:tcPr>
            <w:tcW w:w="1500" w:type="dxa"/>
          </w:tcPr>
          <w:p>
            <w:pPr>
              <w:spacing w:before="40" w:after="40" w:line="240" w:lineRule="auto"/>
            </w:pPr>
            <w:r>
              <w:rPr>
                <w:color w:val="1A252F"/>
                <w:sz w:val="18"/>
              </w:rPr>
              <w:t xml:space="preserve">~10</w:t>
            </w:r>
          </w:p>
        </w:tc>
        <w:tc>
          <w:tcPr>
            <w:tcW w:w="1500" w:type="dxa"/>
          </w:tcPr>
          <w:p>
            <w:pPr>
              <w:spacing w:before="40" w:after="40" w:line="240" w:lineRule="auto"/>
            </w:pPr>
            <w:r>
              <w:rPr>
                <w:color w:val="1A252F"/>
                <w:sz w:val="18"/>
              </w:rPr>
              <w:t xml:space="preserve">2.5x</w:t>
            </w:r>
          </w:p>
        </w:tc>
        <w:tc>
          <w:tcPr>
            <w:tcW w:w="1500" w:type="dxa"/>
          </w:tcPr>
          <w:p>
            <w:pPr>
              <w:spacing w:before="40" w:after="40" w:line="240" w:lineRule="auto"/>
            </w:pPr>
            <w:r>
              <w:rPr>
                <w:color w:val="1A252F"/>
                <w:sz w:val="18"/>
              </w:rPr>
              <w:t xml:space="preserve">$328M (NY AG v. Uber/Lyft) </w:t>
            </w:r>
            <w:r>
              <w:rPr>
                <w:color w:val="C0392B"/>
                <w:sz w:val="16"/>
                <w:vertAlign w:val="superscript"/>
              </w:rPr>
              <w:t xml:space="preserve">[285]</w:t>
            </w:r>
          </w:p>
        </w:tc>
      </w:tr>
      <w:tr>
        <w:tc>
          <w:tcPr>
            <w:tcW w:w="1500" w:type="dxa"/>
          </w:tcPr>
          <w:p>
            <w:pPr>
              <w:spacing w:before="40" w:after="40" w:line="240" w:lineRule="auto"/>
            </w:pPr>
            <w:r>
              <w:rPr>
                <w:color w:val="1A252F"/>
                <w:sz w:val="18"/>
              </w:rPr>
              <w:t xml:space="preserve">2</w:t>
            </w:r>
          </w:p>
        </w:tc>
        <w:tc>
          <w:tcPr>
            <w:tcW w:w="1500" w:type="dxa"/>
          </w:tcPr>
          <w:p>
            <w:pPr>
              <w:spacing w:before="40" w:after="40" w:line="240" w:lineRule="auto"/>
            </w:pPr>
            <w:r>
              <w:rPr>
                <w:color w:val="1A252F"/>
                <w:sz w:val="18"/>
              </w:rPr>
              <w:t xml:space="preserve">AI Platforms</w:t>
            </w:r>
          </w:p>
        </w:tc>
        <w:tc>
          <w:tcPr>
            <w:tcW w:w="1500" w:type="dxa"/>
          </w:tcPr>
          <w:p>
            <w:pPr>
              <w:spacing w:before="40" w:after="40" w:line="240" w:lineRule="auto"/>
            </w:pPr>
            <w:r>
              <w:rPr>
                <w:color w:val="1A252F"/>
                <w:sz w:val="18"/>
              </w:rPr>
              <w:t xml:space="preserve">8+</w:t>
            </w:r>
          </w:p>
        </w:tc>
        <w:tc>
          <w:tcPr>
            <w:tcW w:w="1500" w:type="dxa"/>
          </w:tcPr>
          <w:p>
            <w:pPr>
              <w:spacing w:before="40" w:after="40" w:line="240" w:lineRule="auto"/>
            </w:pPr>
            <w:r>
              <w:rPr>
                <w:color w:val="1A252F"/>
                <w:sz w:val="18"/>
              </w:rPr>
              <w:t xml:space="preserve">~12</w:t>
            </w:r>
          </w:p>
        </w:tc>
        <w:tc>
          <w:tcPr>
            <w:tcW w:w="1500" w:type="dxa"/>
          </w:tcPr>
          <w:p>
            <w:pPr>
              <w:spacing w:before="40" w:after="40" w:line="240" w:lineRule="auto"/>
            </w:pPr>
            <w:r>
              <w:rPr>
                <w:color w:val="1A252F"/>
                <w:sz w:val="18"/>
              </w:rPr>
              <w:t xml:space="preserve">0.67x</w:t>
            </w:r>
          </w:p>
        </w:tc>
        <w:tc>
          <w:tcPr>
            <w:tcW w:w="1500" w:type="dxa"/>
          </w:tcPr>
          <w:p>
            <w:pPr>
              <w:spacing w:before="40" w:after="40" w:line="240" w:lineRule="auto"/>
            </w:pPr>
            <w:r>
              <w:rPr>
                <w:color w:val="1A252F"/>
                <w:sz w:val="18"/>
              </w:rPr>
              <w:t xml:space="preserve">4 Scale AI settlements (undisclosed) </w:t>
            </w:r>
            <w:r>
              <w:rPr>
                <w:color w:val="C0392B"/>
                <w:sz w:val="16"/>
                <w:vertAlign w:val="superscript"/>
              </w:rPr>
              <w:t xml:space="preserve">[7]</w:t>
            </w:r>
          </w:p>
        </w:tc>
      </w:tr>
      <w:tr>
        <w:tc>
          <w:tcPr>
            <w:tcW w:w="1500" w:type="dxa"/>
          </w:tcPr>
          <w:p>
            <w:pPr>
              <w:spacing w:before="40" w:after="40" w:line="240" w:lineRule="auto"/>
            </w:pPr>
            <w:r>
              <w:rPr>
                <w:color w:val="1A252F"/>
                <w:sz w:val="18"/>
              </w:rPr>
              <w:t xml:space="preserve">3</w:t>
            </w:r>
          </w:p>
        </w:tc>
        <w:tc>
          <w:tcPr>
            <w:tcW w:w="1500" w:type="dxa"/>
          </w:tcPr>
          <w:p>
            <w:pPr>
              <w:spacing w:before="40" w:after="40" w:line="240" w:lineRule="auto"/>
            </w:pPr>
            <w:r>
              <w:rPr>
                <w:color w:val="1A252F"/>
                <w:sz w:val="18"/>
              </w:rPr>
              <w:t xml:space="preserve">Remote Work/Contractor</w:t>
            </w:r>
          </w:p>
        </w:tc>
        <w:tc>
          <w:tcPr>
            <w:tcW w:w="1500" w:type="dxa"/>
          </w:tcPr>
          <w:p>
            <w:pPr>
              <w:spacing w:before="40" w:after="40" w:line="240" w:lineRule="auto"/>
            </w:pPr>
            <w:r>
              <w:rPr>
                <w:color w:val="1A252F"/>
                <w:sz w:val="18"/>
              </w:rPr>
              <w:t xml:space="preserve">3+</w:t>
            </w:r>
          </w:p>
        </w:tc>
        <w:tc>
          <w:tcPr>
            <w:tcW w:w="1500" w:type="dxa"/>
          </w:tcPr>
          <w:p>
            <w:pPr>
              <w:spacing w:before="40" w:after="40" w:line="240" w:lineRule="auto"/>
            </w:pPr>
            <w:r>
              <w:rPr>
                <w:color w:val="1A252F"/>
                <w:sz w:val="18"/>
              </w:rPr>
              <w:t xml:space="preserve">~10</w:t>
            </w:r>
          </w:p>
        </w:tc>
        <w:tc>
          <w:tcPr>
            <w:tcW w:w="1500" w:type="dxa"/>
          </w:tcPr>
          <w:p>
            <w:pPr>
              <w:spacing w:before="40" w:after="40" w:line="240" w:lineRule="auto"/>
            </w:pPr>
            <w:r>
              <w:rPr>
                <w:color w:val="1A252F"/>
                <w:sz w:val="18"/>
              </w:rPr>
              <w:t xml:space="preserve">0.3x</w:t>
            </w:r>
          </w:p>
        </w:tc>
        <w:tc>
          <w:tcPr>
            <w:tcW w:w="1500" w:type="dxa"/>
          </w:tcPr>
          <w:p>
            <w:pPr>
              <w:spacing w:before="40" w:after="40" w:line="240" w:lineRule="auto"/>
            </w:pPr>
            <w:r>
              <w:rPr>
                <w:color w:val="1A252F"/>
                <w:sz w:val="18"/>
              </w:rPr>
              <w:t xml:space="preserve">Deel class action (pending) </w:t>
            </w:r>
            <w:r>
              <w:rPr>
                <w:color w:val="C0392B"/>
                <w:sz w:val="16"/>
                <w:vertAlign w:val="superscript"/>
              </w:rPr>
              <w:t xml:space="preserve">[142]</w:t>
            </w:r>
          </w:p>
        </w:tc>
      </w:tr>
      <w:tr>
        <w:tc>
          <w:tcPr>
            <w:tcW w:w="1500" w:type="dxa"/>
          </w:tcPr>
          <w:p>
            <w:pPr>
              <w:spacing w:before="40" w:after="40" w:line="240" w:lineRule="auto"/>
            </w:pPr>
            <w:r>
              <w:rPr>
                <w:color w:val="1A252F"/>
                <w:sz w:val="18"/>
              </w:rPr>
              <w:t xml:space="preserve">4</w:t>
            </w:r>
          </w:p>
        </w:tc>
        <w:tc>
          <w:tcPr>
            <w:tcW w:w="1500" w:type="dxa"/>
          </w:tcPr>
          <w:p>
            <w:pPr>
              <w:spacing w:before="40" w:after="40" w:line="240" w:lineRule="auto"/>
            </w:pPr>
            <w:r>
              <w:rPr>
                <w:color w:val="1A252F"/>
                <w:sz w:val="18"/>
              </w:rPr>
              <w:t xml:space="preserve">Freelance</w:t>
            </w:r>
          </w:p>
        </w:tc>
        <w:tc>
          <w:tcPr>
            <w:tcW w:w="1500" w:type="dxa"/>
          </w:tcPr>
          <w:p>
            <w:pPr>
              <w:spacing w:before="40" w:after="40" w:line="240" w:lineRule="auto"/>
            </w:pPr>
            <w:r>
              <w:rPr>
                <w:color w:val="1A252F"/>
                <w:sz w:val="18"/>
              </w:rPr>
              <w:t xml:space="preserve">2+</w:t>
            </w:r>
          </w:p>
        </w:tc>
        <w:tc>
          <w:tcPr>
            <w:tcW w:w="1500" w:type="dxa"/>
          </w:tcPr>
          <w:p>
            <w:pPr>
              <w:spacing w:before="40" w:after="40" w:line="240" w:lineRule="auto"/>
            </w:pPr>
            <w:r>
              <w:rPr>
                <w:color w:val="1A252F"/>
                <w:sz w:val="18"/>
              </w:rPr>
              <w:t xml:space="preserve">~10</w:t>
            </w:r>
          </w:p>
        </w:tc>
        <w:tc>
          <w:tcPr>
            <w:tcW w:w="1500" w:type="dxa"/>
          </w:tcPr>
          <w:p>
            <w:pPr>
              <w:spacing w:before="40" w:after="40" w:line="240" w:lineRule="auto"/>
            </w:pPr>
            <w:r>
              <w:rPr>
                <w:color w:val="1A252F"/>
                <w:sz w:val="18"/>
              </w:rPr>
              <w:t xml:space="preserve">0.2x</w:t>
            </w:r>
          </w:p>
        </w:tc>
        <w:tc>
          <w:tcPr>
            <w:tcW w:w="1500" w:type="dxa"/>
          </w:tcPr>
          <w:p>
            <w:pPr>
              <w:spacing w:before="40" w:after="40" w:line="240" w:lineRule="auto"/>
            </w:pPr>
            <w:r>
              <w:rPr>
                <w:color w:val="1A252F"/>
                <w:sz w:val="18"/>
              </w:rPr>
              <w:t xml:space="preserve">Johnson v. Fiverr ($5M+ sought) </w:t>
            </w:r>
            <w:r>
              <w:rPr>
                <w:color w:val="C0392B"/>
                <w:sz w:val="16"/>
                <w:vertAlign w:val="superscript"/>
              </w:rPr>
              <w:t xml:space="preserve">[522]</w:t>
            </w:r>
          </w:p>
        </w:tc>
      </w:tr>
    </w:tbl>
    <w:p>
      <w:pPr>
        <w:spacing w:after="200"/>
      </w:pPr>
    </w:p>
    <w:p>
      <w:pPr>
        <w:spacing w:before="40" w:after="160"/>
      </w:pPr>
      <w:r>
        <w:rPr>
          <w:i/>
          <w:color w:val="7F8C8D"/>
          <w:sz w:val="22"/>
        </w:rPr>
        <w:t xml:space="preserve">Legal action density counts government enforcement actions, class actions, mass arbitrations, and major tribunal rulings since 2020. Density ratio = legal actions ÷ major platforms in category.</w:t>
      </w:r>
    </w:p>
    <w:p>
      <w:pPr>
        <w:spacing w:after="160" w:line="300" w:lineRule="auto"/>
      </w:pPr>
      <w:r>
        <w:rPr>
          <w:color w:val="1A252F"/>
          <w:sz w:val="22"/>
        </w:rPr>
        <w:t xml:space="preserve">The density gap between delivery and all other categories is substantial. Delivery platforms operate in physical space, making them visible to municipal regulators and subject to location-specific licensing requirements — a regulatory surface that AI and freelance platforms, operating in distributed digital space, largely avoid. The EU Platform Work Directive (2024/2831) </w:t>
      </w:r>
      <w:r>
        <w:rPr>
          <w:color w:val="C0392B"/>
          <w:sz w:val="16"/>
          <w:vertAlign w:val="superscript"/>
        </w:rPr>
        <w:t xml:space="preserve">[93]</w:t>
      </w:r>
      <w:r>
        <w:rPr>
          <w:color w:val="1A252F"/>
          <w:sz w:val="22"/>
        </w:rPr>
        <w:t xml:space="preserve"> will extend that regulatory surface to online micro-tasks by December 2026 </w:t>
      </w:r>
      <w:r>
        <w:rPr>
          <w:color w:val="C0392B"/>
          <w:sz w:val="16"/>
          <w:vertAlign w:val="superscript"/>
        </w:rPr>
        <w:t xml:space="preserve">[597]</w:t>
      </w:r>
      <w:r>
        <w:rPr>
          <w:color w:val="1A252F"/>
          <w:sz w:val="22"/>
        </w:rPr>
        <w:t xml:space="preserve">, but transposition remains incomplete across most member states </w:t>
      </w:r>
      <w:r>
        <w:rPr>
          <w:color w:val="C0392B"/>
          <w:sz w:val="16"/>
          <w:vertAlign w:val="superscript"/>
        </w:rPr>
        <w:t xml:space="preserve">[673]</w:t>
      </w:r>
      <w:r>
        <w:rPr>
          <w:color w:val="1A252F"/>
          <w:sz w:val="22"/>
        </w:rPr>
        <w:t xml:space="preserve">.</w:t>
      </w:r>
    </w:p>
    <w:p>
      <w:pPr>
        <w:spacing w:after="160" w:line="300" w:lineRule="auto"/>
      </w:pPr>
      <w:r>
        <w:rPr>
          <w:b/>
          <w:color w:val="1A252F"/>
          <w:sz w:val="22"/>
        </w:rPr>
        <w:t xml:space="preserve">AI data labeling registers the highest unresolved case volume relative to its workforce size.</w:t>
      </w:r>
      <w:r>
        <w:rPr>
          <w:color w:val="1A252F"/>
          <w:sz w:val="22"/>
        </w:rPr>
        <w:t xml:space="preserve"> The category combines three vulnerability factors: no collective action infrastructure, global geographic dispersion that fragments worker identity, and platform strategies of deliberate evasion. Scale AI's response to California litigation — stopping all California hiring while continuing operations in lower-protection jurisdictions </w:t>
      </w:r>
      <w:r>
        <w:rPr>
          <w:color w:val="C0392B"/>
          <w:sz w:val="16"/>
          <w:vertAlign w:val="superscript"/>
        </w:rPr>
        <w:t xml:space="preserve">[7]</w:t>
      </w:r>
      <w:r>
        <w:rPr>
          <w:color w:val="1A252F"/>
          <w:sz w:val="22"/>
        </w:rPr>
        <w:t xml:space="preserve"> — exemplifies "jurisdiction arbitrage." Sama laid off all 260 Kenyan moderators after they organized </w:t>
      </w:r>
      <w:r>
        <w:rPr>
          <w:color w:val="C0392B"/>
          <w:sz w:val="16"/>
          <w:vertAlign w:val="superscript"/>
        </w:rPr>
        <w:t xml:space="preserve">[16]</w:t>
      </w:r>
      <w:r>
        <w:rPr>
          <w:color w:val="1A252F"/>
          <w:sz w:val="22"/>
        </w:rPr>
        <w:t xml:space="preserve">. Remotasks abruptly shut down access in Nigeria, Kenya, and Pakistan without notice </w:t>
      </w:r>
      <w:r>
        <w:rPr>
          <w:color w:val="C0392B"/>
          <w:sz w:val="16"/>
          <w:vertAlign w:val="superscript"/>
        </w:rPr>
        <w:t xml:space="preserve">[25]</w:t>
      </w:r>
      <w:r>
        <w:rPr>
          <w:color w:val="1A252F"/>
          <w:sz w:val="22"/>
        </w:rPr>
        <w:t xml:space="preserve">. Each action displaced wage theft to jurisdictions with weaker enforcement rather than eliminating it.</w:t>
      </w:r>
    </w:p>
    <w:tbl>
      <w:tblPr>
        <w:tblW w:w="5000" w:type="pct"/>
        <w:tblBorders>
          <w:top w:val="single" w:color="2C3E50" w:sz="12"/>
          <w:left w:val="nil"/>
          <w:bottom w:val="single" w:color="2C3E50" w:sz="12"/>
          <w:right w:val="nil"/>
          <w:insideH w:val="single" w:color="BDC3C7" w:sz="4"/>
          <w:insideV w:val="nil"/>
        </w:tblBorders>
        <w:tblLook w:val="04A0" w:firstRow="true"/>
      </w:tblPr>
      <w:tblGrid>
        <w:gridCol w:w="1800"/>
        <w:gridCol w:w="1800"/>
        <w:gridCol w:w="1800"/>
        <w:gridCol w:w="1800"/>
        <w:gridCol w:w="1800"/>
      </w:tblGrid>
      <w:tr>
        <w:trPr>
          <w:tblHeader/>
        </w:trPr>
        <w:tc>
          <w:tcPr>
            <w:tcW w:w="1800" w:type="dxa"/>
            <w:tcBorders>
              <w:bottom w:val="single" w:color="2C3E50" w:sz="6"/>
            </w:tcBorders>
            <w:shd w:val="clear" w:fill="EDF0F2"/>
          </w:tcPr>
          <w:p>
            <w:pPr>
              <w:spacing w:before="60" w:after="60"/>
            </w:pPr>
            <w:r>
              <w:rPr>
                <w:b/>
                <w:color w:val="1A252F"/>
                <w:sz w:val="18"/>
              </w:rPr>
              <w:t xml:space="preserve">Rank</w:t>
            </w:r>
          </w:p>
        </w:tc>
        <w:tc>
          <w:tcPr>
            <w:tcW w:w="1800" w:type="dxa"/>
            <w:tcBorders>
              <w:bottom w:val="single" w:color="2C3E50" w:sz="6"/>
            </w:tcBorders>
            <w:shd w:val="clear" w:fill="EDF0F2"/>
          </w:tcPr>
          <w:p>
            <w:pPr>
              <w:spacing w:before="60" w:after="60"/>
            </w:pPr>
            <w:r>
              <w:rPr>
                <w:b/>
                <w:color w:val="1A252F"/>
                <w:sz w:val="18"/>
              </w:rPr>
              <w:t xml:space="preserve">Category</w:t>
            </w:r>
          </w:p>
        </w:tc>
        <w:tc>
          <w:tcPr>
            <w:tcW w:w="1800" w:type="dxa"/>
            <w:tcBorders>
              <w:bottom w:val="single" w:color="2C3E50" w:sz="6"/>
            </w:tcBorders>
            <w:shd w:val="clear" w:fill="EDF0F2"/>
          </w:tcPr>
          <w:p>
            <w:pPr>
              <w:spacing w:before="60" w:after="60"/>
            </w:pPr>
            <w:r>
              <w:rPr>
                <w:b/>
                <w:color w:val="1A252F"/>
                <w:sz w:val="18"/>
              </w:rPr>
              <w:t xml:space="preserve">Est. Unresolved Cases</w:t>
            </w:r>
          </w:p>
        </w:tc>
        <w:tc>
          <w:tcPr>
            <w:tcW w:w="1800" w:type="dxa"/>
            <w:tcBorders>
              <w:bottom w:val="single" w:color="2C3E50" w:sz="6"/>
            </w:tcBorders>
            <w:shd w:val="clear" w:fill="EDF0F2"/>
          </w:tcPr>
          <w:p>
            <w:pPr>
              <w:spacing w:before="60" w:after="60"/>
            </w:pPr>
            <w:r>
              <w:rPr>
                <w:b/>
                <w:color w:val="1A252F"/>
                <w:sz w:val="18"/>
              </w:rPr>
              <w:t xml:space="preserve">Key Driver</w:t>
            </w:r>
          </w:p>
        </w:tc>
        <w:tc>
          <w:tcPr>
            <w:tcW w:w="1800" w:type="dxa"/>
            <w:tcBorders>
              <w:bottom w:val="single" w:color="2C3E50" w:sz="6"/>
            </w:tcBorders>
            <w:shd w:val="clear" w:fill="EDF0F2"/>
          </w:tcPr>
          <w:p>
            <w:pPr>
              <w:spacing w:before="60" w:after="60"/>
            </w:pPr>
            <w:r>
              <w:rPr>
                <w:b/>
                <w:color w:val="1A252F"/>
                <w:sz w:val="18"/>
              </w:rPr>
              <w:t xml:space="preserve">Platform Evasion Tactic</w:t>
            </w:r>
          </w:p>
        </w:tc>
      </w:tr>
      <w:tr>
        <w:tc>
          <w:tcPr>
            <w:tcW w:w="1800" w:type="dxa"/>
          </w:tcPr>
          <w:p>
            <w:pPr>
              <w:spacing w:before="40" w:after="40" w:line="240" w:lineRule="auto"/>
            </w:pPr>
            <w:r>
              <w:rPr>
                <w:color w:val="1A252F"/>
                <w:sz w:val="18"/>
              </w:rPr>
              <w:t xml:space="preserve">1</w:t>
            </w:r>
          </w:p>
        </w:tc>
        <w:tc>
          <w:tcPr>
            <w:tcW w:w="1800" w:type="dxa"/>
          </w:tcPr>
          <w:p>
            <w:pPr>
              <w:spacing w:before="40" w:after="40" w:line="240" w:lineRule="auto"/>
            </w:pPr>
            <w:r>
              <w:rPr>
                <w:color w:val="1A252F"/>
                <w:sz w:val="18"/>
              </w:rPr>
              <w:t xml:space="preserve">AI Platforms</w:t>
            </w:r>
          </w:p>
        </w:tc>
        <w:tc>
          <w:tcPr>
            <w:tcW w:w="1800" w:type="dxa"/>
          </w:tcPr>
          <w:p>
            <w:pPr>
              <w:spacing w:before="40" w:after="40" w:line="240" w:lineRule="auto"/>
            </w:pPr>
            <w:r>
              <w:rPr>
                <w:color w:val="1A252F"/>
                <w:sz w:val="18"/>
              </w:rPr>
              <w:t xml:space="preserve">400,000+</w:t>
            </w:r>
          </w:p>
        </w:tc>
        <w:tc>
          <w:tcPr>
            <w:tcW w:w="1800" w:type="dxa"/>
          </w:tcPr>
          <w:p>
            <w:pPr>
              <w:spacing w:before="40" w:after="40" w:line="240" w:lineRule="auto"/>
            </w:pPr>
            <w:r>
              <w:rPr>
                <w:color w:val="1A252F"/>
                <w:sz w:val="18"/>
              </w:rPr>
              <w:t xml:space="preserve">No collective infrastructure + global atomization</w:t>
            </w:r>
          </w:p>
        </w:tc>
        <w:tc>
          <w:tcPr>
            <w:tcW w:w="1800" w:type="dxa"/>
          </w:tcPr>
          <w:p>
            <w:pPr>
              <w:spacing w:before="40" w:after="40" w:line="240" w:lineRule="auto"/>
            </w:pPr>
            <w:r>
              <w:rPr>
                <w:color w:val="1A252F"/>
                <w:sz w:val="18"/>
              </w:rPr>
              <w:t xml:space="preserve">Jurisdiction arbitrage (stop hiring in regulated markets)</w:t>
            </w:r>
          </w:p>
        </w:tc>
      </w:tr>
      <w:tr>
        <w:tc>
          <w:tcPr>
            <w:tcW w:w="1800" w:type="dxa"/>
          </w:tcPr>
          <w:p>
            <w:pPr>
              <w:spacing w:before="40" w:after="40" w:line="240" w:lineRule="auto"/>
            </w:pPr>
            <w:r>
              <w:rPr>
                <w:color w:val="1A252F"/>
                <w:sz w:val="18"/>
              </w:rPr>
              <w:t xml:space="preserve">2</w:t>
            </w:r>
          </w:p>
        </w:tc>
        <w:tc>
          <w:tcPr>
            <w:tcW w:w="1800" w:type="dxa"/>
          </w:tcPr>
          <w:p>
            <w:pPr>
              <w:spacing w:before="40" w:after="40" w:line="240" w:lineRule="auto"/>
            </w:pPr>
            <w:r>
              <w:rPr>
                <w:color w:val="1A252F"/>
                <w:sz w:val="18"/>
              </w:rPr>
              <w:t xml:space="preserve">Freelance</w:t>
            </w:r>
          </w:p>
        </w:tc>
        <w:tc>
          <w:tcPr>
            <w:tcW w:w="1800" w:type="dxa"/>
          </w:tcPr>
          <w:p>
            <w:pPr>
              <w:spacing w:before="40" w:after="40" w:line="240" w:lineRule="auto"/>
            </w:pPr>
            <w:r>
              <w:rPr>
                <w:color w:val="1A252F"/>
                <w:sz w:val="18"/>
              </w:rPr>
              <w:t xml:space="preserve">30,000,000+</w:t>
            </w:r>
          </w:p>
        </w:tc>
        <w:tc>
          <w:tcPr>
            <w:tcW w:w="1800" w:type="dxa"/>
          </w:tcPr>
          <w:p>
            <w:pPr>
              <w:spacing w:before="40" w:after="40" w:line="240" w:lineRule="auto"/>
            </w:pPr>
            <w:r>
              <w:rPr>
                <w:color w:val="1A252F"/>
                <w:sz w:val="18"/>
              </w:rPr>
              <w:t xml:space="preserve">58% non-payment rate + individual arbitration barriers</w:t>
            </w:r>
          </w:p>
        </w:tc>
        <w:tc>
          <w:tcPr>
            <w:tcW w:w="1800" w:type="dxa"/>
          </w:tcPr>
          <w:p>
            <w:pPr>
              <w:spacing w:before="40" w:after="40" w:line="240" w:lineRule="auto"/>
            </w:pPr>
            <w:r>
              <w:rPr>
                <w:color w:val="1A252F"/>
                <w:sz w:val="18"/>
              </w:rPr>
              <w:t xml:space="preserve">Fee structure complexity; account bans with fund lockouts</w:t>
            </w:r>
          </w:p>
        </w:tc>
      </w:tr>
      <w:tr>
        <w:tc>
          <w:tcPr>
            <w:tcW w:w="1800" w:type="dxa"/>
          </w:tcPr>
          <w:p>
            <w:pPr>
              <w:spacing w:before="40" w:after="40" w:line="240" w:lineRule="auto"/>
            </w:pPr>
            <w:r>
              <w:rPr>
                <w:color w:val="1A252F"/>
                <w:sz w:val="18"/>
              </w:rPr>
              <w:t xml:space="preserve">3</w:t>
            </w:r>
          </w:p>
        </w:tc>
        <w:tc>
          <w:tcPr>
            <w:tcW w:w="1800" w:type="dxa"/>
          </w:tcPr>
          <w:p>
            <w:pPr>
              <w:spacing w:before="40" w:after="40" w:line="240" w:lineRule="auto"/>
            </w:pPr>
            <w:r>
              <w:rPr>
                <w:color w:val="1A252F"/>
                <w:sz w:val="18"/>
              </w:rPr>
              <w:t xml:space="preserve">Remote Work/Contractor</w:t>
            </w:r>
          </w:p>
        </w:tc>
        <w:tc>
          <w:tcPr>
            <w:tcW w:w="1800" w:type="dxa"/>
          </w:tcPr>
          <w:p>
            <w:pPr>
              <w:spacing w:before="40" w:after="40" w:line="240" w:lineRule="auto"/>
            </w:pPr>
            <w:r>
              <w:rPr>
                <w:color w:val="1A252F"/>
                <w:sz w:val="18"/>
              </w:rPr>
              <w:t xml:space="preserve">10,000,000+</w:t>
            </w:r>
          </w:p>
        </w:tc>
        <w:tc>
          <w:tcPr>
            <w:tcW w:w="1800" w:type="dxa"/>
          </w:tcPr>
          <w:p>
            <w:pPr>
              <w:spacing w:before="40" w:after="40" w:line="240" w:lineRule="auto"/>
            </w:pPr>
            <w:r>
              <w:rPr>
                <w:color w:val="1A252F"/>
                <w:sz w:val="18"/>
              </w:rPr>
              <w:t xml:space="preserve">Cross-border enforcement gaps</w:t>
            </w:r>
          </w:p>
        </w:tc>
        <w:tc>
          <w:tcPr>
            <w:tcW w:w="1800" w:type="dxa"/>
          </w:tcPr>
          <w:p>
            <w:pPr>
              <w:spacing w:before="40" w:after="40" w:line="240" w:lineRule="auto"/>
            </w:pPr>
            <w:r>
              <w:rPr>
                <w:color w:val="1A252F"/>
                <w:sz w:val="18"/>
              </w:rPr>
              <w:t xml:space="preserve">FX markup opacity; multi-entity corporate structures</w:t>
            </w:r>
          </w:p>
        </w:tc>
      </w:tr>
      <w:tr>
        <w:tc>
          <w:tcPr>
            <w:tcW w:w="1800" w:type="dxa"/>
          </w:tcPr>
          <w:p>
            <w:pPr>
              <w:spacing w:before="40" w:after="40" w:line="240" w:lineRule="auto"/>
            </w:pPr>
            <w:r>
              <w:rPr>
                <w:color w:val="1A252F"/>
                <w:sz w:val="18"/>
              </w:rPr>
              <w:t xml:space="preserve">4</w:t>
            </w:r>
          </w:p>
        </w:tc>
        <w:tc>
          <w:tcPr>
            <w:tcW w:w="1800" w:type="dxa"/>
          </w:tcPr>
          <w:p>
            <w:pPr>
              <w:spacing w:before="40" w:after="40" w:line="240" w:lineRule="auto"/>
            </w:pPr>
            <w:r>
              <w:rPr>
                <w:color w:val="1A252F"/>
                <w:sz w:val="18"/>
              </w:rPr>
              <w:t xml:space="preserve">Delivery/Ride-Hailing</w:t>
            </w:r>
          </w:p>
        </w:tc>
        <w:tc>
          <w:tcPr>
            <w:tcW w:w="1800" w:type="dxa"/>
          </w:tcPr>
          <w:p>
            <w:pPr>
              <w:spacing w:before="40" w:after="40" w:line="240" w:lineRule="auto"/>
            </w:pPr>
            <w:r>
              <w:rPr>
                <w:color w:val="1A252F"/>
                <w:sz w:val="18"/>
              </w:rPr>
              <w:t xml:space="preserve">2,000,000+</w:t>
            </w:r>
          </w:p>
        </w:tc>
        <w:tc>
          <w:tcPr>
            <w:tcW w:w="1800" w:type="dxa"/>
          </w:tcPr>
          <w:p>
            <w:pPr>
              <w:spacing w:before="40" w:after="40" w:line="240" w:lineRule="auto"/>
            </w:pPr>
            <w:r>
              <w:rPr>
                <w:color w:val="1A252F"/>
                <w:sz w:val="18"/>
              </w:rPr>
              <w:t xml:space="preserve">High enforcement but vast workforce</w:t>
            </w:r>
          </w:p>
        </w:tc>
        <w:tc>
          <w:tcPr>
            <w:tcW w:w="1800" w:type="dxa"/>
          </w:tcPr>
          <w:p>
            <w:pPr>
              <w:spacing w:before="40" w:after="40" w:line="240" w:lineRule="auto"/>
            </w:pPr>
            <w:r>
              <w:rPr>
                <w:color w:val="1A252F"/>
                <w:sz w:val="18"/>
              </w:rPr>
              <w:t xml:space="preserve">Prop 22 carve-out; algorithmic pay suppression</w:t>
            </w:r>
          </w:p>
        </w:tc>
      </w:tr>
    </w:tbl>
    <w:p>
      <w:pPr>
        <w:spacing w:after="200"/>
      </w:pPr>
    </w:p>
    <w:p>
      <w:pPr>
        <w:spacing w:before="40" w:after="160"/>
      </w:pPr>
      <w:r>
        <w:rPr>
          <w:i/>
          <w:color w:val="7F8C8D"/>
          <w:sz w:val="22"/>
        </w:rPr>
        <w:t xml:space="preserve">Unresolved case estimates project from complaint rates in academic surveys and platform worker populations. AI estimate from Oxford Economics </w:t>
      </w:r>
      <w:r>
        <w:rPr>
          <w:color w:val="C0392B"/>
          <w:sz w:val="16"/>
          <w:vertAlign w:val="superscript"/>
        </w:rPr>
        <w:t xml:space="preserve">[46]</w:t>
      </w:r>
      <w:r>
        <w:rPr>
          <w:i/>
          <w:color w:val="7F8C8D"/>
          <w:sz w:val="22"/>
        </w:rPr>
        <w:t xml:space="preserve"> and AlgorithmWatch </w:t>
      </w:r>
      <w:r>
        <w:rPr>
          <w:color w:val="C0392B"/>
          <w:sz w:val="16"/>
          <w:vertAlign w:val="superscript"/>
        </w:rPr>
        <w:t xml:space="preserve">[40]</w:t>
      </w:r>
      <w:r>
        <w:rPr>
          <w:i/>
          <w:color w:val="7F8C8D"/>
          <w:sz w:val="22"/>
        </w:rPr>
        <w:t xml:space="preserve">; freelance from Payoneer </w:t>
      </w:r>
      <w:r>
        <w:rPr>
          <w:color w:val="C0392B"/>
          <w:sz w:val="16"/>
          <w:vertAlign w:val="superscript"/>
        </w:rPr>
        <w:t xml:space="preserve">[535]</w:t>
      </w:r>
      <w:r>
        <w:rPr>
          <w:i/>
          <w:color w:val="7F8C8D"/>
          <w:sz w:val="22"/>
        </w:rPr>
        <w:t xml:space="preserve"> and Bonsai </w:t>
      </w:r>
      <w:r>
        <w:rPr>
          <w:color w:val="C0392B"/>
          <w:sz w:val="16"/>
          <w:vertAlign w:val="superscript"/>
        </w:rPr>
        <w:t xml:space="preserve">[522]</w:t>
      </w:r>
      <w:r>
        <w:rPr>
          <w:i/>
          <w:color w:val="7F8C8D"/>
          <w:sz w:val="22"/>
        </w:rPr>
        <w:t xml:space="preserve">; remote work from Remote.com </w:t>
      </w:r>
      <w:r>
        <w:rPr>
          <w:color w:val="C0392B"/>
          <w:sz w:val="16"/>
          <w:vertAlign w:val="superscript"/>
        </w:rPr>
        <w:t xml:space="preserve">[519]</w:t>
      </w:r>
      <w:r>
        <w:rPr>
          <w:i/>
          <w:color w:val="7F8C8D"/>
          <w:sz w:val="22"/>
        </w:rPr>
        <w:t xml:space="preserve">; delivery from World Bank </w:t>
      </w:r>
      <w:r>
        <w:rPr>
          <w:color w:val="C0392B"/>
          <w:sz w:val="16"/>
          <w:vertAlign w:val="superscript"/>
        </w:rPr>
        <w:t xml:space="preserve">[18]</w:t>
      </w:r>
      <w:r>
        <w:rPr>
          <w:i/>
          <w:color w:val="7F8C8D"/>
          <w:sz w:val="22"/>
        </w:rPr>
        <w:t xml:space="preserve"> and ILO </w:t>
      </w:r>
      <w:r>
        <w:rPr>
          <w:color w:val="C0392B"/>
          <w:sz w:val="16"/>
          <w:vertAlign w:val="superscript"/>
        </w:rPr>
        <w:t xml:space="preserve">[35]</w:t>
      </w:r>
      <w:r>
        <w:rPr>
          <w:i/>
          <w:color w:val="7F8C8D"/>
          <w:sz w:val="22"/>
        </w:rPr>
        <w:t xml:space="preserve">.</w:t>
      </w:r>
    </w:p>
    <w:p>
      <w:pPr>
        <w:spacing w:after="160" w:line="300" w:lineRule="auto"/>
      </w:pPr>
      <w:r>
        <w:rPr>
          <w:color w:val="1A252F"/>
          <w:sz w:val="22"/>
        </w:rPr>
        <w:t xml:space="preserve">The AI platform unresolved-case figure — 400,000-plus — represents an estimated 80% of the global data annotation workforce that has no viable complaint pathway. This includes the 200,000 U.S. workers earning sub-minimum wages on MTurk, Appen, Remotasks, and Toloka </w:t>
      </w:r>
      <w:r>
        <w:rPr>
          <w:color w:val="C0392B"/>
          <w:sz w:val="16"/>
          <w:vertAlign w:val="superscript"/>
        </w:rPr>
        <w:t xml:space="preserve">[18]</w:t>
      </w:r>
      <w:r>
        <w:rPr>
          <w:color w:val="1A252F"/>
          <w:sz w:val="22"/>
        </w:rPr>
        <w:t xml:space="preserve"> </w:t>
      </w:r>
      <w:r>
        <w:rPr>
          <w:color w:val="C0392B"/>
          <w:sz w:val="16"/>
          <w:vertAlign w:val="superscript"/>
        </w:rPr>
        <w:t xml:space="preserve">[30]</w:t>
      </w:r>
      <w:r>
        <w:rPr>
          <w:color w:val="1A252F"/>
          <w:sz w:val="22"/>
        </w:rPr>
        <w:t xml:space="preserve">, plus several hundred thousand workers in Kenya, India, the Philippines, and Venezuela earning $1.32–$3 per hour for tasks priced at $15–$40 in U.S. markets </w:t>
      </w:r>
      <w:r>
        <w:rPr>
          <w:color w:val="C0392B"/>
          <w:sz w:val="16"/>
          <w:vertAlign w:val="superscript"/>
        </w:rPr>
        <w:t xml:space="preserve">[12]</w:t>
      </w:r>
      <w:r>
        <w:rPr>
          <w:color w:val="1A252F"/>
          <w:sz w:val="22"/>
        </w:rPr>
        <w:t xml:space="preserve"> </w:t>
      </w:r>
      <w:r>
        <w:rPr>
          <w:color w:val="C0392B"/>
          <w:sz w:val="16"/>
          <w:vertAlign w:val="superscript"/>
        </w:rPr>
        <w:t xml:space="preserve">[26]</w:t>
      </w:r>
      <w:r>
        <w:rPr>
          <w:color w:val="1A252F"/>
          <w:sz w:val="22"/>
        </w:rPr>
        <w:t xml:space="preserve"> </w:t>
      </w:r>
      <w:r>
        <w:rPr>
          <w:color w:val="C0392B"/>
          <w:sz w:val="16"/>
          <w:vertAlign w:val="superscript"/>
        </w:rPr>
        <w:t xml:space="preserve">[40]</w:t>
      </w:r>
      <w:r>
        <w:rPr>
          <w:color w:val="1A252F"/>
          <w:sz w:val="22"/>
        </w:rPr>
        <w:t xml:space="preserve">. The category's unresolved-case volume is lower in absolute terms than freelance or remote work, but the resolution gap — the ratio of unresolved cases to resolved cases — is the widest of any category. In the four Scale AI lawsuits, approximately 10,000–20,000 California workers sought class representation </w:t>
      </w:r>
      <w:r>
        <w:rPr>
          <w:color w:val="C0392B"/>
          <w:sz w:val="16"/>
          <w:vertAlign w:val="superscript"/>
        </w:rPr>
        <w:t xml:space="preserve">[1]</w:t>
      </w:r>
      <w:r>
        <w:rPr>
          <w:color w:val="1A252F"/>
          <w:sz w:val="22"/>
        </w:rPr>
        <w:t xml:space="preserve">; the undisclosed settlements cover only that subset, leaving the global Scale AI/Remotasks/Outlier workforce of tens of thousands with no mechanism.</w:t>
      </w:r>
    </w:p>
    <w:p>
      <w:pPr>
        <w:spacing w:after="160" w:line="300" w:lineRule="auto"/>
      </w:pPr>
      <w:r>
        <w:rPr>
          <w:color w:val="1A252F"/>
          <w:sz w:val="22"/>
        </w:rPr>
        <w:t xml:space="preserve">Freelance platforms' 30 million-plus unresolved cases derive primarily from the 58% non-payment rate </w:t>
      </w:r>
      <w:r>
        <w:rPr>
          <w:color w:val="C0392B"/>
          <w:sz w:val="16"/>
          <w:vertAlign w:val="superscript"/>
        </w:rPr>
        <w:t xml:space="preserve">[535]</w:t>
      </w:r>
      <w:r>
        <w:rPr>
          <w:color w:val="1A252F"/>
          <w:sz w:val="22"/>
        </w:rPr>
        <w:t xml:space="preserve"> applied to a global freelance population the World Bank estimates at 154–435 million </w:t>
      </w:r>
      <w:r>
        <w:rPr>
          <w:color w:val="C0392B"/>
          <w:sz w:val="16"/>
          <w:vertAlign w:val="superscript"/>
        </w:rPr>
        <w:t xml:space="preserve">[18]</w:t>
      </w:r>
      <w:r>
        <w:rPr>
          <w:color w:val="1A252F"/>
          <w:sz w:val="22"/>
        </w:rPr>
        <w:t xml:space="preserve">. Even if only the most active 52 million workers are counted </w:t>
      </w:r>
      <w:r>
        <w:rPr>
          <w:color w:val="C0392B"/>
          <w:sz w:val="16"/>
          <w:vertAlign w:val="superscript"/>
        </w:rPr>
        <w:t xml:space="preserve">[20]</w:t>
      </w:r>
      <w:r>
        <w:rPr>
          <w:color w:val="1A252F"/>
          <w:sz w:val="22"/>
        </w:rPr>
        <w:t xml:space="preserve">, the 58% non-payment rate implies 30 million workers experiencing theft annually. The barrier is not legal complexity but economic rationality: the median freelance dispute is under $500, making individual arbitration or litigation economically irrational.</w:t>
      </w:r>
    </w:p>
    <w:p>
      <w:pPr>
        <w:spacing w:after="160" w:line="300" w:lineRule="auto"/>
      </w:pPr>
      <w:r>
        <w:rPr>
          <w:color w:val="1A252F"/>
          <w:sz w:val="22"/>
        </w:rPr>
        <w:t xml:space="preserve">The delivery category's lower unresolved-case ranking reflects its higher resolution rate, not lower underlying harm. Millions of delivery workers remain underpaid — the Bureau of Investigative Journalism found 41% of Deliveroo riders below UK minimum wage </w:t>
      </w:r>
      <w:r>
        <w:rPr>
          <w:color w:val="C0392B"/>
          <w:sz w:val="16"/>
          <w:vertAlign w:val="superscript"/>
        </w:rPr>
        <w:t xml:space="preserve">[23]</w:t>
      </w:r>
      <w:r>
        <w:rPr>
          <w:color w:val="1A252F"/>
          <w:sz w:val="22"/>
        </w:rPr>
        <w:t xml:space="preserve">, and Cornell ILR documented NYC delivery workers at $7.87 net hourly pay versus a $15 minimum </w:t>
      </w:r>
      <w:r>
        <w:rPr>
          <w:color w:val="C0392B"/>
          <w:sz w:val="16"/>
          <w:vertAlign w:val="superscript"/>
        </w:rPr>
        <w:t xml:space="preserve">[32]</w:t>
      </w:r>
      <w:r>
        <w:rPr>
          <w:color w:val="1A252F"/>
          <w:sz w:val="22"/>
        </w:rPr>
        <w:t xml:space="preserve">. But the category's mature organizing infrastructure converts a larger share of those grievances into enforceable claims.</w:t>
      </w:r>
    </w:p>
    <w:p>
      <w:pPr>
        <w:pStyle w:val="Heading3"/>
      </w:pPr>
      <w:r>
        <w:rPr>
          <w:color w:val="1A252F"/>
          <w:sz w:val="22"/>
        </w:rPr>
        <w:t xml:space="preserve">2.4 Synthesis: Implications for Category Prioritization</w:t>
      </w:r>
    </w:p>
    <w:p>
      <w:pPr>
        <w:spacing w:after="160" w:line="300" w:lineRule="auto"/>
      </w:pPr>
      <w:r>
        <w:rPr>
          <w:color w:val="1A252F"/>
          <w:sz w:val="22"/>
        </w:rPr>
        <w:t xml:space="preserve">The aggregate data yield a clear prioritization framework. </w:t>
      </w:r>
      <w:r>
        <w:rPr>
          <w:b/>
          <w:color w:val="1A252F"/>
          <w:sz w:val="22"/>
        </w:rPr>
        <w:t xml:space="preserve">AI data labeling platforms</w:t>
      </w:r>
      <w:r>
        <w:rPr>
          <w:color w:val="1A252F"/>
          <w:sz w:val="22"/>
        </w:rPr>
        <w:t xml:space="preserve"> combine the highest exploitation density per worker, the widest resolution gap, the lowest existing collective action infrastructure, and the most direct connection to reputation-sensitive trillion-dollar technology companies. A wage claim against Scale AI or Surge AI implicates not merely the platform but the AI systems built by OpenAI, Meta, and Google that depend on that labor. The EU Platform Work Directive's explicit coverage of "remote micro-tasks and online freelancing" </w:t>
      </w:r>
      <w:r>
        <w:rPr>
          <w:color w:val="C0392B"/>
          <w:sz w:val="16"/>
          <w:vertAlign w:val="superscript"/>
        </w:rPr>
        <w:t xml:space="preserve">[45]</w:t>
      </w:r>
      <w:r>
        <w:rPr>
          <w:color w:val="1A252F"/>
          <w:sz w:val="22"/>
        </w:rPr>
        <w:t xml:space="preserve"> creates a regulatory opening that did not exist before December 2024, but enforcement infrastructure remains unbuilt.</w:t>
      </w:r>
    </w:p>
    <w:p>
      <w:pPr>
        <w:spacing w:after="160" w:line="300" w:lineRule="auto"/>
      </w:pPr>
      <w:r>
        <w:rPr>
          <w:b/>
          <w:color w:val="1A252F"/>
          <w:sz w:val="22"/>
        </w:rPr>
        <w:t xml:space="preserve">Freelance platforms</w:t>
      </w:r>
      <w:r>
        <w:rPr>
          <w:color w:val="1A252F"/>
          <w:sz w:val="22"/>
        </w:rPr>
        <w:t xml:space="preserve"> represent the largest total extraction by dollar volume but require a different intervention model. The $27–$35 billion annual theft is distributed across tens of millions of workers in sub-$500 increments, making individual litigation non-viable. The FTC's May 2025 "junk fees" rule </w:t>
      </w:r>
      <w:r>
        <w:rPr>
          <w:color w:val="C0392B"/>
          <w:sz w:val="16"/>
          <w:vertAlign w:val="superscript"/>
        </w:rPr>
        <w:t xml:space="preserve">[542]</w:t>
      </w:r>
      <w:r>
        <w:rPr>
          <w:color w:val="1A252F"/>
          <w:sz w:val="22"/>
        </w:rPr>
        <w:t xml:space="preserve"> provides a regulatory lever against drip pricing, and the EU Directive's transposition </w:t>
      </w:r>
      <w:r>
        <w:rPr>
          <w:color w:val="C0392B"/>
          <w:sz w:val="16"/>
          <w:vertAlign w:val="superscript"/>
        </w:rPr>
        <w:t xml:space="preserve">[93]</w:t>
      </w:r>
      <w:r>
        <w:rPr>
          <w:color w:val="1A252F"/>
          <w:sz w:val="22"/>
        </w:rPr>
        <w:t xml:space="preserve"> will eventually reach freelancer relationships, but the category's resolution rate will remain minimal without structural alternatives to individual arbitration.</w:t>
      </w:r>
    </w:p>
    <w:p>
      <w:pPr>
        <w:spacing w:after="160" w:line="300" w:lineRule="auto"/>
      </w:pPr>
      <w:r>
        <w:rPr>
          <w:b/>
          <w:color w:val="1A252F"/>
          <w:sz w:val="22"/>
        </w:rPr>
        <w:t xml:space="preserve">Delivery and ride-hailing</w:t>
      </w:r>
      <w:r>
        <w:rPr>
          <w:color w:val="1A252F"/>
          <w:sz w:val="22"/>
        </w:rPr>
        <w:t xml:space="preserve">, despite generating the most visible enforcement actions, still leave millions of workers underpaid. The California Supreme Court's July 2024 upholding of Proposition 22 </w:t>
      </w:r>
      <w:r>
        <w:rPr>
          <w:color w:val="C0392B"/>
          <w:sz w:val="16"/>
          <w:vertAlign w:val="superscript"/>
        </w:rPr>
        <w:t xml:space="preserve">[488]</w:t>
      </w:r>
      <w:r>
        <w:rPr>
          <w:color w:val="1A252F"/>
          <w:sz w:val="22"/>
        </w:rPr>
        <w:t xml:space="preserve"> entrenched the misclassification model for app-based drivers, and the CalMatters investigation found that 200 post-Prop 22 wage claims went unenforced because no agency had jurisdiction over independent contractors </w:t>
      </w:r>
      <w:r>
        <w:rPr>
          <w:color w:val="C0392B"/>
          <w:sz w:val="16"/>
          <w:vertAlign w:val="superscript"/>
        </w:rPr>
        <w:t xml:space="preserve">[676]</w:t>
      </w:r>
      <w:r>
        <w:rPr>
          <w:color w:val="1A252F"/>
          <w:sz w:val="22"/>
        </w:rPr>
        <w:t xml:space="preserve">. The $1.3 billion pre-Prop 22 action remains the best remaining lever for California drivers, but its December 2027 trial deadline </w:t>
      </w:r>
      <w:r>
        <w:rPr>
          <w:color w:val="C0392B"/>
          <w:sz w:val="16"/>
          <w:vertAlign w:val="superscript"/>
        </w:rPr>
        <w:t xml:space="preserve">[454]</w:t>
      </w:r>
      <w:r>
        <w:rPr>
          <w:color w:val="1A252F"/>
          <w:sz w:val="22"/>
        </w:rPr>
        <w:t xml:space="preserve"> means relief, if any, arrives years late.</w:t>
      </w:r>
    </w:p>
    <w:p>
      <w:pPr>
        <w:spacing w:after="160" w:line="300" w:lineRule="auto"/>
      </w:pPr>
      <w:r>
        <w:rPr>
          <w:b/>
          <w:color w:val="1A252F"/>
          <w:sz w:val="22"/>
        </w:rPr>
        <w:t xml:space="preserve">Remote work platforms</w:t>
      </w:r>
      <w:r>
        <w:rPr>
          <w:color w:val="1A252F"/>
          <w:sz w:val="22"/>
        </w:rPr>
        <w:t xml:space="preserve"> occupy a regulatory blind spot. The cross-border nature of the work, the opacity of FX markups, and the novelty of Employer-of-Record business models mean no jurisdiction has built dedicated enforcement capacity. New York's Freelance Isn't Free Act (effective August 2024) </w:t>
      </w:r>
      <w:r>
        <w:rPr>
          <w:color w:val="C0392B"/>
          <w:sz w:val="16"/>
          <w:vertAlign w:val="superscript"/>
        </w:rPr>
        <w:t xml:space="preserve">[567]</w:t>
      </w:r>
      <w:r>
        <w:rPr>
          <w:color w:val="1A252F"/>
          <w:sz w:val="22"/>
        </w:rPr>
        <w:t xml:space="preserve"> provides double damages for late payment, but its reach is limited to New York-based freelancers. The Deel DOJ criminal probe </w:t>
      </w:r>
      <w:r>
        <w:rPr>
          <w:color w:val="C0392B"/>
          <w:sz w:val="16"/>
          <w:vertAlign w:val="superscript"/>
        </w:rPr>
        <w:t xml:space="preserve">[559]</w:t>
      </w:r>
      <w:r>
        <w:rPr>
          <w:color w:val="1A252F"/>
          <w:sz w:val="22"/>
        </w:rPr>
        <w:t xml:space="preserve"> concerns corporate espionage rather than wage theft, and the company's class action on misclassification is in early stages </w:t>
      </w:r>
      <w:r>
        <w:rPr>
          <w:color w:val="C0392B"/>
          <w:sz w:val="16"/>
          <w:vertAlign w:val="superscript"/>
        </w:rPr>
        <w:t xml:space="preserve">[142]</w:t>
      </w:r>
      <w:r>
        <w:rPr>
          <w:color w:val="1A252F"/>
          <w:sz w:val="22"/>
        </w:rPr>
        <w:t xml:space="preserve">.</w:t>
      </w:r>
    </w:p>
    <w:p>
      <w:pPr>
        <w:spacing w:after="160" w:line="300" w:lineRule="auto"/>
      </w:pPr>
      <w:r>
        <w:rPr>
          <w:color w:val="1A252F"/>
          <w:sz w:val="22"/>
        </w:rPr>
        <w:t xml:space="preserve">Sindicato's category prioritization should follow the unresolved-case-volume ranking: AI platforms first, freelance second, remote work third, delivery fourth. This sequencing inverts the apparent urgency suggested by settlement totals — delivery's $544 million in confirmed recoveries makes it the most legally "mature" category, meaning the marginal value of additional intervention is lower than in categories where no enforcement infrastructure yet exists. The platforms with no collective action infrastructure and no regulatory regime represent not merely the highest exploitation risk but the highest opportunity for Sindicato's case-aggregation model to fill a structural void.</w:t>
      </w:r>
    </w:p>
    <w:p>
      <w:pPr>
        <w:spacing w:after="160" w:line="300" w:lineRule="auto"/>
      </w:pPr>
      <w:r>
        <w:rPr>
          <w:color w:val="1A252F"/>
          <w:sz w:val="22"/>
        </w:rPr>
        <w:t xml:space="preserve">-e </w:t>
      </w:r>
    </w:p>
    <w:p>
      <w:pPr>
        <w:pStyle w:val="Heading2"/>
      </w:pPr>
      <w:r>
        <w:rPr>
          <w:color w:val="1A252F"/>
          <w:sz w:val="22"/>
        </w:rPr>
        <w:t xml:space="preserve">3. Global Statistical Summary</w:t>
      </w:r>
    </w:p>
    <w:p>
      <w:pPr>
        <w:pStyle w:val="Heading3"/>
      </w:pPr>
      <w:r>
        <w:rPr>
          <w:color w:val="1A252F"/>
          <w:sz w:val="22"/>
        </w:rPr>
        <w:t xml:space="preserve">3.1 Estimated Total Annual Wage Theft</w:t>
      </w:r>
    </w:p>
    <w:p>
      <w:pPr>
        <w:spacing w:after="160" w:line="300" w:lineRule="auto"/>
      </w:pPr>
      <w:r>
        <w:rPr>
          <w:color w:val="1A252F"/>
          <w:sz w:val="22"/>
        </w:rPr>
        <w:t xml:space="preserve">The global gig economy extracts value from workers through a diversified portfolio of theft mechanisms: sub-minimum algorithmic pay, off-the-clock waiting time, stolen tips, denied benefits, and systematic misclassification. Quantifying the aggregate loss requires triangulating across government enforcement data, academic survey research, and litigation filings. No single dataset captures the full picture, but the convergence of independent estimates produces a defensible band.</w:t>
      </w:r>
    </w:p>
    <w:p>
      <w:pPr>
        <w:spacing w:after="160" w:line="300" w:lineRule="auto"/>
      </w:pPr>
      <w:r>
        <w:rPr>
          <w:color w:val="1A252F"/>
          <w:sz w:val="22"/>
        </w:rPr>
        <w:t xml:space="preserve">The Economic Policy Institute (EPI) estimates that the total cost of wage theft across all industries in the United States alone approaches </w:t>
      </w:r>
      <w:r>
        <w:rPr>
          <w:b/>
          <w:color w:val="1A252F"/>
          <w:sz w:val="22"/>
        </w:rPr>
        <w:t xml:space="preserve">$50 billion annually</w:t>
      </w:r>
      <w:r>
        <w:rPr>
          <w:color w:val="1A252F"/>
          <w:sz w:val="22"/>
        </w:rPr>
        <w:t xml:space="preserve">, derived from comparing Department of Labor recovery rates against the known gap between violations detected and violations committed.</w:t>
      </w:r>
      <w:r>
        <w:rPr>
          <w:color w:val="C0392B"/>
          <w:sz w:val="16"/>
          <w:vertAlign w:val="superscript"/>
        </w:rPr>
        <w:t xml:space="preserve">[924]</w:t>
      </w:r>
      <w:r>
        <w:rPr>
          <w:color w:val="1A252F"/>
          <w:sz w:val="22"/>
        </w:rPr>
        <w:t xml:space="preserve"> The EPI methodology extrapolates from the DOL Wage and Hour Division's recovery of $273 million in fiscal year 2024 for 152,000 workers,</w:t>
      </w:r>
      <w:r>
        <w:rPr>
          <w:color w:val="C0392B"/>
          <w:sz w:val="16"/>
          <w:vertAlign w:val="superscript"/>
        </w:rPr>
        <w:t xml:space="preserve">[742]</w:t>
      </w:r>
      <w:r>
        <w:rPr>
          <w:color w:val="1A252F"/>
          <w:sz w:val="22"/>
        </w:rPr>
        <w:t xml:space="preserve"> against survey data showing that 14% of gig workers earn below the federal minimum wage and 29% earn below their state minimum wage.</w:t>
      </w:r>
      <w:r>
        <w:rPr>
          <w:color w:val="C0392B"/>
          <w:sz w:val="16"/>
          <w:vertAlign w:val="superscript"/>
        </w:rPr>
        <w:t xml:space="preserve">[1]</w:t>
      </w:r>
      <w:r>
        <w:rPr>
          <w:color w:val="1A252F"/>
          <w:sz w:val="22"/>
        </w:rPr>
        <w:t xml:space="preserve"> Applied globally, this framework yields a conservative estimate of </w:t>
      </w:r>
      <w:r>
        <w:rPr>
          <w:b/>
          <w:color w:val="1A252F"/>
          <w:sz w:val="22"/>
        </w:rPr>
        <w:t xml:space="preserve">$50 billion+ in annual wage theft across all gig categories</w:t>
      </w:r>
      <w:r>
        <w:rPr>
          <w:color w:val="1A252F"/>
          <w:sz w:val="22"/>
        </w:rPr>
        <w:t xml:space="preserve">, recognizing that enforcement detection rates outside the United States are typically lower while exploitation rates in emerging markets are substantially higher.</w:t>
      </w:r>
    </w:p>
    <w:p>
      <w:pPr>
        <w:spacing w:after="160" w:line="300" w:lineRule="auto"/>
      </w:pPr>
      <w:r>
        <w:rPr>
          <w:color w:val="1A252F"/>
          <w:sz w:val="22"/>
        </w:rPr>
        <w:t xml:space="preserve">The scale of the affected population is equally staggering. The World Bank's </w:t>
      </w:r>
      <w:r>
        <w:rPr>
          <w:i/>
          <w:color w:val="1A252F"/>
          <w:sz w:val="22"/>
        </w:rPr>
        <w:t xml:space="preserve">Working Without Borders</w:t>
      </w:r>
      <w:r>
        <w:rPr>
          <w:color w:val="1A252F"/>
          <w:sz w:val="22"/>
        </w:rPr>
        <w:t xml:space="preserve"> report (2023) surveys the most comprehensive global estimate of gig worker populations, placing the upper bound at </w:t>
      </w:r>
      <w:r>
        <w:rPr>
          <w:b/>
          <w:color w:val="1A252F"/>
          <w:sz w:val="22"/>
        </w:rPr>
        <w:t xml:space="preserve">435 million online gig workers</w:t>
      </w:r>
      <w:r>
        <w:rPr>
          <w:color w:val="1A252F"/>
          <w:sz w:val="22"/>
        </w:rPr>
        <w:t xml:space="preserve"> — equivalent to 12% of the global labor force.</w:t>
      </w:r>
      <w:r>
        <w:rPr>
          <w:color w:val="C0392B"/>
          <w:sz w:val="16"/>
          <w:vertAlign w:val="superscript"/>
        </w:rPr>
        <w:t xml:space="preserve">[18]</w:t>
      </w:r>
      <w:r>
        <w:rPr>
          <w:color w:val="1A252F"/>
          <w:sz w:val="22"/>
        </w:rPr>
        <w:t xml:space="preserve"> Even the lower-bound data-science estimate of 154 million workers represents 4.4% of global employment.</w:t>
      </w:r>
      <w:r>
        <w:rPr>
          <w:color w:val="C0392B"/>
          <w:sz w:val="16"/>
          <w:vertAlign w:val="superscript"/>
        </w:rPr>
        <w:t xml:space="preserve">[18]</w:t>
      </w:r>
      <w:r>
        <w:rPr>
          <w:color w:val="1A252F"/>
          <w:sz w:val="22"/>
        </w:rPr>
        <w:t xml:space="preserve"> When adjusted for active participation rates, the World Bank identifies approximately </w:t>
      </w:r>
      <w:r>
        <w:rPr>
          <w:b/>
          <w:color w:val="1A252F"/>
          <w:sz w:val="22"/>
        </w:rPr>
        <w:t xml:space="preserve">52 million active gig workers</w:t>
      </w:r>
      <w:r>
        <w:rPr>
          <w:color w:val="1A252F"/>
          <w:sz w:val="22"/>
        </w:rPr>
        <w:t xml:space="preserve"> globally who derive meaningful income from platform labor.</w:t>
      </w:r>
      <w:r>
        <w:rPr>
          <w:color w:val="C0392B"/>
          <w:sz w:val="16"/>
          <w:vertAlign w:val="superscript"/>
        </w:rPr>
        <w:t xml:space="preserve">[20]</w:t>
      </w:r>
      <w:r>
        <w:rPr>
          <w:color w:val="1A252F"/>
          <w:sz w:val="22"/>
        </w:rPr>
        <w:t xml:space="preserve"> These workers cluster disproportionately in developing countries, where low- and middle-income economies account for 40% of traffic to gig platforms and workers earn roughly 60% less than their counterparts in developed economies for identical tasks.</w:t>
      </w:r>
      <w:r>
        <w:rPr>
          <w:color w:val="C0392B"/>
          <w:sz w:val="16"/>
          <w:vertAlign w:val="superscript"/>
        </w:rPr>
        <w:t xml:space="preserve">[21]</w:t>
      </w:r>
    </w:p>
    <w:p>
      <w:pPr>
        <w:spacing w:after="160" w:line="300" w:lineRule="auto"/>
      </w:pPr>
      <w:r>
        <w:rPr>
          <w:color w:val="1A252F"/>
          <w:sz w:val="22"/>
        </w:rPr>
        <w:t xml:space="preserve">Litigation has recovered only a fraction of stolen wages, but the documented totals already exceed $2 billion. The table below consolidates confirmed and pending recovery figures from government enforcement actions, court settlements, and class action resolutions across all jurisdictions tracked by the Sindicato research network.</w:t>
      </w:r>
    </w:p>
    <w:p>
      <w:pPr>
        <w:spacing w:before="80" w:after="160"/>
      </w:pPr>
      <w:r>
        <w:rPr>
          <w:b/>
          <w:color w:val="1A252F"/>
          <w:sz w:val="22"/>
        </w:rPr>
        <w:t xml:space="preserve">Table 3.1: Global Gig Worker Wage Theft — Headline Estimates and Recovery Totals</w:t>
      </w:r>
    </w:p>
    <w:tbl>
      <w:tblPr>
        <w:tblW w:w="5000" w:type="pct"/>
        <w:tblBorders>
          <w:top w:val="single" w:color="2C3E50" w:sz="12"/>
          <w:left w:val="nil"/>
          <w:bottom w:val="single" w:color="2C3E50" w:sz="12"/>
          <w:right w:val="nil"/>
          <w:insideH w:val="single" w:color="BDC3C7" w:sz="4"/>
          <w:insideV w:val="nil"/>
        </w:tblBorders>
        <w:tblLook w:val="04A0" w:firstRow="true"/>
      </w:tblPr>
      <w:tblGrid>
        <w:gridCol w:w="3000"/>
        <w:gridCol w:w="3000"/>
        <w:gridCol w:w="3000"/>
      </w:tblGrid>
      <w:tr>
        <w:trPr>
          <w:tblHeader/>
        </w:trPr>
        <w:tc>
          <w:tcPr>
            <w:tcW w:w="3000" w:type="dxa"/>
            <w:tcBorders>
              <w:bottom w:val="single" w:color="2C3E50" w:sz="6"/>
            </w:tcBorders>
            <w:shd w:val="clear" w:fill="EDF0F2"/>
          </w:tcPr>
          <w:p>
            <w:pPr>
              <w:spacing w:before="60" w:after="60"/>
            </w:pPr>
            <w:r>
              <w:rPr>
                <w:b/>
                <w:color w:val="1A252F"/>
                <w:sz w:val="18"/>
              </w:rPr>
              <w:t xml:space="preserve">Metric</w:t>
            </w:r>
          </w:p>
        </w:tc>
        <w:tc>
          <w:tcPr>
            <w:tcW w:w="3000" w:type="dxa"/>
            <w:tcBorders>
              <w:bottom w:val="single" w:color="2C3E50" w:sz="6"/>
            </w:tcBorders>
            <w:shd w:val="clear" w:fill="EDF0F2"/>
          </w:tcPr>
          <w:p>
            <w:pPr>
              <w:spacing w:before="60" w:after="60"/>
            </w:pPr>
            <w:r>
              <w:rPr>
                <w:b/>
                <w:color w:val="1A252F"/>
                <w:sz w:val="18"/>
              </w:rPr>
              <w:t xml:space="preserve">Estimate</w:t>
            </w:r>
          </w:p>
        </w:tc>
        <w:tc>
          <w:tcPr>
            <w:tcW w:w="3000" w:type="dxa"/>
            <w:tcBorders>
              <w:bottom w:val="single" w:color="2C3E50" w:sz="6"/>
            </w:tcBorders>
            <w:shd w:val="clear" w:fill="EDF0F2"/>
          </w:tcPr>
          <w:p>
            <w:pPr>
              <w:spacing w:before="60" w:after="60"/>
            </w:pPr>
            <w:r>
              <w:rPr>
                <w:b/>
                <w:color w:val="1A252F"/>
                <w:sz w:val="18"/>
              </w:rPr>
              <w:t xml:space="preserve">Source</w:t>
            </w:r>
          </w:p>
        </w:tc>
      </w:tr>
      <w:tr>
        <w:tc>
          <w:tcPr>
            <w:tcW w:w="3000" w:type="dxa"/>
          </w:tcPr>
          <w:p>
            <w:pPr>
              <w:spacing w:before="40" w:after="40" w:line="240" w:lineRule="auto"/>
            </w:pPr>
            <w:r>
              <w:rPr>
                <w:color w:val="1A252F"/>
                <w:sz w:val="18"/>
              </w:rPr>
              <w:t xml:space="preserve">Total online gig workers (upper bound)</w:t>
            </w:r>
          </w:p>
        </w:tc>
        <w:tc>
          <w:tcPr>
            <w:tcW w:w="3000" w:type="dxa"/>
          </w:tcPr>
          <w:p>
            <w:pPr>
              <w:spacing w:before="40" w:after="40" w:line="240" w:lineRule="auto"/>
            </w:pPr>
            <w:r>
              <w:rPr>
                <w:color w:val="1A252F"/>
                <w:sz w:val="18"/>
              </w:rPr>
              <w:t xml:space="preserve">435 million (12% of global labor force)</w:t>
            </w:r>
          </w:p>
        </w:tc>
        <w:tc>
          <w:tcPr>
            <w:tcW w:w="3000" w:type="dxa"/>
          </w:tcPr>
          <w:p>
            <w:pPr>
              <w:spacing w:before="40" w:after="40" w:line="240" w:lineRule="auto"/>
            </w:pPr>
            <w:r>
              <w:rPr>
                <w:color w:val="1A252F"/>
                <w:sz w:val="18"/>
              </w:rPr>
              <w:t xml:space="preserve">World Bank (2023) </w:t>
            </w:r>
            <w:r>
              <w:rPr>
                <w:color w:val="C0392B"/>
                <w:sz w:val="16"/>
                <w:vertAlign w:val="superscript"/>
              </w:rPr>
              <w:t xml:space="preserve">[18]</w:t>
            </w:r>
          </w:p>
        </w:tc>
      </w:tr>
      <w:tr>
        <w:tc>
          <w:tcPr>
            <w:tcW w:w="3000" w:type="dxa"/>
          </w:tcPr>
          <w:p>
            <w:pPr>
              <w:spacing w:before="40" w:after="40" w:line="240" w:lineRule="auto"/>
            </w:pPr>
            <w:r>
              <w:rPr>
                <w:color w:val="1A252F"/>
                <w:sz w:val="18"/>
              </w:rPr>
              <w:t xml:space="preserve">Active gig workers globally</w:t>
            </w:r>
          </w:p>
        </w:tc>
        <w:tc>
          <w:tcPr>
            <w:tcW w:w="3000" w:type="dxa"/>
          </w:tcPr>
          <w:p>
            <w:pPr>
              <w:spacing w:before="40" w:after="40" w:line="240" w:lineRule="auto"/>
            </w:pPr>
            <w:r>
              <w:rPr>
                <w:color w:val="1A252F"/>
                <w:sz w:val="18"/>
              </w:rPr>
              <w:t xml:space="preserve">52 million</w:t>
            </w:r>
          </w:p>
        </w:tc>
        <w:tc>
          <w:tcPr>
            <w:tcW w:w="3000" w:type="dxa"/>
          </w:tcPr>
          <w:p>
            <w:pPr>
              <w:spacing w:before="40" w:after="40" w:line="240" w:lineRule="auto"/>
            </w:pPr>
            <w:r>
              <w:rPr>
                <w:color w:val="1A252F"/>
                <w:sz w:val="18"/>
              </w:rPr>
              <w:t xml:space="preserve">World Bank (2023) </w:t>
            </w:r>
            <w:r>
              <w:rPr>
                <w:color w:val="C0392B"/>
                <w:sz w:val="16"/>
                <w:vertAlign w:val="superscript"/>
              </w:rPr>
              <w:t xml:space="preserve">[20]</w:t>
            </w:r>
          </w:p>
        </w:tc>
      </w:tr>
      <w:tr>
        <w:tc>
          <w:tcPr>
            <w:tcW w:w="3000" w:type="dxa"/>
          </w:tcPr>
          <w:p>
            <w:pPr>
              <w:spacing w:before="40" w:after="40" w:line="240" w:lineRule="auto"/>
            </w:pPr>
            <w:r>
              <w:rPr>
                <w:color w:val="1A252F"/>
                <w:sz w:val="18"/>
              </w:rPr>
              <w:t xml:space="preserve">Estimated annual wage theft (all gig categories)</w:t>
            </w:r>
          </w:p>
        </w:tc>
        <w:tc>
          <w:tcPr>
            <w:tcW w:w="3000" w:type="dxa"/>
          </w:tcPr>
          <w:p>
            <w:pPr>
              <w:spacing w:before="40" w:after="40" w:line="240" w:lineRule="auto"/>
            </w:pPr>
            <w:r>
              <w:rPr>
                <w:color w:val="1A252F"/>
                <w:sz w:val="18"/>
              </w:rPr>
              <w:t xml:space="preserve">$50 billion+ (EPI methodology)</w:t>
            </w:r>
          </w:p>
        </w:tc>
        <w:tc>
          <w:tcPr>
            <w:tcW w:w="3000" w:type="dxa"/>
          </w:tcPr>
          <w:p>
            <w:pPr>
              <w:spacing w:before="40" w:after="40" w:line="240" w:lineRule="auto"/>
            </w:pPr>
            <w:r>
              <w:rPr>
                <w:color w:val="1A252F"/>
                <w:sz w:val="18"/>
              </w:rPr>
              <w:t xml:space="preserve">Working Now and Then/EPI </w:t>
            </w:r>
            <w:r>
              <w:rPr>
                <w:color w:val="C0392B"/>
                <w:sz w:val="16"/>
                <w:vertAlign w:val="superscript"/>
              </w:rPr>
              <w:t xml:space="preserve">[924]</w:t>
            </w:r>
          </w:p>
        </w:tc>
      </w:tr>
      <w:tr>
        <w:tc>
          <w:tcPr>
            <w:tcW w:w="3000" w:type="dxa"/>
          </w:tcPr>
          <w:p>
            <w:pPr>
              <w:spacing w:before="40" w:after="40" w:line="240" w:lineRule="auto"/>
            </w:pPr>
            <w:r>
              <w:rPr>
                <w:color w:val="1A252F"/>
                <w:sz w:val="18"/>
              </w:rPr>
              <w:t xml:space="preserve">US gig workers below federal minimum wage</w:t>
            </w:r>
          </w:p>
        </w:tc>
        <w:tc>
          <w:tcPr>
            <w:tcW w:w="3000" w:type="dxa"/>
          </w:tcPr>
          <w:p>
            <w:pPr>
              <w:spacing w:before="40" w:after="40" w:line="240" w:lineRule="auto"/>
            </w:pPr>
            <w:r>
              <w:rPr>
                <w:color w:val="1A252F"/>
                <w:sz w:val="18"/>
              </w:rPr>
              <w:t xml:space="preserve">14%</w:t>
            </w:r>
          </w:p>
        </w:tc>
        <w:tc>
          <w:tcPr>
            <w:tcW w:w="3000" w:type="dxa"/>
          </w:tcPr>
          <w:p>
            <w:pPr>
              <w:spacing w:before="40" w:after="40" w:line="240" w:lineRule="auto"/>
            </w:pPr>
            <w:r>
              <w:rPr>
                <w:color w:val="1A252F"/>
                <w:sz w:val="18"/>
              </w:rPr>
              <w:t xml:space="preserve">Shift Project/EPI </w:t>
            </w:r>
            <w:r>
              <w:rPr>
                <w:color w:val="C0392B"/>
                <w:sz w:val="16"/>
                <w:vertAlign w:val="superscript"/>
              </w:rPr>
              <w:t xml:space="preserve">[1]</w:t>
            </w:r>
          </w:p>
        </w:tc>
      </w:tr>
      <w:tr>
        <w:tc>
          <w:tcPr>
            <w:tcW w:w="3000" w:type="dxa"/>
          </w:tcPr>
          <w:p>
            <w:pPr>
              <w:spacing w:before="40" w:after="40" w:line="240" w:lineRule="auto"/>
            </w:pPr>
            <w:r>
              <w:rPr>
                <w:color w:val="1A252F"/>
                <w:sz w:val="18"/>
              </w:rPr>
              <w:t xml:space="preserve">US gig workers below state minimum wage</w:t>
            </w:r>
          </w:p>
        </w:tc>
        <w:tc>
          <w:tcPr>
            <w:tcW w:w="3000" w:type="dxa"/>
          </w:tcPr>
          <w:p>
            <w:pPr>
              <w:spacing w:before="40" w:after="40" w:line="240" w:lineRule="auto"/>
            </w:pPr>
            <w:r>
              <w:rPr>
                <w:color w:val="1A252F"/>
                <w:sz w:val="18"/>
              </w:rPr>
              <w:t xml:space="preserve">29%</w:t>
            </w:r>
          </w:p>
        </w:tc>
        <w:tc>
          <w:tcPr>
            <w:tcW w:w="3000" w:type="dxa"/>
          </w:tcPr>
          <w:p>
            <w:pPr>
              <w:spacing w:before="40" w:after="40" w:line="240" w:lineRule="auto"/>
            </w:pPr>
            <w:r>
              <w:rPr>
                <w:color w:val="1A252F"/>
                <w:sz w:val="18"/>
              </w:rPr>
              <w:t xml:space="preserve">Shift Project/EPI </w:t>
            </w:r>
            <w:r>
              <w:rPr>
                <w:color w:val="C0392B"/>
                <w:sz w:val="16"/>
                <w:vertAlign w:val="superscript"/>
              </w:rPr>
              <w:t xml:space="preserve">[1]</w:t>
            </w:r>
          </w:p>
        </w:tc>
      </w:tr>
      <w:tr>
        <w:tc>
          <w:tcPr>
            <w:tcW w:w="3000" w:type="dxa"/>
          </w:tcPr>
          <w:p>
            <w:pPr>
              <w:spacing w:before="40" w:after="40" w:line="240" w:lineRule="auto"/>
            </w:pPr>
            <w:r>
              <w:rPr>
                <w:color w:val="1A252F"/>
                <w:sz w:val="18"/>
              </w:rPr>
              <w:t xml:space="preserve">UK gig workers below minimum wage</w:t>
            </w:r>
          </w:p>
        </w:tc>
        <w:tc>
          <w:tcPr>
            <w:tcW w:w="3000" w:type="dxa"/>
          </w:tcPr>
          <w:p>
            <w:pPr>
              <w:spacing w:before="40" w:after="40" w:line="240" w:lineRule="auto"/>
            </w:pPr>
            <w:r>
              <w:rPr>
                <w:color w:val="1A252F"/>
                <w:sz w:val="18"/>
              </w:rPr>
              <w:t xml:space="preserve">52%</w:t>
            </w:r>
          </w:p>
        </w:tc>
        <w:tc>
          <w:tcPr>
            <w:tcW w:w="3000" w:type="dxa"/>
          </w:tcPr>
          <w:p>
            <w:pPr>
              <w:spacing w:before="40" w:after="40" w:line="240" w:lineRule="auto"/>
            </w:pPr>
            <w:r>
              <w:rPr>
                <w:color w:val="1A252F"/>
                <w:sz w:val="18"/>
              </w:rPr>
              <w:t xml:space="preserve">University of Bristol </w:t>
            </w:r>
            <w:r>
              <w:rPr>
                <w:color w:val="C0392B"/>
                <w:sz w:val="16"/>
                <w:vertAlign w:val="superscript"/>
              </w:rPr>
              <w:t xml:space="preserve">[25]</w:t>
            </w:r>
          </w:p>
        </w:tc>
      </w:tr>
      <w:tr>
        <w:tc>
          <w:tcPr>
            <w:tcW w:w="3000" w:type="dxa"/>
          </w:tcPr>
          <w:p>
            <w:pPr>
              <w:spacing w:before="40" w:after="40" w:line="240" w:lineRule="auto"/>
            </w:pPr>
            <w:r>
              <w:rPr>
                <w:color w:val="1A252F"/>
                <w:sz w:val="18"/>
              </w:rPr>
              <w:t xml:space="preserve">NYC delivery workers net pay (vs. $15 minimum)</w:t>
            </w:r>
          </w:p>
        </w:tc>
        <w:tc>
          <w:tcPr>
            <w:tcW w:w="3000" w:type="dxa"/>
          </w:tcPr>
          <w:p>
            <w:pPr>
              <w:spacing w:before="40" w:after="40" w:line="240" w:lineRule="auto"/>
            </w:pPr>
            <w:r>
              <w:rPr>
                <w:color w:val="1A252F"/>
                <w:sz w:val="18"/>
              </w:rPr>
              <w:t xml:space="preserve">$7.87/hour</w:t>
            </w:r>
          </w:p>
        </w:tc>
        <w:tc>
          <w:tcPr>
            <w:tcW w:w="3000" w:type="dxa"/>
          </w:tcPr>
          <w:p>
            <w:pPr>
              <w:spacing w:before="40" w:after="40" w:line="240" w:lineRule="auto"/>
            </w:pPr>
            <w:r>
              <w:rPr>
                <w:color w:val="1A252F"/>
                <w:sz w:val="18"/>
              </w:rPr>
              <w:t xml:space="preserve">Cornell ILR/WJP </w:t>
            </w:r>
            <w:r>
              <w:rPr>
                <w:color w:val="C0392B"/>
                <w:sz w:val="16"/>
                <w:vertAlign w:val="superscript"/>
              </w:rPr>
              <w:t xml:space="preserve">[32]</w:t>
            </w:r>
          </w:p>
        </w:tc>
      </w:tr>
      <w:tr>
        <w:tc>
          <w:tcPr>
            <w:tcW w:w="3000" w:type="dxa"/>
          </w:tcPr>
          <w:p>
            <w:pPr>
              <w:spacing w:before="40" w:after="40" w:line="240" w:lineRule="auto"/>
            </w:pPr>
            <w:r>
              <w:rPr>
                <w:color w:val="1A252F"/>
                <w:sz w:val="18"/>
              </w:rPr>
              <w:t xml:space="preserve">Confirmed class action settlements (2021-2025)</w:t>
            </w:r>
          </w:p>
        </w:tc>
        <w:tc>
          <w:tcPr>
            <w:tcW w:w="3000" w:type="dxa"/>
          </w:tcPr>
          <w:p>
            <w:pPr>
              <w:spacing w:before="40" w:after="40" w:line="240" w:lineRule="auto"/>
            </w:pPr>
            <w:r>
              <w:rPr>
                <w:color w:val="1A252F"/>
                <w:sz w:val="18"/>
              </w:rPr>
              <w:t xml:space="preserve">$2 billion+</w:t>
            </w:r>
          </w:p>
        </w:tc>
        <w:tc>
          <w:tcPr>
            <w:tcW w:w="3000" w:type="dxa"/>
          </w:tcPr>
          <w:p>
            <w:pPr>
              <w:spacing w:before="40" w:after="40" w:line="240" w:lineRule="auto"/>
            </w:pPr>
            <w:r>
              <w:rPr>
                <w:color w:val="1A252F"/>
                <w:sz w:val="18"/>
              </w:rPr>
              <w:t xml:space="preserve">Sindicato litigation tracker </w:t>
            </w:r>
            <w:r>
              <w:rPr>
                <w:color w:val="C0392B"/>
                <w:sz w:val="16"/>
                <w:vertAlign w:val="superscript"/>
              </w:rPr>
              <w:t xml:space="preserve">[285]</w:t>
            </w:r>
            <w:r>
              <w:rPr>
                <w:color w:val="1A252F"/>
                <w:sz w:val="18"/>
              </w:rPr>
              <w:t xml:space="preserve"> </w:t>
            </w:r>
            <w:r>
              <w:rPr>
                <w:color w:val="C0392B"/>
                <w:sz w:val="16"/>
                <w:vertAlign w:val="superscript"/>
              </w:rPr>
              <w:t xml:space="preserve">[608]</w:t>
            </w:r>
            <w:r>
              <w:rPr>
                <w:color w:val="1A252F"/>
                <w:sz w:val="18"/>
              </w:rPr>
              <w:t xml:space="preserve"> </w:t>
            </w:r>
            <w:r>
              <w:rPr>
                <w:color w:val="C0392B"/>
                <w:sz w:val="16"/>
                <w:vertAlign w:val="superscript"/>
              </w:rPr>
              <w:t xml:space="preserve">[390]</w:t>
            </w:r>
          </w:p>
        </w:tc>
      </w:tr>
      <w:tr>
        <w:tc>
          <w:tcPr>
            <w:tcW w:w="3000" w:type="dxa"/>
          </w:tcPr>
          <w:p>
            <w:pPr>
              <w:spacing w:before="40" w:after="40" w:line="240" w:lineRule="auto"/>
            </w:pPr>
            <w:r>
              <w:rPr>
                <w:color w:val="1A252F"/>
                <w:sz w:val="18"/>
              </w:rPr>
              <w:t xml:space="preserve">Pending California wage claims (pre-Prop 22)</w:t>
            </w:r>
          </w:p>
        </w:tc>
        <w:tc>
          <w:tcPr>
            <w:tcW w:w="3000" w:type="dxa"/>
          </w:tcPr>
          <w:p>
            <w:pPr>
              <w:spacing w:before="40" w:after="40" w:line="240" w:lineRule="auto"/>
            </w:pPr>
            <w:r>
              <w:rPr>
                <w:color w:val="1A252F"/>
                <w:sz w:val="18"/>
              </w:rPr>
              <w:t xml:space="preserve">$1.3 billion+</w:t>
            </w:r>
          </w:p>
        </w:tc>
        <w:tc>
          <w:tcPr>
            <w:tcW w:w="3000" w:type="dxa"/>
          </w:tcPr>
          <w:p>
            <w:pPr>
              <w:spacing w:before="40" w:after="40" w:line="240" w:lineRule="auto"/>
            </w:pPr>
            <w:r>
              <w:rPr>
                <w:color w:val="1A252F"/>
                <w:sz w:val="18"/>
              </w:rPr>
              <w:t xml:space="preserve">Rideshare Drivers United </w:t>
            </w:r>
            <w:r>
              <w:rPr>
                <w:color w:val="C0392B"/>
                <w:sz w:val="16"/>
                <w:vertAlign w:val="superscript"/>
              </w:rPr>
              <w:t xml:space="preserve">[184]</w:t>
            </w:r>
          </w:p>
        </w:tc>
      </w:tr>
      <w:tr>
        <w:tc>
          <w:tcPr>
            <w:tcW w:w="3000" w:type="dxa"/>
          </w:tcPr>
          <w:p>
            <w:pPr>
              <w:spacing w:before="40" w:after="40" w:line="240" w:lineRule="auto"/>
            </w:pPr>
            <w:r>
              <w:rPr>
                <w:color w:val="1A252F"/>
                <w:sz w:val="18"/>
              </w:rPr>
              <w:t xml:space="preserve">Total documented government recoveries (2021-2023)</w:t>
            </w:r>
          </w:p>
        </w:tc>
        <w:tc>
          <w:tcPr>
            <w:tcW w:w="3000" w:type="dxa"/>
          </w:tcPr>
          <w:p>
            <w:pPr>
              <w:spacing w:before="40" w:after="40" w:line="240" w:lineRule="auto"/>
            </w:pPr>
            <w:r>
              <w:rPr>
                <w:color w:val="1A252F"/>
                <w:sz w:val="18"/>
              </w:rPr>
              <w:t xml:space="preserve">$1.5 billion+</w:t>
            </w:r>
          </w:p>
        </w:tc>
        <w:tc>
          <w:tcPr>
            <w:tcW w:w="3000" w:type="dxa"/>
          </w:tcPr>
          <w:p>
            <w:pPr>
              <w:spacing w:before="40" w:after="40" w:line="240" w:lineRule="auto"/>
            </w:pPr>
            <w:r>
              <w:rPr>
                <w:color w:val="1A252F"/>
                <w:sz w:val="18"/>
              </w:rPr>
              <w:t xml:space="preserve">EPI/Common Dreams </w:t>
            </w:r>
            <w:r>
              <w:rPr>
                <w:color w:val="C0392B"/>
                <w:sz w:val="16"/>
                <w:vertAlign w:val="superscript"/>
              </w:rPr>
              <w:t xml:space="preserve">[744]</w:t>
            </w:r>
            <w:r>
              <w:rPr>
                <w:color w:val="1A252F"/>
                <w:sz w:val="18"/>
              </w:rPr>
              <w:t xml:space="preserve"> </w:t>
            </w:r>
            <w:r>
              <w:rPr>
                <w:color w:val="C0392B"/>
                <w:sz w:val="16"/>
                <w:vertAlign w:val="superscript"/>
              </w:rPr>
              <w:t xml:space="preserve">[748]</w:t>
            </w:r>
          </w:p>
        </w:tc>
      </w:tr>
      <w:tr>
        <w:tc>
          <w:tcPr>
            <w:tcW w:w="3000" w:type="dxa"/>
          </w:tcPr>
          <w:p>
            <w:pPr>
              <w:spacing w:before="40" w:after="40" w:line="240" w:lineRule="auto"/>
            </w:pPr>
            <w:r>
              <w:rPr>
                <w:color w:val="1A252F"/>
                <w:sz w:val="18"/>
              </w:rPr>
              <w:t xml:space="preserve">Microwork platform average hourly earnings</w:t>
            </w:r>
          </w:p>
        </w:tc>
        <w:tc>
          <w:tcPr>
            <w:tcW w:w="3000" w:type="dxa"/>
          </w:tcPr>
          <w:p>
            <w:pPr>
              <w:spacing w:before="40" w:after="40" w:line="240" w:lineRule="auto"/>
            </w:pPr>
            <w:r>
              <w:rPr>
                <w:color w:val="1A252F"/>
                <w:sz w:val="18"/>
              </w:rPr>
              <w:t xml:space="preserve">$3.30/hour</w:t>
            </w:r>
          </w:p>
        </w:tc>
        <w:tc>
          <w:tcPr>
            <w:tcW w:w="3000" w:type="dxa"/>
          </w:tcPr>
          <w:p>
            <w:pPr>
              <w:spacing w:before="40" w:after="40" w:line="240" w:lineRule="auto"/>
            </w:pPr>
            <w:r>
              <w:rPr>
                <w:color w:val="1A252F"/>
                <w:sz w:val="18"/>
              </w:rPr>
              <w:t xml:space="preserve">ILO WESO 2021 </w:t>
            </w:r>
            <w:r>
              <w:rPr>
                <w:color w:val="C0392B"/>
                <w:sz w:val="16"/>
                <w:vertAlign w:val="superscript"/>
              </w:rPr>
              <w:t xml:space="preserve">[21]</w:t>
            </w:r>
          </w:p>
        </w:tc>
      </w:tr>
      <w:tr>
        <w:tc>
          <w:tcPr>
            <w:tcW w:w="3000" w:type="dxa"/>
          </w:tcPr>
          <w:p>
            <w:pPr>
              <w:spacing w:before="40" w:after="40" w:line="240" w:lineRule="auto"/>
            </w:pPr>
            <w:r>
              <w:rPr>
                <w:color w:val="1A252F"/>
                <w:sz w:val="18"/>
              </w:rPr>
              <w:t xml:space="preserve">Fairwork US average platform fairness score</w:t>
            </w:r>
          </w:p>
        </w:tc>
        <w:tc>
          <w:tcPr>
            <w:tcW w:w="3000" w:type="dxa"/>
          </w:tcPr>
          <w:p>
            <w:pPr>
              <w:spacing w:before="40" w:after="40" w:line="240" w:lineRule="auto"/>
            </w:pPr>
            <w:r>
              <w:rPr>
                <w:color w:val="1A252F"/>
                <w:sz w:val="18"/>
              </w:rPr>
              <w:t xml:space="preserve">0.9 out of 10</w:t>
            </w:r>
          </w:p>
        </w:tc>
        <w:tc>
          <w:tcPr>
            <w:tcW w:w="3000" w:type="dxa"/>
          </w:tcPr>
          <w:p>
            <w:pPr>
              <w:spacing w:before="40" w:after="40" w:line="240" w:lineRule="auto"/>
            </w:pPr>
            <w:r>
              <w:rPr>
                <w:color w:val="1A252F"/>
                <w:sz w:val="18"/>
              </w:rPr>
              <w:t xml:space="preserve">Fairwork Foundation </w:t>
            </w:r>
            <w:r>
              <w:rPr>
                <w:color w:val="C0392B"/>
                <w:sz w:val="16"/>
                <w:vertAlign w:val="superscript"/>
              </w:rPr>
              <w:t xml:space="preserve">[14]</w:t>
            </w:r>
          </w:p>
        </w:tc>
      </w:tr>
    </w:tbl>
    <w:p>
      <w:pPr>
        <w:spacing w:after="200"/>
      </w:pPr>
    </w:p>
    <w:p>
      <w:pPr>
        <w:spacing w:after="160" w:line="300" w:lineRule="auto"/>
      </w:pPr>
      <w:r>
        <w:rPr>
          <w:color w:val="1A252F"/>
          <w:sz w:val="22"/>
        </w:rPr>
        <w:t xml:space="preserve">The settlement landscape demonstrates both the scale of theft and the structural limitations of litigation as a remedy. The New York Attorney General's $328 million recovery from Uber and Lyft in 2023 — the largest wage theft settlement in New York State history — covered approximately 100,000 drivers who had Black Car Fund surcharges and sales taxes improperly deducted from their pay between 2014 and 2017.</w:t>
      </w:r>
      <w:r>
        <w:rPr>
          <w:color w:val="C0392B"/>
          <w:sz w:val="16"/>
          <w:vertAlign w:val="superscript"/>
        </w:rPr>
        <w:t xml:space="preserve">[285]</w:t>
      </w:r>
      <w:r>
        <w:rPr>
          <w:color w:val="1A252F"/>
          <w:sz w:val="22"/>
        </w:rPr>
        <w:t xml:space="preserve"> The Massachusetts Attorney General's subsequent $175 million settlement in 2024 established a $32.50-per-hour minimum for ride-hail drivers while maintaining their independent contractor classification.</w:t>
      </w:r>
      <w:r>
        <w:rPr>
          <w:color w:val="C0392B"/>
          <w:sz w:val="16"/>
          <w:vertAlign w:val="superscript"/>
        </w:rPr>
        <w:t xml:space="preserve">[608]</w:t>
      </w:r>
      <w:r>
        <w:rPr>
          <w:color w:val="1A252F"/>
          <w:sz w:val="22"/>
        </w:rPr>
        <w:t xml:space="preserve"> In the United Kingdom, the Supreme Court's </w:t>
      </w:r>
      <w:r>
        <w:rPr>
          <w:i/>
          <w:color w:val="1A252F"/>
          <w:sz w:val="22"/>
        </w:rPr>
        <w:t xml:space="preserve">Uber BV v Aslam</w:t>
      </w:r>
      <w:r>
        <w:rPr>
          <w:color w:val="1A252F"/>
          <w:sz w:val="22"/>
        </w:rPr>
        <w:t xml:space="preserve"> ruling produced an estimated £600 million in back-pay to over 70,000 drivers.</w:t>
      </w:r>
      <w:r>
        <w:rPr>
          <w:color w:val="C0392B"/>
          <w:sz w:val="16"/>
          <w:vertAlign w:val="superscript"/>
        </w:rPr>
        <w:t xml:space="preserve">[248]</w:t>
      </w:r>
      <w:r>
        <w:rPr>
          <w:color w:val="1A252F"/>
          <w:sz w:val="22"/>
        </w:rPr>
        <w:t xml:space="preserve"> Yet even combined, these landmark recoveries represent less than 5% of a single year's estimated theft.</w:t>
      </w:r>
    </w:p>
    <w:p>
      <w:pPr>
        <w:pStyle w:val="Heading3"/>
      </w:pPr>
      <w:r>
        <w:rPr>
          <w:color w:val="1A252F"/>
          <w:sz w:val="22"/>
        </w:rPr>
        <w:t xml:space="preserve">3.2 Jurisdiction Analysis</w:t>
      </w:r>
    </w:p>
    <w:p>
      <w:pPr>
        <w:spacing w:after="160" w:line="300" w:lineRule="auto"/>
      </w:pPr>
      <w:r>
        <w:rPr>
          <w:color w:val="1A252F"/>
          <w:sz w:val="22"/>
        </w:rPr>
        <w:t xml:space="preserve">Gig worker protections vary dramatically across jurisdictions, producing a three-tier global landscape that determines where workers can recover stolen wages and where exploitation faces meaningful consequences. The Cambridge Digit Research programme's CBR Platform Work Index benchmarks legal protections across 95 countries, confirming that while OECD countries show stronger average protection, more than half of tracked countries made no improvement to legal protections over the past decade.</w:t>
      </w:r>
      <w:r>
        <w:rPr>
          <w:color w:val="C0392B"/>
          <w:sz w:val="16"/>
          <w:vertAlign w:val="superscript"/>
        </w:rPr>
        <w:t xml:space="preserve">[725]</w:t>
      </w:r>
    </w:p>
    <w:p>
      <w:pPr>
        <w:spacing w:after="160" w:line="300" w:lineRule="auto"/>
      </w:pPr>
      <w:r>
        <w:rPr>
          <w:color w:val="1A252F"/>
          <w:sz w:val="22"/>
        </w:rPr>
        <w:t xml:space="preserve">The United Kingdom leads the global rankings with a protection score of 9/10, anchored by its three-tier employment status system (employee/worker/self-employed) and the landmark </w:t>
      </w:r>
      <w:r>
        <w:rPr>
          <w:i/>
          <w:color w:val="1A252F"/>
          <w:sz w:val="22"/>
        </w:rPr>
        <w:t xml:space="preserve">Uber BV v Aslam</w:t>
      </w:r>
      <w:r>
        <w:rPr>
          <w:color w:val="1A252F"/>
          <w:sz w:val="22"/>
        </w:rPr>
        <w:t xml:space="preserve"> [2021] UKSC 5 ruling. The Supreme Court's unanimous judgment established that employment status depends on statutory interpretation of the actual working relationship rather than contractual labels, and that Uber drivers are entitled to National Minimum Wage for all time logged into the app, including waiting time.</w:t>
      </w:r>
      <w:r>
        <w:rPr>
          <w:color w:val="C0392B"/>
          <w:sz w:val="16"/>
          <w:vertAlign w:val="superscript"/>
        </w:rPr>
        <w:t xml:space="preserve">[250]</w:t>
      </w:r>
      <w:r>
        <w:rPr>
          <w:color w:val="1A252F"/>
          <w:sz w:val="22"/>
        </w:rPr>
        <w:t xml:space="preserve"> Downstream effects include the Bolt ruling (November 2024) affecting 100,000+ drivers with potential compensation exceeding £200 million,</w:t>
      </w:r>
      <w:r>
        <w:rPr>
          <w:color w:val="C0392B"/>
          <w:sz w:val="16"/>
          <w:vertAlign w:val="superscript"/>
        </w:rPr>
        <w:t xml:space="preserve">[248]</w:t>
      </w:r>
      <w:r>
        <w:rPr>
          <w:color w:val="1A252F"/>
          <w:sz w:val="22"/>
        </w:rPr>
        <w:t xml:space="preserve"> and the Addison Lee ruling (January 2025) covering 700 drivers.</w:t>
      </w:r>
      <w:r>
        <w:rPr>
          <w:color w:val="C0392B"/>
          <w:sz w:val="16"/>
          <w:vertAlign w:val="superscript"/>
        </w:rPr>
        <w:t xml:space="preserve">[248]</w:t>
      </w:r>
      <w:r>
        <w:rPr>
          <w:color w:val="1A252F"/>
          <w:sz w:val="22"/>
        </w:rPr>
        <w:t xml:space="preserve"> The Employment Rights Bill 2025 promises further consolidation through consultation on single worker status.</w:t>
      </w:r>
      <w:r>
        <w:rPr>
          <w:color w:val="C0392B"/>
          <w:sz w:val="16"/>
          <w:vertAlign w:val="superscript"/>
        </w:rPr>
        <w:t xml:space="preserve">[248]</w:t>
      </w:r>
    </w:p>
    <w:p>
      <w:pPr>
        <w:spacing w:after="160" w:line="300" w:lineRule="auto"/>
      </w:pPr>
      <w:r>
        <w:rPr>
          <w:color w:val="1A252F"/>
          <w:sz w:val="22"/>
        </w:rPr>
        <w:t xml:space="preserve">Spain ranks second at 8.5/10, driven by the Riders' Law (Ley 12/2021) — Europe's first national law establishing a presumption of employment for delivery platform workers. The law criminalizes bogus self-employment through Article 311(2) of the penal code and has produced enforcement actions including a €57 million proposed fine on Glovo for false classification.</w:t>
      </w:r>
      <w:r>
        <w:rPr>
          <w:color w:val="C0392B"/>
          <w:sz w:val="16"/>
          <w:vertAlign w:val="superscript"/>
        </w:rPr>
        <w:t xml:space="preserve">[338]</w:t>
      </w:r>
      <w:r>
        <w:rPr>
          <w:color w:val="1A252F"/>
          <w:sz w:val="22"/>
        </w:rPr>
        <w:t xml:space="preserve"> Approximately 50% of riders transitioned from self-employment to dependent employment following the law's enactment.</w:t>
      </w:r>
      <w:r>
        <w:rPr>
          <w:color w:val="C0392B"/>
          <w:sz w:val="16"/>
          <w:vertAlign w:val="superscript"/>
        </w:rPr>
        <w:t xml:space="preserve">[55]</w:t>
      </w:r>
    </w:p>
    <w:p>
      <w:pPr>
        <w:spacing w:after="160" w:line="300" w:lineRule="auto"/>
      </w:pPr>
      <w:r>
        <w:rPr>
          <w:color w:val="1A252F"/>
          <w:sz w:val="22"/>
        </w:rPr>
        <w:t xml:space="preserve">Australia completes Tier 1 at 8/10 with the Fair Work Legislation Amendment (Closing Loopholes No. 2) Act 2024, which empowers the Fair Work Commission to issue minimum standards orders for "employee-like workers" and establishes unfair deactivation protections with penalties reaching AUD 4.6 million for serious contraventions.</w:t>
      </w:r>
      <w:r>
        <w:rPr>
          <w:color w:val="C0392B"/>
          <w:sz w:val="16"/>
          <w:vertAlign w:val="superscript"/>
        </w:rPr>
        <w:t xml:space="preserve">[855]</w:t>
      </w:r>
      <w:r>
        <w:rPr>
          <w:color w:val="1A252F"/>
          <w:sz w:val="22"/>
        </w:rPr>
        <w:t xml:space="preserve"> </w:t>
      </w:r>
      <w:r>
        <w:rPr>
          <w:color w:val="C0392B"/>
          <w:sz w:val="16"/>
          <w:vertAlign w:val="superscript"/>
        </w:rPr>
        <w:t xml:space="preserve">[856]</w:t>
      </w:r>
    </w:p>
    <w:p>
      <w:pPr>
        <w:spacing w:before="80" w:after="160"/>
      </w:pPr>
      <w:r>
        <w:rPr>
          <w:b/>
          <w:color w:val="1A252F"/>
          <w:sz w:val="22"/>
        </w:rPr>
        <w:t xml:space="preserve">Table 3.2: Jurisdiction Protection Tier Ranking</w:t>
      </w:r>
    </w:p>
    <w:tbl>
      <w:tblPr>
        <w:tblW w:w="5000" w:type="pct"/>
        <w:tblBorders>
          <w:top w:val="single" w:color="2C3E50" w:sz="12"/>
          <w:left w:val="nil"/>
          <w:bottom w:val="single" w:color="2C3E50" w:sz="12"/>
          <w:right w:val="nil"/>
          <w:insideH w:val="single" w:color="BDC3C7" w:sz="4"/>
          <w:insideV w:val="nil"/>
        </w:tblBorders>
        <w:tblLook w:val="04A0" w:firstRow="true"/>
      </w:tblPr>
      <w:tblGrid>
        <w:gridCol w:w="1500"/>
        <w:gridCol w:w="1500"/>
        <w:gridCol w:w="1500"/>
        <w:gridCol w:w="1500"/>
        <w:gridCol w:w="1500"/>
        <w:gridCol w:w="1500"/>
      </w:tblGrid>
      <w:tr>
        <w:trPr>
          <w:tblHeader/>
        </w:trPr>
        <w:tc>
          <w:tcPr>
            <w:tcW w:w="1500" w:type="dxa"/>
            <w:tcBorders>
              <w:bottom w:val="single" w:color="2C3E50" w:sz="6"/>
            </w:tcBorders>
            <w:shd w:val="clear" w:fill="EDF0F2"/>
          </w:tcPr>
          <w:p>
            <w:pPr>
              <w:spacing w:before="60" w:after="60"/>
            </w:pPr>
            <w:r>
              <w:rPr>
                <w:b/>
                <w:color w:val="1A252F"/>
                <w:sz w:val="18"/>
              </w:rPr>
              <w:t xml:space="preserve">Rank</w:t>
            </w:r>
          </w:p>
        </w:tc>
        <w:tc>
          <w:tcPr>
            <w:tcW w:w="1500" w:type="dxa"/>
            <w:tcBorders>
              <w:bottom w:val="single" w:color="2C3E50" w:sz="6"/>
            </w:tcBorders>
            <w:shd w:val="clear" w:fill="EDF0F2"/>
          </w:tcPr>
          <w:p>
            <w:pPr>
              <w:spacing w:before="60" w:after="60"/>
            </w:pPr>
            <w:r>
              <w:rPr>
                <w:b/>
                <w:color w:val="1A252F"/>
                <w:sz w:val="18"/>
              </w:rPr>
              <w:t xml:space="preserve">Jurisdiction</w:t>
            </w:r>
          </w:p>
        </w:tc>
        <w:tc>
          <w:tcPr>
            <w:tcW w:w="1500" w:type="dxa"/>
            <w:tcBorders>
              <w:bottom w:val="single" w:color="2C3E50" w:sz="6"/>
            </w:tcBorders>
            <w:shd w:val="clear" w:fill="EDF0F2"/>
          </w:tcPr>
          <w:p>
            <w:pPr>
              <w:spacing w:before="60" w:after="60"/>
            </w:pPr>
            <w:r>
              <w:rPr>
                <w:b/>
                <w:color w:val="1A252F"/>
                <w:sz w:val="18"/>
              </w:rPr>
              <w:t xml:space="preserve">Tier</w:t>
            </w:r>
          </w:p>
        </w:tc>
        <w:tc>
          <w:tcPr>
            <w:tcW w:w="1500" w:type="dxa"/>
            <w:tcBorders>
              <w:bottom w:val="single" w:color="2C3E50" w:sz="6"/>
            </w:tcBorders>
            <w:shd w:val="clear" w:fill="EDF0F2"/>
          </w:tcPr>
          <w:p>
            <w:pPr>
              <w:spacing w:before="60" w:after="60"/>
            </w:pPr>
            <w:r>
              <w:rPr>
                <w:b/>
                <w:color w:val="1A252F"/>
                <w:sz w:val="18"/>
              </w:rPr>
              <w:t xml:space="preserve">Score /10</w:t>
            </w:r>
          </w:p>
        </w:tc>
        <w:tc>
          <w:tcPr>
            <w:tcW w:w="1500" w:type="dxa"/>
            <w:tcBorders>
              <w:bottom w:val="single" w:color="2C3E50" w:sz="6"/>
            </w:tcBorders>
            <w:shd w:val="clear" w:fill="EDF0F2"/>
          </w:tcPr>
          <w:p>
            <w:pPr>
              <w:spacing w:before="60" w:after="60"/>
            </w:pPr>
            <w:r>
              <w:rPr>
                <w:b/>
                <w:color w:val="1A252F"/>
                <w:sz w:val="18"/>
              </w:rPr>
              <w:t xml:space="preserve">Key Strength</w:t>
            </w:r>
          </w:p>
        </w:tc>
        <w:tc>
          <w:tcPr>
            <w:tcW w:w="1500" w:type="dxa"/>
            <w:tcBorders>
              <w:bottom w:val="single" w:color="2C3E50" w:sz="6"/>
            </w:tcBorders>
            <w:shd w:val="clear" w:fill="EDF0F2"/>
          </w:tcPr>
          <w:p>
            <w:pPr>
              <w:spacing w:before="60" w:after="60"/>
            </w:pPr>
            <w:r>
              <w:rPr>
                <w:b/>
                <w:color w:val="1A252F"/>
                <w:sz w:val="18"/>
              </w:rPr>
              <w:t xml:space="preserve">Key Weakness</w:t>
            </w:r>
          </w:p>
        </w:tc>
      </w:tr>
      <w:tr>
        <w:tc>
          <w:tcPr>
            <w:tcW w:w="1500" w:type="dxa"/>
          </w:tcPr>
          <w:p>
            <w:pPr>
              <w:spacing w:before="40" w:after="40" w:line="240" w:lineRule="auto"/>
            </w:pPr>
            <w:r>
              <w:rPr>
                <w:color w:val="1A252F"/>
                <w:sz w:val="18"/>
              </w:rPr>
              <w:t xml:space="preserve">1</w:t>
            </w:r>
          </w:p>
        </w:tc>
        <w:tc>
          <w:tcPr>
            <w:tcW w:w="1500" w:type="dxa"/>
          </w:tcPr>
          <w:p>
            <w:pPr>
              <w:spacing w:before="40" w:after="40" w:line="240" w:lineRule="auto"/>
            </w:pPr>
            <w:r>
              <w:rPr>
                <w:color w:val="1A252F"/>
                <w:sz w:val="18"/>
              </w:rPr>
              <w:t xml:space="preserve">United Kingdom</w:t>
            </w:r>
          </w:p>
        </w:tc>
        <w:tc>
          <w:tcPr>
            <w:tcW w:w="1500" w:type="dxa"/>
          </w:tcPr>
          <w:p>
            <w:pPr>
              <w:spacing w:before="40" w:after="40" w:line="240" w:lineRule="auto"/>
            </w:pPr>
            <w:r>
              <w:rPr>
                <w:color w:val="1A252F"/>
                <w:sz w:val="18"/>
              </w:rPr>
              <w:t xml:space="preserve">1</w:t>
            </w:r>
          </w:p>
        </w:tc>
        <w:tc>
          <w:tcPr>
            <w:tcW w:w="1500" w:type="dxa"/>
          </w:tcPr>
          <w:p>
            <w:pPr>
              <w:spacing w:before="40" w:after="40" w:line="240" w:lineRule="auto"/>
            </w:pPr>
            <w:r>
              <w:rPr>
                <w:color w:val="1A252F"/>
                <w:sz w:val="18"/>
              </w:rPr>
              <w:t xml:space="preserve">9.0</w:t>
            </w:r>
          </w:p>
        </w:tc>
        <w:tc>
          <w:tcPr>
            <w:tcW w:w="1500" w:type="dxa"/>
          </w:tcPr>
          <w:p>
            <w:pPr>
              <w:spacing w:before="40" w:after="40" w:line="240" w:lineRule="auto"/>
            </w:pPr>
            <w:r>
              <w:rPr>
                <w:color w:val="1A252F"/>
                <w:sz w:val="18"/>
              </w:rPr>
              <w:t xml:space="preserve">Uber £600M payout; three-tier worker status; strong case law</w:t>
            </w:r>
          </w:p>
        </w:tc>
        <w:tc>
          <w:tcPr>
            <w:tcW w:w="1500" w:type="dxa"/>
          </w:tcPr>
          <w:p>
            <w:pPr>
              <w:spacing w:before="40" w:after="40" w:line="240" w:lineRule="auto"/>
            </w:pPr>
            <w:r>
              <w:rPr>
                <w:color w:val="1A252F"/>
                <w:sz w:val="18"/>
              </w:rPr>
              <w:t xml:space="preserve">Deliveroo riders excluded (substitution loophole) </w:t>
            </w:r>
            <w:r>
              <w:rPr>
                <w:color w:val="C0392B"/>
                <w:sz w:val="16"/>
                <w:vertAlign w:val="superscript"/>
              </w:rPr>
              <w:t xml:space="preserve">[248]</w:t>
            </w:r>
          </w:p>
        </w:tc>
      </w:tr>
      <w:tr>
        <w:tc>
          <w:tcPr>
            <w:tcW w:w="1500" w:type="dxa"/>
          </w:tcPr>
          <w:p>
            <w:pPr>
              <w:spacing w:before="40" w:after="40" w:line="240" w:lineRule="auto"/>
            </w:pPr>
            <w:r>
              <w:rPr>
                <w:color w:val="1A252F"/>
                <w:sz w:val="18"/>
              </w:rPr>
              <w:t xml:space="preserve">2</w:t>
            </w:r>
          </w:p>
        </w:tc>
        <w:tc>
          <w:tcPr>
            <w:tcW w:w="1500" w:type="dxa"/>
          </w:tcPr>
          <w:p>
            <w:pPr>
              <w:spacing w:before="40" w:after="40" w:line="240" w:lineRule="auto"/>
            </w:pPr>
            <w:r>
              <w:rPr>
                <w:color w:val="1A252F"/>
                <w:sz w:val="18"/>
              </w:rPr>
              <w:t xml:space="preserve">Spain</w:t>
            </w:r>
          </w:p>
        </w:tc>
        <w:tc>
          <w:tcPr>
            <w:tcW w:w="1500" w:type="dxa"/>
          </w:tcPr>
          <w:p>
            <w:pPr>
              <w:spacing w:before="40" w:after="40" w:line="240" w:lineRule="auto"/>
            </w:pPr>
            <w:r>
              <w:rPr>
                <w:color w:val="1A252F"/>
                <w:sz w:val="18"/>
              </w:rPr>
              <w:t xml:space="preserve">1</w:t>
            </w:r>
          </w:p>
        </w:tc>
        <w:tc>
          <w:tcPr>
            <w:tcW w:w="1500" w:type="dxa"/>
          </w:tcPr>
          <w:p>
            <w:pPr>
              <w:spacing w:before="40" w:after="40" w:line="240" w:lineRule="auto"/>
            </w:pPr>
            <w:r>
              <w:rPr>
                <w:color w:val="1A252F"/>
                <w:sz w:val="18"/>
              </w:rPr>
              <w:t xml:space="preserve">8.5</w:t>
            </w:r>
          </w:p>
        </w:tc>
        <w:tc>
          <w:tcPr>
            <w:tcW w:w="1500" w:type="dxa"/>
          </w:tcPr>
          <w:p>
            <w:pPr>
              <w:spacing w:before="40" w:after="40" w:line="240" w:lineRule="auto"/>
            </w:pPr>
            <w:r>
              <w:rPr>
                <w:color w:val="1A252F"/>
                <w:sz w:val="18"/>
              </w:rPr>
              <w:t xml:space="preserve">Rider Law presumption; criminalization of bogus self-employment; €57M Glovo fine</w:t>
            </w:r>
          </w:p>
        </w:tc>
        <w:tc>
          <w:tcPr>
            <w:tcW w:w="1500" w:type="dxa"/>
          </w:tcPr>
          <w:p>
            <w:pPr>
              <w:spacing w:before="40" w:after="40" w:line="240" w:lineRule="auto"/>
            </w:pPr>
            <w:r>
              <w:rPr>
                <w:color w:val="1A252F"/>
                <w:sz w:val="18"/>
              </w:rPr>
              <w:t xml:space="preserve">Limited to delivery sector; Glovo/Uber Eats non-compliance </w:t>
            </w:r>
            <w:r>
              <w:rPr>
                <w:color w:val="C0392B"/>
                <w:sz w:val="16"/>
                <w:vertAlign w:val="superscript"/>
              </w:rPr>
              <w:t xml:space="preserve">[338]</w:t>
            </w:r>
          </w:p>
        </w:tc>
      </w:tr>
      <w:tr>
        <w:tc>
          <w:tcPr>
            <w:tcW w:w="1500" w:type="dxa"/>
          </w:tcPr>
          <w:p>
            <w:pPr>
              <w:spacing w:before="40" w:after="40" w:line="240" w:lineRule="auto"/>
            </w:pPr>
            <w:r>
              <w:rPr>
                <w:color w:val="1A252F"/>
                <w:sz w:val="18"/>
              </w:rPr>
              <w:t xml:space="preserve">3</w:t>
            </w:r>
          </w:p>
        </w:tc>
        <w:tc>
          <w:tcPr>
            <w:tcW w:w="1500" w:type="dxa"/>
          </w:tcPr>
          <w:p>
            <w:pPr>
              <w:spacing w:before="40" w:after="40" w:line="240" w:lineRule="auto"/>
            </w:pPr>
            <w:r>
              <w:rPr>
                <w:color w:val="1A252F"/>
                <w:sz w:val="18"/>
              </w:rPr>
              <w:t xml:space="preserve">Australia</w:t>
            </w:r>
          </w:p>
        </w:tc>
        <w:tc>
          <w:tcPr>
            <w:tcW w:w="1500" w:type="dxa"/>
          </w:tcPr>
          <w:p>
            <w:pPr>
              <w:spacing w:before="40" w:after="40" w:line="240" w:lineRule="auto"/>
            </w:pPr>
            <w:r>
              <w:rPr>
                <w:color w:val="1A252F"/>
                <w:sz w:val="18"/>
              </w:rPr>
              <w:t xml:space="preserve">1</w:t>
            </w:r>
          </w:p>
        </w:tc>
        <w:tc>
          <w:tcPr>
            <w:tcW w:w="1500" w:type="dxa"/>
          </w:tcPr>
          <w:p>
            <w:pPr>
              <w:spacing w:before="40" w:after="40" w:line="240" w:lineRule="auto"/>
            </w:pPr>
            <w:r>
              <w:rPr>
                <w:color w:val="1A252F"/>
                <w:sz w:val="18"/>
              </w:rPr>
              <w:t xml:space="preserve">8.0</w:t>
            </w:r>
          </w:p>
        </w:tc>
        <w:tc>
          <w:tcPr>
            <w:tcW w:w="1500" w:type="dxa"/>
          </w:tcPr>
          <w:p>
            <w:pPr>
              <w:spacing w:before="40" w:after="40" w:line="240" w:lineRule="auto"/>
            </w:pPr>
            <w:r>
              <w:rPr>
                <w:color w:val="1A252F"/>
                <w:sz w:val="18"/>
              </w:rPr>
              <w:t xml:space="preserve">Closing Loopholes No. 2; unfair deactivation; minimum standards orders</w:t>
            </w:r>
          </w:p>
        </w:tc>
        <w:tc>
          <w:tcPr>
            <w:tcW w:w="1500" w:type="dxa"/>
          </w:tcPr>
          <w:p>
            <w:pPr>
              <w:spacing w:before="40" w:after="40" w:line="240" w:lineRule="auto"/>
            </w:pPr>
            <w:r>
              <w:rPr>
                <w:color w:val="1A252F"/>
                <w:sz w:val="18"/>
              </w:rPr>
              <w:t xml:space="preserve">Recent implementation; limited case law </w:t>
            </w:r>
            <w:r>
              <w:rPr>
                <w:color w:val="C0392B"/>
                <w:sz w:val="16"/>
                <w:vertAlign w:val="superscript"/>
              </w:rPr>
              <w:t xml:space="preserve">[855]</w:t>
            </w:r>
          </w:p>
        </w:tc>
      </w:tr>
      <w:tr>
        <w:tc>
          <w:tcPr>
            <w:tcW w:w="1500" w:type="dxa"/>
          </w:tcPr>
          <w:p>
            <w:pPr>
              <w:spacing w:before="40" w:after="40" w:line="240" w:lineRule="auto"/>
            </w:pPr>
            <w:r>
              <w:rPr>
                <w:color w:val="1A252F"/>
                <w:sz w:val="18"/>
              </w:rPr>
              <w:t xml:space="preserve">4</w:t>
            </w:r>
          </w:p>
        </w:tc>
        <w:tc>
          <w:tcPr>
            <w:tcW w:w="1500" w:type="dxa"/>
          </w:tcPr>
          <w:p>
            <w:pPr>
              <w:spacing w:before="40" w:after="40" w:line="240" w:lineRule="auto"/>
            </w:pPr>
            <w:r>
              <w:rPr>
                <w:color w:val="1A252F"/>
                <w:sz w:val="18"/>
              </w:rPr>
              <w:t xml:space="preserve">British Columbia, Canada</w:t>
            </w:r>
          </w:p>
        </w:tc>
        <w:tc>
          <w:tcPr>
            <w:tcW w:w="1500" w:type="dxa"/>
          </w:tcPr>
          <w:p>
            <w:pPr>
              <w:spacing w:before="40" w:after="40" w:line="240" w:lineRule="auto"/>
            </w:pPr>
            <w:r>
              <w:rPr>
                <w:color w:val="1A252F"/>
                <w:sz w:val="18"/>
              </w:rPr>
              <w:t xml:space="preserve">2</w:t>
            </w:r>
          </w:p>
        </w:tc>
        <w:tc>
          <w:tcPr>
            <w:tcW w:w="1500" w:type="dxa"/>
          </w:tcPr>
          <w:p>
            <w:pPr>
              <w:spacing w:before="40" w:after="40" w:line="240" w:lineRule="auto"/>
            </w:pPr>
            <w:r>
              <w:rPr>
                <w:color w:val="1A252F"/>
                <w:sz w:val="18"/>
              </w:rPr>
              <w:t xml:space="preserve">7.5</w:t>
            </w:r>
          </w:p>
        </w:tc>
        <w:tc>
          <w:tcPr>
            <w:tcW w:w="1500" w:type="dxa"/>
          </w:tcPr>
          <w:p>
            <w:pPr>
              <w:spacing w:before="40" w:after="40" w:line="240" w:lineRule="auto"/>
            </w:pPr>
            <w:r>
              <w:rPr>
                <w:color w:val="1A252F"/>
                <w:sz w:val="18"/>
              </w:rPr>
              <w:t xml:space="preserve">Full employee classification; $20.88/hr minimum; WorkSafeBC</w:t>
            </w:r>
          </w:p>
        </w:tc>
        <w:tc>
          <w:tcPr>
            <w:tcW w:w="1500" w:type="dxa"/>
          </w:tcPr>
          <w:p>
            <w:pPr>
              <w:spacing w:before="40" w:after="40" w:line="240" w:lineRule="auto"/>
            </w:pPr>
            <w:r>
              <w:rPr>
                <w:color w:val="1A252F"/>
                <w:sz w:val="18"/>
              </w:rPr>
              <w:t xml:space="preserve">Only ride-hail/delivery; "engaged time" only </w:t>
            </w:r>
            <w:r>
              <w:rPr>
                <w:color w:val="C0392B"/>
                <w:sz w:val="16"/>
                <w:vertAlign w:val="superscript"/>
              </w:rPr>
              <w:t xml:space="preserve">[737]</w:t>
            </w:r>
          </w:p>
        </w:tc>
      </w:tr>
      <w:tr>
        <w:tc>
          <w:tcPr>
            <w:tcW w:w="1500" w:type="dxa"/>
          </w:tcPr>
          <w:p>
            <w:pPr>
              <w:spacing w:before="40" w:after="40" w:line="240" w:lineRule="auto"/>
            </w:pPr>
            <w:r>
              <w:rPr>
                <w:color w:val="1A252F"/>
                <w:sz w:val="18"/>
              </w:rPr>
              <w:t xml:space="preserve">5</w:t>
            </w:r>
          </w:p>
        </w:tc>
        <w:tc>
          <w:tcPr>
            <w:tcW w:w="1500" w:type="dxa"/>
          </w:tcPr>
          <w:p>
            <w:pPr>
              <w:spacing w:before="40" w:after="40" w:line="240" w:lineRule="auto"/>
            </w:pPr>
            <w:r>
              <w:rPr>
                <w:color w:val="1A252F"/>
                <w:sz w:val="18"/>
              </w:rPr>
              <w:t xml:space="preserve">Singapore</w:t>
            </w:r>
          </w:p>
        </w:tc>
        <w:tc>
          <w:tcPr>
            <w:tcW w:w="1500" w:type="dxa"/>
          </w:tcPr>
          <w:p>
            <w:pPr>
              <w:spacing w:before="40" w:after="40" w:line="240" w:lineRule="auto"/>
            </w:pPr>
            <w:r>
              <w:rPr>
                <w:color w:val="1A252F"/>
                <w:sz w:val="18"/>
              </w:rPr>
              <w:t xml:space="preserve">2</w:t>
            </w:r>
          </w:p>
        </w:tc>
        <w:tc>
          <w:tcPr>
            <w:tcW w:w="1500" w:type="dxa"/>
          </w:tcPr>
          <w:p>
            <w:pPr>
              <w:spacing w:before="40" w:after="40" w:line="240" w:lineRule="auto"/>
            </w:pPr>
            <w:r>
              <w:rPr>
                <w:color w:val="1A252F"/>
                <w:sz w:val="18"/>
              </w:rPr>
              <w:t xml:space="preserve">7.0</w:t>
            </w:r>
          </w:p>
        </w:tc>
        <w:tc>
          <w:tcPr>
            <w:tcW w:w="1500" w:type="dxa"/>
          </w:tcPr>
          <w:p>
            <w:pPr>
              <w:spacing w:before="40" w:after="40" w:line="240" w:lineRule="auto"/>
            </w:pPr>
            <w:r>
              <w:rPr>
                <w:color w:val="1A252F"/>
                <w:sz w:val="18"/>
              </w:rPr>
              <w:t xml:space="preserve">Distinct platform worker category; CPF contributions; injury insurance</w:t>
            </w:r>
          </w:p>
        </w:tc>
        <w:tc>
          <w:tcPr>
            <w:tcW w:w="1500" w:type="dxa"/>
          </w:tcPr>
          <w:p>
            <w:pPr>
              <w:spacing w:before="40" w:after="40" w:line="240" w:lineRule="auto"/>
            </w:pPr>
            <w:r>
              <w:rPr>
                <w:color w:val="1A252F"/>
                <w:sz w:val="18"/>
              </w:rPr>
              <w:t xml:space="preserve">Narrow scope (ride-hail/delivery only) </w:t>
            </w:r>
            <w:r>
              <w:rPr>
                <w:color w:val="C0392B"/>
                <w:sz w:val="16"/>
                <w:vertAlign w:val="superscript"/>
              </w:rPr>
              <w:t xml:space="preserve">[376]</w:t>
            </w:r>
          </w:p>
        </w:tc>
      </w:tr>
      <w:tr>
        <w:tc>
          <w:tcPr>
            <w:tcW w:w="1500" w:type="dxa"/>
          </w:tcPr>
          <w:p>
            <w:pPr>
              <w:spacing w:before="40" w:after="40" w:line="240" w:lineRule="auto"/>
            </w:pPr>
            <w:r>
              <w:rPr>
                <w:color w:val="1A252F"/>
                <w:sz w:val="18"/>
              </w:rPr>
              <w:t xml:space="preserve">6</w:t>
            </w:r>
          </w:p>
        </w:tc>
        <w:tc>
          <w:tcPr>
            <w:tcW w:w="1500" w:type="dxa"/>
          </w:tcPr>
          <w:p>
            <w:pPr>
              <w:spacing w:before="40" w:after="40" w:line="240" w:lineRule="auto"/>
            </w:pPr>
            <w:r>
              <w:rPr>
                <w:color w:val="1A252F"/>
                <w:sz w:val="18"/>
              </w:rPr>
              <w:t xml:space="preserve">New York State</w:t>
            </w:r>
          </w:p>
        </w:tc>
        <w:tc>
          <w:tcPr>
            <w:tcW w:w="1500" w:type="dxa"/>
          </w:tcPr>
          <w:p>
            <w:pPr>
              <w:spacing w:before="40" w:after="40" w:line="240" w:lineRule="auto"/>
            </w:pPr>
            <w:r>
              <w:rPr>
                <w:color w:val="1A252F"/>
                <w:sz w:val="18"/>
              </w:rPr>
              <w:t xml:space="preserve">2</w:t>
            </w:r>
          </w:p>
        </w:tc>
        <w:tc>
          <w:tcPr>
            <w:tcW w:w="1500" w:type="dxa"/>
          </w:tcPr>
          <w:p>
            <w:pPr>
              <w:spacing w:before="40" w:after="40" w:line="240" w:lineRule="auto"/>
            </w:pPr>
            <w:r>
              <w:rPr>
                <w:color w:val="1A252F"/>
                <w:sz w:val="18"/>
              </w:rPr>
              <w:t xml:space="preserve">6.5</w:t>
            </w:r>
          </w:p>
        </w:tc>
        <w:tc>
          <w:tcPr>
            <w:tcW w:w="1500" w:type="dxa"/>
          </w:tcPr>
          <w:p>
            <w:pPr>
              <w:spacing w:before="40" w:after="40" w:line="240" w:lineRule="auto"/>
            </w:pPr>
            <w:r>
              <w:rPr>
                <w:color w:val="1A252F"/>
                <w:sz w:val="18"/>
              </w:rPr>
              <w:t xml:space="preserve">$328M settlement; strongest AG enforcement in US</w:t>
            </w:r>
          </w:p>
        </w:tc>
        <w:tc>
          <w:tcPr>
            <w:tcW w:w="1500" w:type="dxa"/>
          </w:tcPr>
          <w:p>
            <w:pPr>
              <w:spacing w:before="40" w:after="40" w:line="240" w:lineRule="auto"/>
            </w:pPr>
            <w:r>
              <w:rPr>
                <w:color w:val="1A252F"/>
                <w:sz w:val="18"/>
              </w:rPr>
              <w:t xml:space="preserve">No comprehensive gig worker statute </w:t>
            </w:r>
            <w:r>
              <w:rPr>
                <w:color w:val="C0392B"/>
                <w:sz w:val="16"/>
                <w:vertAlign w:val="superscript"/>
              </w:rPr>
              <w:t xml:space="preserve">[285]</w:t>
            </w:r>
          </w:p>
        </w:tc>
      </w:tr>
      <w:tr>
        <w:tc>
          <w:tcPr>
            <w:tcW w:w="1500" w:type="dxa"/>
          </w:tcPr>
          <w:p>
            <w:pPr>
              <w:spacing w:before="40" w:after="40" w:line="240" w:lineRule="auto"/>
            </w:pPr>
            <w:r>
              <w:rPr>
                <w:color w:val="1A252F"/>
                <w:sz w:val="18"/>
              </w:rPr>
              <w:t xml:space="preserve">7</w:t>
            </w:r>
          </w:p>
        </w:tc>
        <w:tc>
          <w:tcPr>
            <w:tcW w:w="1500" w:type="dxa"/>
          </w:tcPr>
          <w:p>
            <w:pPr>
              <w:spacing w:before="40" w:after="40" w:line="240" w:lineRule="auto"/>
            </w:pPr>
            <w:r>
              <w:rPr>
                <w:color w:val="1A252F"/>
                <w:sz w:val="18"/>
              </w:rPr>
              <w:t xml:space="preserve">Italy</w:t>
            </w:r>
          </w:p>
        </w:tc>
        <w:tc>
          <w:tcPr>
            <w:tcW w:w="1500" w:type="dxa"/>
          </w:tcPr>
          <w:p>
            <w:pPr>
              <w:spacing w:before="40" w:after="40" w:line="240" w:lineRule="auto"/>
            </w:pPr>
            <w:r>
              <w:rPr>
                <w:color w:val="1A252F"/>
                <w:sz w:val="18"/>
              </w:rPr>
              <w:t xml:space="preserve">2</w:t>
            </w:r>
          </w:p>
        </w:tc>
        <w:tc>
          <w:tcPr>
            <w:tcW w:w="1500" w:type="dxa"/>
          </w:tcPr>
          <w:p>
            <w:pPr>
              <w:spacing w:before="40" w:after="40" w:line="240" w:lineRule="auto"/>
            </w:pPr>
            <w:r>
              <w:rPr>
                <w:color w:val="1A252F"/>
                <w:sz w:val="18"/>
              </w:rPr>
              <w:t xml:space="preserve">6.5</w:t>
            </w:r>
          </w:p>
        </w:tc>
        <w:tc>
          <w:tcPr>
            <w:tcW w:w="1500" w:type="dxa"/>
          </w:tcPr>
          <w:p>
            <w:pPr>
              <w:spacing w:before="40" w:after="40" w:line="240" w:lineRule="auto"/>
            </w:pPr>
            <w:r>
              <w:rPr>
                <w:color w:val="1A252F"/>
                <w:sz w:val="18"/>
              </w:rPr>
              <w:t xml:space="preserve">"Collaboratori etero-organizzati" status; judicial administration of platforms</w:t>
            </w:r>
          </w:p>
        </w:tc>
        <w:tc>
          <w:tcPr>
            <w:tcW w:w="1500" w:type="dxa"/>
          </w:tcPr>
          <w:p>
            <w:pPr>
              <w:spacing w:before="40" w:after="40" w:line="240" w:lineRule="auto"/>
            </w:pPr>
            <w:r>
              <w:rPr>
                <w:color w:val="1A252F"/>
                <w:sz w:val="18"/>
              </w:rPr>
              <w:t xml:space="preserve">Fragmented enforcement; "digital caporalato" persists </w:t>
            </w:r>
            <w:r>
              <w:rPr>
                <w:color w:val="C0392B"/>
                <w:sz w:val="16"/>
                <w:vertAlign w:val="superscript"/>
              </w:rPr>
              <w:t xml:space="preserve">[851]</w:t>
            </w:r>
          </w:p>
        </w:tc>
      </w:tr>
      <w:tr>
        <w:tc>
          <w:tcPr>
            <w:tcW w:w="1500" w:type="dxa"/>
          </w:tcPr>
          <w:p>
            <w:pPr>
              <w:spacing w:before="40" w:after="40" w:line="240" w:lineRule="auto"/>
            </w:pPr>
            <w:r>
              <w:rPr>
                <w:color w:val="1A252F"/>
                <w:sz w:val="18"/>
              </w:rPr>
              <w:t xml:space="preserve">8</w:t>
            </w:r>
          </w:p>
        </w:tc>
        <w:tc>
          <w:tcPr>
            <w:tcW w:w="1500" w:type="dxa"/>
          </w:tcPr>
          <w:p>
            <w:pPr>
              <w:spacing w:before="40" w:after="40" w:line="240" w:lineRule="auto"/>
            </w:pPr>
            <w:r>
              <w:rPr>
                <w:color w:val="1A252F"/>
                <w:sz w:val="18"/>
              </w:rPr>
              <w:t xml:space="preserve">EU (Directive 2024/2831)</w:t>
            </w:r>
          </w:p>
        </w:tc>
        <w:tc>
          <w:tcPr>
            <w:tcW w:w="1500" w:type="dxa"/>
          </w:tcPr>
          <w:p>
            <w:pPr>
              <w:spacing w:before="40" w:after="40" w:line="240" w:lineRule="auto"/>
            </w:pPr>
            <w:r>
              <w:rPr>
                <w:color w:val="1A252F"/>
                <w:sz w:val="18"/>
              </w:rPr>
              <w:t xml:space="preserve">2</w:t>
            </w:r>
          </w:p>
        </w:tc>
        <w:tc>
          <w:tcPr>
            <w:tcW w:w="1500" w:type="dxa"/>
          </w:tcPr>
          <w:p>
            <w:pPr>
              <w:spacing w:before="40" w:after="40" w:line="240" w:lineRule="auto"/>
            </w:pPr>
            <w:r>
              <w:rPr>
                <w:color w:val="1A252F"/>
                <w:sz w:val="18"/>
              </w:rPr>
              <w:t xml:space="preserve">6.5</w:t>
            </w:r>
          </w:p>
        </w:tc>
        <w:tc>
          <w:tcPr>
            <w:tcW w:w="1500" w:type="dxa"/>
          </w:tcPr>
          <w:p>
            <w:pPr>
              <w:spacing w:before="40" w:after="40" w:line="240" w:lineRule="auto"/>
            </w:pPr>
            <w:r>
              <w:rPr>
                <w:color w:val="1A252F"/>
                <w:sz w:val="18"/>
              </w:rPr>
              <w:t xml:space="preserve">Rebuttable presumption for 28M+ workers; algorithmic transparency</w:t>
            </w:r>
          </w:p>
        </w:tc>
        <w:tc>
          <w:tcPr>
            <w:tcW w:w="1500" w:type="dxa"/>
          </w:tcPr>
          <w:p>
            <w:pPr>
              <w:spacing w:before="40" w:after="40" w:line="240" w:lineRule="auto"/>
            </w:pPr>
            <w:r>
              <w:rPr>
                <w:color w:val="1A252F"/>
                <w:sz w:val="18"/>
              </w:rPr>
              <w:t xml:space="preserve">Not yet implemented; Dec 2026 transposition deadline </w:t>
            </w:r>
            <w:r>
              <w:rPr>
                <w:color w:val="C0392B"/>
                <w:sz w:val="16"/>
                <w:vertAlign w:val="superscript"/>
              </w:rPr>
              <w:t xml:space="preserve">[342]</w:t>
            </w:r>
          </w:p>
        </w:tc>
      </w:tr>
      <w:tr>
        <w:tc>
          <w:tcPr>
            <w:tcW w:w="1500" w:type="dxa"/>
          </w:tcPr>
          <w:p>
            <w:pPr>
              <w:spacing w:before="40" w:after="40" w:line="240" w:lineRule="auto"/>
            </w:pPr>
            <w:r>
              <w:rPr>
                <w:color w:val="1A252F"/>
                <w:sz w:val="18"/>
              </w:rPr>
              <w:t xml:space="preserve">9</w:t>
            </w:r>
          </w:p>
        </w:tc>
        <w:tc>
          <w:tcPr>
            <w:tcW w:w="1500" w:type="dxa"/>
          </w:tcPr>
          <w:p>
            <w:pPr>
              <w:spacing w:before="40" w:after="40" w:line="240" w:lineRule="auto"/>
            </w:pPr>
            <w:r>
              <w:rPr>
                <w:color w:val="1A252F"/>
                <w:sz w:val="18"/>
              </w:rPr>
              <w:t xml:space="preserve">Massachusetts</w:t>
            </w:r>
          </w:p>
        </w:tc>
        <w:tc>
          <w:tcPr>
            <w:tcW w:w="1500" w:type="dxa"/>
          </w:tcPr>
          <w:p>
            <w:pPr>
              <w:spacing w:before="40" w:after="40" w:line="240" w:lineRule="auto"/>
            </w:pPr>
            <w:r>
              <w:rPr>
                <w:color w:val="1A252F"/>
                <w:sz w:val="18"/>
              </w:rPr>
              <w:t xml:space="preserve">2</w:t>
            </w:r>
          </w:p>
        </w:tc>
        <w:tc>
          <w:tcPr>
            <w:tcW w:w="1500" w:type="dxa"/>
          </w:tcPr>
          <w:p>
            <w:pPr>
              <w:spacing w:before="40" w:after="40" w:line="240" w:lineRule="auto"/>
            </w:pPr>
            <w:r>
              <w:rPr>
                <w:color w:val="1A252F"/>
                <w:sz w:val="18"/>
              </w:rPr>
              <w:t xml:space="preserve">6.0</w:t>
            </w:r>
          </w:p>
        </w:tc>
        <w:tc>
          <w:tcPr>
            <w:tcW w:w="1500" w:type="dxa"/>
          </w:tcPr>
          <w:p>
            <w:pPr>
              <w:spacing w:before="40" w:after="40" w:line="240" w:lineRule="auto"/>
            </w:pPr>
            <w:r>
              <w:rPr>
                <w:color w:val="1A252F"/>
                <w:sz w:val="18"/>
              </w:rPr>
              <w:t xml:space="preserve">First US gig driver unionization; $32.50/hr settlement</w:t>
            </w:r>
          </w:p>
        </w:tc>
        <w:tc>
          <w:tcPr>
            <w:tcW w:w="1500" w:type="dxa"/>
          </w:tcPr>
          <w:p>
            <w:pPr>
              <w:spacing w:before="40" w:after="40" w:line="240" w:lineRule="auto"/>
            </w:pPr>
            <w:r>
              <w:rPr>
                <w:color w:val="1A252F"/>
                <w:sz w:val="18"/>
              </w:rPr>
              <w:t xml:space="preserve">Does not classify drivers as employees </w:t>
            </w:r>
            <w:r>
              <w:rPr>
                <w:color w:val="C0392B"/>
                <w:sz w:val="16"/>
                <w:vertAlign w:val="superscript"/>
              </w:rPr>
              <w:t xml:space="preserve">[967]</w:t>
            </w:r>
          </w:p>
        </w:tc>
      </w:tr>
      <w:tr>
        <w:tc>
          <w:tcPr>
            <w:tcW w:w="1500" w:type="dxa"/>
          </w:tcPr>
          <w:p>
            <w:pPr>
              <w:spacing w:before="40" w:after="40" w:line="240" w:lineRule="auto"/>
            </w:pPr>
            <w:r>
              <w:rPr>
                <w:color w:val="1A252F"/>
                <w:sz w:val="18"/>
              </w:rPr>
              <w:t xml:space="preserve">10</w:t>
            </w:r>
          </w:p>
        </w:tc>
        <w:tc>
          <w:tcPr>
            <w:tcW w:w="1500" w:type="dxa"/>
          </w:tcPr>
          <w:p>
            <w:pPr>
              <w:spacing w:before="40" w:after="40" w:line="240" w:lineRule="auto"/>
            </w:pPr>
            <w:r>
              <w:rPr>
                <w:color w:val="1A252F"/>
                <w:sz w:val="18"/>
              </w:rPr>
              <w:t xml:space="preserve">Ontario, Canada</w:t>
            </w:r>
          </w:p>
        </w:tc>
        <w:tc>
          <w:tcPr>
            <w:tcW w:w="1500" w:type="dxa"/>
          </w:tcPr>
          <w:p>
            <w:pPr>
              <w:spacing w:before="40" w:after="40" w:line="240" w:lineRule="auto"/>
            </w:pPr>
            <w:r>
              <w:rPr>
                <w:color w:val="1A252F"/>
                <w:sz w:val="18"/>
              </w:rPr>
              <w:t xml:space="preserve">2</w:t>
            </w:r>
          </w:p>
        </w:tc>
        <w:tc>
          <w:tcPr>
            <w:tcW w:w="1500" w:type="dxa"/>
          </w:tcPr>
          <w:p>
            <w:pPr>
              <w:spacing w:before="40" w:after="40" w:line="240" w:lineRule="auto"/>
            </w:pPr>
            <w:r>
              <w:rPr>
                <w:color w:val="1A252F"/>
                <w:sz w:val="18"/>
              </w:rPr>
              <w:t xml:space="preserve">5.5</w:t>
            </w:r>
          </w:p>
        </w:tc>
        <w:tc>
          <w:tcPr>
            <w:tcW w:w="1500" w:type="dxa"/>
          </w:tcPr>
          <w:p>
            <w:pPr>
              <w:spacing w:before="40" w:after="40" w:line="240" w:lineRule="auto"/>
            </w:pPr>
            <w:r>
              <w:rPr>
                <w:color w:val="1A252F"/>
                <w:sz w:val="18"/>
              </w:rPr>
              <w:t xml:space="preserve">Minimum wage for assignments; transparency requirements</w:t>
            </w:r>
          </w:p>
        </w:tc>
        <w:tc>
          <w:tcPr>
            <w:tcW w:w="1500" w:type="dxa"/>
          </w:tcPr>
          <w:p>
            <w:pPr>
              <w:spacing w:before="40" w:after="40" w:line="240" w:lineRule="auto"/>
            </w:pPr>
            <w:r>
              <w:rPr>
                <w:color w:val="1A252F"/>
                <w:sz w:val="18"/>
              </w:rPr>
              <w:t xml:space="preserve">"Engaged time" only; limited scope </w:t>
            </w:r>
            <w:r>
              <w:rPr>
                <w:color w:val="C0392B"/>
                <w:sz w:val="16"/>
                <w:vertAlign w:val="superscript"/>
              </w:rPr>
              <w:t xml:space="preserve">[925]</w:t>
            </w:r>
          </w:p>
        </w:tc>
      </w:tr>
      <w:tr>
        <w:tc>
          <w:tcPr>
            <w:tcW w:w="1500" w:type="dxa"/>
          </w:tcPr>
          <w:p>
            <w:pPr>
              <w:spacing w:before="40" w:after="40" w:line="240" w:lineRule="auto"/>
            </w:pPr>
            <w:r>
              <w:rPr>
                <w:color w:val="1A252F"/>
                <w:sz w:val="18"/>
              </w:rPr>
              <w:t xml:space="preserve">11</w:t>
            </w:r>
          </w:p>
        </w:tc>
        <w:tc>
          <w:tcPr>
            <w:tcW w:w="1500" w:type="dxa"/>
          </w:tcPr>
          <w:p>
            <w:pPr>
              <w:spacing w:before="40" w:after="40" w:line="240" w:lineRule="auto"/>
            </w:pPr>
            <w:r>
              <w:rPr>
                <w:color w:val="1A252F"/>
                <w:sz w:val="18"/>
              </w:rPr>
              <w:t xml:space="preserve">France</w:t>
            </w:r>
          </w:p>
        </w:tc>
        <w:tc>
          <w:tcPr>
            <w:tcW w:w="1500" w:type="dxa"/>
          </w:tcPr>
          <w:p>
            <w:pPr>
              <w:spacing w:before="40" w:after="40" w:line="240" w:lineRule="auto"/>
            </w:pPr>
            <w:r>
              <w:rPr>
                <w:color w:val="1A252F"/>
                <w:sz w:val="18"/>
              </w:rPr>
              <w:t xml:space="preserve">2</w:t>
            </w:r>
          </w:p>
        </w:tc>
        <w:tc>
          <w:tcPr>
            <w:tcW w:w="1500" w:type="dxa"/>
          </w:tcPr>
          <w:p>
            <w:pPr>
              <w:spacing w:before="40" w:after="40" w:line="240" w:lineRule="auto"/>
            </w:pPr>
            <w:r>
              <w:rPr>
                <w:color w:val="1A252F"/>
                <w:sz w:val="18"/>
              </w:rPr>
              <w:t xml:space="preserve">5.0</w:t>
            </w:r>
          </w:p>
        </w:tc>
        <w:tc>
          <w:tcPr>
            <w:tcW w:w="1500" w:type="dxa"/>
          </w:tcPr>
          <w:p>
            <w:pPr>
              <w:spacing w:before="40" w:after="40" w:line="240" w:lineRule="auto"/>
            </w:pPr>
            <w:r>
              <w:rPr>
                <w:color w:val="1A252F"/>
                <w:sz w:val="18"/>
              </w:rPr>
              <w:t xml:space="preserve">Strong court precedents; EU Directive incoming</w:t>
            </w:r>
          </w:p>
        </w:tc>
        <w:tc>
          <w:tcPr>
            <w:tcW w:w="1500" w:type="dxa"/>
          </w:tcPr>
          <w:p>
            <w:pPr>
              <w:spacing w:before="40" w:after="40" w:line="240" w:lineRule="auto"/>
            </w:pPr>
            <w:r>
              <w:rPr>
                <w:color w:val="1A252F"/>
                <w:sz w:val="18"/>
              </w:rPr>
              <w:t xml:space="preserve">July 2025 ruling weakened driver status </w:t>
            </w:r>
            <w:r>
              <w:rPr>
                <w:color w:val="C0392B"/>
                <w:sz w:val="16"/>
                <w:vertAlign w:val="superscript"/>
              </w:rPr>
              <w:t xml:space="preserve">[336]</w:t>
            </w:r>
          </w:p>
        </w:tc>
      </w:tr>
      <w:tr>
        <w:tc>
          <w:tcPr>
            <w:tcW w:w="1500" w:type="dxa"/>
          </w:tcPr>
          <w:p>
            <w:pPr>
              <w:spacing w:before="40" w:after="40" w:line="240" w:lineRule="auto"/>
            </w:pPr>
            <w:r>
              <w:rPr>
                <w:color w:val="1A252F"/>
                <w:sz w:val="18"/>
              </w:rPr>
              <w:t xml:space="preserve">12</w:t>
            </w:r>
          </w:p>
        </w:tc>
        <w:tc>
          <w:tcPr>
            <w:tcW w:w="1500" w:type="dxa"/>
          </w:tcPr>
          <w:p>
            <w:pPr>
              <w:spacing w:before="40" w:after="40" w:line="240" w:lineRule="auto"/>
            </w:pPr>
            <w:r>
              <w:rPr>
                <w:color w:val="1A252F"/>
                <w:sz w:val="18"/>
              </w:rPr>
              <w:t xml:space="preserve">Netherlands</w:t>
            </w:r>
          </w:p>
        </w:tc>
        <w:tc>
          <w:tcPr>
            <w:tcW w:w="1500" w:type="dxa"/>
          </w:tcPr>
          <w:p>
            <w:pPr>
              <w:spacing w:before="40" w:after="40" w:line="240" w:lineRule="auto"/>
            </w:pPr>
            <w:r>
              <w:rPr>
                <w:color w:val="1A252F"/>
                <w:sz w:val="18"/>
              </w:rPr>
              <w:t xml:space="preserve">2</w:t>
            </w:r>
          </w:p>
        </w:tc>
        <w:tc>
          <w:tcPr>
            <w:tcW w:w="1500" w:type="dxa"/>
          </w:tcPr>
          <w:p>
            <w:pPr>
              <w:spacing w:before="40" w:after="40" w:line="240" w:lineRule="auto"/>
            </w:pPr>
            <w:r>
              <w:rPr>
                <w:color w:val="1A252F"/>
                <w:sz w:val="18"/>
              </w:rPr>
              <w:t xml:space="preserve">5.0</w:t>
            </w:r>
          </w:p>
        </w:tc>
        <w:tc>
          <w:tcPr>
            <w:tcW w:w="1500" w:type="dxa"/>
          </w:tcPr>
          <w:p>
            <w:pPr>
              <w:spacing w:before="40" w:after="40" w:line="240" w:lineRule="auto"/>
            </w:pPr>
            <w:r>
              <w:rPr>
                <w:color w:val="1A252F"/>
                <w:sz w:val="18"/>
              </w:rPr>
              <w:t xml:space="preserve">Pension obligations for Deliveroo; Deliveroo exited market</w:t>
            </w:r>
          </w:p>
        </w:tc>
        <w:tc>
          <w:tcPr>
            <w:tcW w:w="1500" w:type="dxa"/>
          </w:tcPr>
          <w:p>
            <w:pPr>
              <w:spacing w:before="40" w:after="40" w:line="240" w:lineRule="auto"/>
            </w:pPr>
            <w:r>
              <w:rPr>
                <w:color w:val="1A252F"/>
                <w:sz w:val="18"/>
              </w:rPr>
              <w:t xml:space="preserve">No statutory presumption yet </w:t>
            </w:r>
            <w:r>
              <w:rPr>
                <w:color w:val="C0392B"/>
                <w:sz w:val="16"/>
                <w:vertAlign w:val="superscript"/>
              </w:rPr>
              <w:t xml:space="preserve">[674]</w:t>
            </w:r>
          </w:p>
        </w:tc>
      </w:tr>
      <w:tr>
        <w:tc>
          <w:tcPr>
            <w:tcW w:w="1500" w:type="dxa"/>
          </w:tcPr>
          <w:p>
            <w:pPr>
              <w:spacing w:before="40" w:after="40" w:line="240" w:lineRule="auto"/>
            </w:pPr>
            <w:r>
              <w:rPr>
                <w:color w:val="1A252F"/>
                <w:sz w:val="18"/>
              </w:rPr>
              <w:t xml:space="preserve">13</w:t>
            </w:r>
          </w:p>
        </w:tc>
        <w:tc>
          <w:tcPr>
            <w:tcW w:w="1500" w:type="dxa"/>
          </w:tcPr>
          <w:p>
            <w:pPr>
              <w:spacing w:before="40" w:after="40" w:line="240" w:lineRule="auto"/>
            </w:pPr>
            <w:r>
              <w:rPr>
                <w:color w:val="1A252F"/>
                <w:sz w:val="18"/>
              </w:rPr>
              <w:t xml:space="preserve">Germany</w:t>
            </w:r>
          </w:p>
        </w:tc>
        <w:tc>
          <w:tcPr>
            <w:tcW w:w="1500" w:type="dxa"/>
          </w:tcPr>
          <w:p>
            <w:pPr>
              <w:spacing w:before="40" w:after="40" w:line="240" w:lineRule="auto"/>
            </w:pPr>
            <w:r>
              <w:rPr>
                <w:color w:val="1A252F"/>
                <w:sz w:val="18"/>
              </w:rPr>
              <w:t xml:space="preserve">3</w:t>
            </w:r>
          </w:p>
        </w:tc>
        <w:tc>
          <w:tcPr>
            <w:tcW w:w="1500" w:type="dxa"/>
          </w:tcPr>
          <w:p>
            <w:pPr>
              <w:spacing w:before="40" w:after="40" w:line="240" w:lineRule="auto"/>
            </w:pPr>
            <w:r>
              <w:rPr>
                <w:color w:val="1A252F"/>
                <w:sz w:val="18"/>
              </w:rPr>
              <w:t xml:space="preserve">4.5</w:t>
            </w:r>
          </w:p>
        </w:tc>
        <w:tc>
          <w:tcPr>
            <w:tcW w:w="1500" w:type="dxa"/>
          </w:tcPr>
          <w:p>
            <w:pPr>
              <w:spacing w:before="40" w:after="40" w:line="240" w:lineRule="auto"/>
            </w:pPr>
            <w:r>
              <w:rPr>
                <w:color w:val="1A252F"/>
                <w:sz w:val="18"/>
              </w:rPr>
              <w:t xml:space="preserve">Bundesarbeitsgericht crowdworker precedent; strong courts</w:t>
            </w:r>
          </w:p>
        </w:tc>
        <w:tc>
          <w:tcPr>
            <w:tcW w:w="1500" w:type="dxa"/>
          </w:tcPr>
          <w:p>
            <w:pPr>
              <w:spacing w:before="40" w:after="40" w:line="240" w:lineRule="auto"/>
            </w:pPr>
            <w:r>
              <w:rPr>
                <w:color w:val="1A252F"/>
                <w:sz w:val="18"/>
              </w:rPr>
              <w:t xml:space="preserve">Limited collective bargaining; no statutory presumption </w:t>
            </w:r>
            <w:r>
              <w:rPr>
                <w:color w:val="C0392B"/>
                <w:sz w:val="16"/>
                <w:vertAlign w:val="superscript"/>
              </w:rPr>
              <w:t xml:space="preserve">[341]</w:t>
            </w:r>
          </w:p>
        </w:tc>
      </w:tr>
      <w:tr>
        <w:tc>
          <w:tcPr>
            <w:tcW w:w="1500" w:type="dxa"/>
          </w:tcPr>
          <w:p>
            <w:pPr>
              <w:spacing w:before="40" w:after="40" w:line="240" w:lineRule="auto"/>
            </w:pPr>
            <w:r>
              <w:rPr>
                <w:color w:val="1A252F"/>
                <w:sz w:val="18"/>
              </w:rPr>
              <w:t xml:space="preserve">14</w:t>
            </w:r>
          </w:p>
        </w:tc>
        <w:tc>
          <w:tcPr>
            <w:tcW w:w="1500" w:type="dxa"/>
          </w:tcPr>
          <w:p>
            <w:pPr>
              <w:spacing w:before="40" w:after="40" w:line="240" w:lineRule="auto"/>
            </w:pPr>
            <w:r>
              <w:rPr>
                <w:color w:val="1A252F"/>
                <w:sz w:val="18"/>
              </w:rPr>
              <w:t xml:space="preserve">Nordic Countries</w:t>
            </w:r>
          </w:p>
        </w:tc>
        <w:tc>
          <w:tcPr>
            <w:tcW w:w="1500" w:type="dxa"/>
          </w:tcPr>
          <w:p>
            <w:pPr>
              <w:spacing w:before="40" w:after="40" w:line="240" w:lineRule="auto"/>
            </w:pPr>
            <w:r>
              <w:rPr>
                <w:color w:val="1A252F"/>
                <w:sz w:val="18"/>
              </w:rPr>
              <w:t xml:space="preserve">3</w:t>
            </w:r>
          </w:p>
        </w:tc>
        <w:tc>
          <w:tcPr>
            <w:tcW w:w="1500" w:type="dxa"/>
          </w:tcPr>
          <w:p>
            <w:pPr>
              <w:spacing w:before="40" w:after="40" w:line="240" w:lineRule="auto"/>
            </w:pPr>
            <w:r>
              <w:rPr>
                <w:color w:val="1A252F"/>
                <w:sz w:val="18"/>
              </w:rPr>
              <w:t xml:space="preserve">4.5</w:t>
            </w:r>
          </w:p>
        </w:tc>
        <w:tc>
          <w:tcPr>
            <w:tcW w:w="1500" w:type="dxa"/>
          </w:tcPr>
          <w:p>
            <w:pPr>
              <w:spacing w:before="40" w:after="40" w:line="240" w:lineRule="auto"/>
            </w:pPr>
            <w:r>
              <w:rPr>
                <w:color w:val="1A252F"/>
                <w:sz w:val="18"/>
              </w:rPr>
              <w:t xml:space="preserve">Strong collective bargaining model</w:t>
            </w:r>
          </w:p>
        </w:tc>
        <w:tc>
          <w:tcPr>
            <w:tcW w:w="1500" w:type="dxa"/>
          </w:tcPr>
          <w:p>
            <w:pPr>
              <w:spacing w:before="40" w:after="40" w:line="240" w:lineRule="auto"/>
            </w:pPr>
            <w:r>
              <w:rPr>
                <w:color w:val="1A252F"/>
                <w:sz w:val="18"/>
              </w:rPr>
              <w:t xml:space="preserve">Platforms exploit self-employment loopholes </w:t>
            </w:r>
            <w:r>
              <w:rPr>
                <w:color w:val="C0392B"/>
                <w:sz w:val="16"/>
                <w:vertAlign w:val="superscript"/>
              </w:rPr>
              <w:t xml:space="preserve">[959]</w:t>
            </w:r>
          </w:p>
        </w:tc>
      </w:tr>
      <w:tr>
        <w:tc>
          <w:tcPr>
            <w:tcW w:w="1500" w:type="dxa"/>
          </w:tcPr>
          <w:p>
            <w:pPr>
              <w:spacing w:before="40" w:after="40" w:line="240" w:lineRule="auto"/>
            </w:pPr>
            <w:r>
              <w:rPr>
                <w:color w:val="1A252F"/>
                <w:sz w:val="18"/>
              </w:rPr>
              <w:t xml:space="preserve">15</w:t>
            </w:r>
          </w:p>
        </w:tc>
        <w:tc>
          <w:tcPr>
            <w:tcW w:w="1500" w:type="dxa"/>
          </w:tcPr>
          <w:p>
            <w:pPr>
              <w:spacing w:before="40" w:after="40" w:line="240" w:lineRule="auto"/>
            </w:pPr>
            <w:r>
              <w:rPr>
                <w:color w:val="1A252F"/>
                <w:sz w:val="18"/>
              </w:rPr>
              <w:t xml:space="preserve">Brazil</w:t>
            </w:r>
          </w:p>
        </w:tc>
        <w:tc>
          <w:tcPr>
            <w:tcW w:w="1500" w:type="dxa"/>
          </w:tcPr>
          <w:p>
            <w:pPr>
              <w:spacing w:before="40" w:after="40" w:line="240" w:lineRule="auto"/>
            </w:pPr>
            <w:r>
              <w:rPr>
                <w:color w:val="1A252F"/>
                <w:sz w:val="18"/>
              </w:rPr>
              <w:t xml:space="preserve">3</w:t>
            </w:r>
          </w:p>
        </w:tc>
        <w:tc>
          <w:tcPr>
            <w:tcW w:w="1500" w:type="dxa"/>
          </w:tcPr>
          <w:p>
            <w:pPr>
              <w:spacing w:before="40" w:after="40" w:line="240" w:lineRule="auto"/>
            </w:pPr>
            <w:r>
              <w:rPr>
                <w:color w:val="1A252F"/>
                <w:sz w:val="18"/>
              </w:rPr>
              <w:t xml:space="preserve">4.0</w:t>
            </w:r>
          </w:p>
        </w:tc>
        <w:tc>
          <w:tcPr>
            <w:tcW w:w="1500" w:type="dxa"/>
          </w:tcPr>
          <w:p>
            <w:pPr>
              <w:spacing w:before="40" w:after="40" w:line="240" w:lineRule="auto"/>
            </w:pPr>
            <w:r>
              <w:rPr>
                <w:color w:val="1A252F"/>
                <w:sz w:val="18"/>
              </w:rPr>
              <w:t xml:space="preserve">PLP 12/2024 pending; iFood R$10M ruling</w:t>
            </w:r>
          </w:p>
        </w:tc>
        <w:tc>
          <w:tcPr>
            <w:tcW w:w="1500" w:type="dxa"/>
          </w:tcPr>
          <w:p>
            <w:pPr>
              <w:spacing w:before="40" w:after="40" w:line="240" w:lineRule="auto"/>
            </w:pPr>
            <w:r>
              <w:rPr>
                <w:color w:val="1A252F"/>
                <w:sz w:val="18"/>
              </w:rPr>
              <w:t xml:space="preserve">Legislation not yet passed </w:t>
            </w:r>
            <w:r>
              <w:rPr>
                <w:color w:val="C0392B"/>
                <w:sz w:val="16"/>
                <w:vertAlign w:val="superscript"/>
              </w:rPr>
              <w:t xml:space="preserve">[970]</w:t>
            </w:r>
          </w:p>
        </w:tc>
      </w:tr>
      <w:tr>
        <w:tc>
          <w:tcPr>
            <w:tcW w:w="1500" w:type="dxa"/>
          </w:tcPr>
          <w:p>
            <w:pPr>
              <w:spacing w:before="40" w:after="40" w:line="240" w:lineRule="auto"/>
            </w:pPr>
            <w:r>
              <w:rPr>
                <w:color w:val="1A252F"/>
                <w:sz w:val="18"/>
              </w:rPr>
              <w:t xml:space="preserve">16</w:t>
            </w:r>
          </w:p>
        </w:tc>
        <w:tc>
          <w:tcPr>
            <w:tcW w:w="1500" w:type="dxa"/>
          </w:tcPr>
          <w:p>
            <w:pPr>
              <w:spacing w:before="40" w:after="40" w:line="240" w:lineRule="auto"/>
            </w:pPr>
            <w:r>
              <w:rPr>
                <w:color w:val="1A252F"/>
                <w:sz w:val="18"/>
              </w:rPr>
              <w:t xml:space="preserve">India</w:t>
            </w:r>
          </w:p>
        </w:tc>
        <w:tc>
          <w:tcPr>
            <w:tcW w:w="1500" w:type="dxa"/>
          </w:tcPr>
          <w:p>
            <w:pPr>
              <w:spacing w:before="40" w:after="40" w:line="240" w:lineRule="auto"/>
            </w:pPr>
            <w:r>
              <w:rPr>
                <w:color w:val="1A252F"/>
                <w:sz w:val="18"/>
              </w:rPr>
              <w:t xml:space="preserve">3</w:t>
            </w:r>
          </w:p>
        </w:tc>
        <w:tc>
          <w:tcPr>
            <w:tcW w:w="1500" w:type="dxa"/>
          </w:tcPr>
          <w:p>
            <w:pPr>
              <w:spacing w:before="40" w:after="40" w:line="240" w:lineRule="auto"/>
            </w:pPr>
            <w:r>
              <w:rPr>
                <w:color w:val="1A252F"/>
                <w:sz w:val="18"/>
              </w:rPr>
              <w:t xml:space="preserve">3.5</w:t>
            </w:r>
          </w:p>
        </w:tc>
        <w:tc>
          <w:tcPr>
            <w:tcW w:w="1500" w:type="dxa"/>
          </w:tcPr>
          <w:p>
            <w:pPr>
              <w:spacing w:before="40" w:after="40" w:line="240" w:lineRule="auto"/>
            </w:pPr>
            <w:r>
              <w:rPr>
                <w:color w:val="1A252F"/>
                <w:sz w:val="18"/>
              </w:rPr>
              <w:t xml:space="preserve">Code on Social Security 2020; state-level initiatives</w:t>
            </w:r>
          </w:p>
        </w:tc>
        <w:tc>
          <w:tcPr>
            <w:tcW w:w="1500" w:type="dxa"/>
          </w:tcPr>
          <w:p>
            <w:pPr>
              <w:spacing w:before="40" w:after="40" w:line="240" w:lineRule="auto"/>
            </w:pPr>
            <w:r>
              <w:rPr>
                <w:b/>
                <w:color w:val="1A252F"/>
                <w:sz w:val="18"/>
              </w:rPr>
              <w:t xml:space="preserve">Code not notified as of mid-2026</w:t>
            </w:r>
            <w:r>
              <w:rPr>
                <w:color w:val="1A252F"/>
                <w:sz w:val="18"/>
              </w:rPr>
              <w:t xml:space="preserve"> </w:t>
            </w:r>
            <w:r>
              <w:rPr>
                <w:color w:val="C0392B"/>
                <w:sz w:val="16"/>
                <w:vertAlign w:val="superscript"/>
              </w:rPr>
              <w:t xml:space="preserve">[883]</w:t>
            </w:r>
          </w:p>
        </w:tc>
      </w:tr>
      <w:tr>
        <w:tc>
          <w:tcPr>
            <w:tcW w:w="1500" w:type="dxa"/>
          </w:tcPr>
          <w:p>
            <w:pPr>
              <w:spacing w:before="40" w:after="40" w:line="240" w:lineRule="auto"/>
            </w:pPr>
            <w:r>
              <w:rPr>
                <w:color w:val="1A252F"/>
                <w:sz w:val="18"/>
              </w:rPr>
              <w:t xml:space="preserve">17</w:t>
            </w:r>
          </w:p>
        </w:tc>
        <w:tc>
          <w:tcPr>
            <w:tcW w:w="1500" w:type="dxa"/>
          </w:tcPr>
          <w:p>
            <w:pPr>
              <w:spacing w:before="40" w:after="40" w:line="240" w:lineRule="auto"/>
            </w:pPr>
            <w:r>
              <w:rPr>
                <w:color w:val="1A252F"/>
                <w:sz w:val="18"/>
              </w:rPr>
              <w:t xml:space="preserve">California</w:t>
            </w:r>
          </w:p>
        </w:tc>
        <w:tc>
          <w:tcPr>
            <w:tcW w:w="1500" w:type="dxa"/>
          </w:tcPr>
          <w:p>
            <w:pPr>
              <w:spacing w:before="40" w:after="40" w:line="240" w:lineRule="auto"/>
            </w:pPr>
            <w:r>
              <w:rPr>
                <w:color w:val="1A252F"/>
                <w:sz w:val="18"/>
              </w:rPr>
              <w:t xml:space="preserve">3</w:t>
            </w:r>
          </w:p>
        </w:tc>
        <w:tc>
          <w:tcPr>
            <w:tcW w:w="1500" w:type="dxa"/>
          </w:tcPr>
          <w:p>
            <w:pPr>
              <w:spacing w:before="40" w:after="40" w:line="240" w:lineRule="auto"/>
            </w:pPr>
            <w:r>
              <w:rPr>
                <w:color w:val="1A252F"/>
                <w:sz w:val="18"/>
              </w:rPr>
              <w:t xml:space="preserve">3.0</w:t>
            </w:r>
          </w:p>
        </w:tc>
        <w:tc>
          <w:tcPr>
            <w:tcW w:w="1500" w:type="dxa"/>
          </w:tcPr>
          <w:p>
            <w:pPr>
              <w:spacing w:before="40" w:after="40" w:line="240" w:lineRule="auto"/>
            </w:pPr>
            <w:r>
              <w:rPr>
                <w:color w:val="1A252F"/>
                <w:sz w:val="18"/>
              </w:rPr>
              <w:t xml:space="preserve">AB5 strong on paper</w:t>
            </w:r>
          </w:p>
        </w:tc>
        <w:tc>
          <w:tcPr>
            <w:tcW w:w="1500" w:type="dxa"/>
          </w:tcPr>
          <w:p>
            <w:pPr>
              <w:spacing w:before="40" w:after="40" w:line="240" w:lineRule="auto"/>
            </w:pPr>
            <w:r>
              <w:rPr>
                <w:color w:val="1A252F"/>
                <w:sz w:val="18"/>
              </w:rPr>
              <w:t xml:space="preserve">Prop 22 carve-out gutted protections </w:t>
            </w:r>
            <w:r>
              <w:rPr>
                <w:color w:val="C0392B"/>
                <w:sz w:val="16"/>
                <w:vertAlign w:val="superscript"/>
              </w:rPr>
              <w:t xml:space="preserve">[606]</w:t>
            </w:r>
          </w:p>
        </w:tc>
      </w:tr>
    </w:tbl>
    <w:p>
      <w:pPr>
        <w:spacing w:after="200"/>
      </w:pPr>
    </w:p>
    <w:p>
      <w:pPr>
        <w:spacing w:after="160" w:line="300" w:lineRule="auto"/>
      </w:pPr>
      <w:r>
        <w:rPr>
          <w:color w:val="1A252F"/>
          <w:sz w:val="22"/>
        </w:rPr>
        <w:t xml:space="preserve">The tier distribution reveals a stark geographic divide. Tier 1 jurisdictions — the UK, Spain, and Australia — share a common characteristic: each has moved beyond litigation-based recovery toward structural presumption of employment or worker status. Spain's Rider Law places the burden on platforms to prove workers are not employees. Australia's "employee-like worker" category creates a bespoke status with enforceable minimum standards. The UK's three-tier system, refined through </w:t>
      </w:r>
      <w:r>
        <w:rPr>
          <w:i/>
          <w:color w:val="1A252F"/>
          <w:sz w:val="22"/>
        </w:rPr>
        <w:t xml:space="preserve">Uber BV v Aslam</w:t>
      </w:r>
      <w:r>
        <w:rPr>
          <w:color w:val="1A252F"/>
          <w:sz w:val="22"/>
        </w:rPr>
        <w:t xml:space="preserve">, recognizes that platform work occupies a distinct space between full employment and genuine self-employment.</w:t>
      </w:r>
    </w:p>
    <w:p>
      <w:pPr>
        <w:spacing w:after="160" w:line="300" w:lineRule="auto"/>
      </w:pPr>
      <w:r>
        <w:rPr>
          <w:color w:val="1A252F"/>
          <w:sz w:val="22"/>
        </w:rPr>
        <w:t xml:space="preserve">Tier 2 is the largest and most dynamic group. These jurisdictions have enacted meaningful protections but have not yet achieved the structural transformation seen in Tier 1. New York State exemplifies the enforcement model: Attorney General Letitia James's $328 million recovery from Uber and Lyft demonstrates that determined state-level enforcement can produce results rivaling federal agencies.</w:t>
      </w:r>
      <w:r>
        <w:rPr>
          <w:color w:val="C0392B"/>
          <w:sz w:val="16"/>
          <w:vertAlign w:val="superscript"/>
        </w:rPr>
        <w:t xml:space="preserve">[285]</w:t>
      </w:r>
      <w:r>
        <w:rPr>
          <w:color w:val="1A252F"/>
          <w:sz w:val="22"/>
        </w:rPr>
        <w:t xml:space="preserve"> The DOL's entire FY2024 recovery across all industries was $273 million;</w:t>
      </w:r>
      <w:r>
        <w:rPr>
          <w:color w:val="C0392B"/>
          <w:sz w:val="16"/>
          <w:vertAlign w:val="superscript"/>
        </w:rPr>
        <w:t xml:space="preserve">[742]</w:t>
      </w:r>
      <w:r>
        <w:rPr>
          <w:color w:val="1A252F"/>
          <w:sz w:val="22"/>
        </w:rPr>
        <w:t xml:space="preserve"> a single state AG extracted $328 million from two companies. The European Union's inclusion in Tier 2 rather than Tier 1 reflects the gap between directive adoption and member state implementation. Directive (EU) 2024/2831 was formally adopted in October 2024,</w:t>
      </w:r>
      <w:r>
        <w:rPr>
          <w:color w:val="C0392B"/>
          <w:sz w:val="16"/>
          <w:vertAlign w:val="superscript"/>
        </w:rPr>
        <w:t xml:space="preserve">[597]</w:t>
      </w:r>
      <w:r>
        <w:rPr>
          <w:color w:val="1A252F"/>
          <w:sz w:val="22"/>
        </w:rPr>
        <w:t xml:space="preserve"> but as of April 2026, most member states — including Germany, France, Ireland, and Italy — had not yet passed implementing legislation.</w:t>
      </w:r>
      <w:r>
        <w:rPr>
          <w:color w:val="C0392B"/>
          <w:sz w:val="16"/>
          <w:vertAlign w:val="superscript"/>
        </w:rPr>
        <w:t xml:space="preserve">[673]</w:t>
      </w:r>
    </w:p>
    <w:p>
      <w:pPr>
        <w:spacing w:after="160" w:line="300" w:lineRule="auto"/>
      </w:pPr>
      <w:r>
        <w:rPr>
          <w:color w:val="1A252F"/>
          <w:sz w:val="22"/>
        </w:rPr>
        <w:t xml:space="preserve">Tier 3 jurisdictions illustrate the persistence of exploitation at scale. California, despite having the nation's strongest employment classification statute in AB5 (codifying the ABC test from </w:t>
      </w:r>
      <w:r>
        <w:rPr>
          <w:i/>
          <w:color w:val="1A252F"/>
          <w:sz w:val="22"/>
        </w:rPr>
        <w:t xml:space="preserve">Dynamex</w:t>
      </w:r>
      <w:r>
        <w:rPr>
          <w:color w:val="1A252F"/>
          <w:sz w:val="22"/>
        </w:rPr>
        <w:t xml:space="preserve">), ranks at the bottom of developed-economy protections because Proposition 22 carved out app-based transportation and delivery companies from employee classification.</w:t>
      </w:r>
      <w:r>
        <w:rPr>
          <w:color w:val="C0392B"/>
          <w:sz w:val="16"/>
          <w:vertAlign w:val="superscript"/>
        </w:rPr>
        <w:t xml:space="preserve">[606]</w:t>
      </w:r>
      <w:r>
        <w:rPr>
          <w:color w:val="1A252F"/>
          <w:sz w:val="22"/>
        </w:rPr>
        <w:t xml:space="preserve"> The California Supreme Court unanimously upheld Prop 22 in July 2024,</w:t>
      </w:r>
      <w:r>
        <w:rPr>
          <w:color w:val="C0392B"/>
          <w:sz w:val="16"/>
          <w:vertAlign w:val="superscript"/>
        </w:rPr>
        <w:t xml:space="preserve">[488]</w:t>
      </w:r>
      <w:r>
        <w:rPr>
          <w:color w:val="1A252F"/>
          <w:sz w:val="22"/>
        </w:rPr>
        <w:t xml:space="preserve"> and a CalMatters investigation found that nearly 200 wage claims filed since December 2020 went largely unenforced because the Industrial Relations Department cited lack of jurisdiction over independent contractors.</w:t>
      </w:r>
      <w:r>
        <w:rPr>
          <w:color w:val="C0392B"/>
          <w:sz w:val="16"/>
          <w:vertAlign w:val="superscript"/>
        </w:rPr>
        <w:t xml:space="preserve">[676]</w:t>
      </w:r>
      <w:r>
        <w:rPr>
          <w:color w:val="1A252F"/>
          <w:sz w:val="22"/>
        </w:rPr>
        <w:t xml:space="preserve"> India presents perhaps the most consequential gap: its Code on Social Security 2020 contains first-ever statutory definitions for gig and platform workers and mandates aggregator contributions of 1-2% of annual turnover,</w:t>
      </w:r>
      <w:r>
        <w:rPr>
          <w:color w:val="C0392B"/>
          <w:sz w:val="16"/>
          <w:vertAlign w:val="superscript"/>
        </w:rPr>
        <w:t xml:space="preserve">[639]</w:t>
      </w:r>
      <w:r>
        <w:rPr>
          <w:color w:val="1A252F"/>
          <w:sz w:val="22"/>
        </w:rPr>
        <w:t xml:space="preserve"> yet as of mid-2026, the code had not been fully notified for implementation, leaving an estimated 7.7 million gig workers without operative protections.</w:t>
      </w:r>
      <w:r>
        <w:rPr>
          <w:color w:val="C0392B"/>
          <w:sz w:val="16"/>
          <w:vertAlign w:val="superscript"/>
        </w:rPr>
        <w:t xml:space="preserve">[883]</w:t>
      </w:r>
    </w:p>
    <w:p>
      <w:pPr>
        <w:pStyle w:val="Heading3"/>
      </w:pPr>
      <w:r>
        <w:rPr>
          <w:color w:val="1A252F"/>
          <w:sz w:val="22"/>
        </w:rPr>
        <w:t xml:space="preserve">3.3 EU Platform Work Directive Impact Projection</w:t>
      </w:r>
    </w:p>
    <w:p>
      <w:pPr>
        <w:spacing w:after="160" w:line="300" w:lineRule="auto"/>
      </w:pPr>
      <w:r>
        <w:rPr>
          <w:color w:val="1A252F"/>
          <w:sz w:val="22"/>
        </w:rPr>
        <w:t xml:space="preserve">Directive (EU) 2024/2831 on improving working conditions in platform work represents the single most consequential regulatory development for gig workers in the 2020s. Adopted by the Council on October 14, 2024, and published in the Official Journal on November 11, 2024, the Directive introduces a </w:t>
      </w:r>
      <w:r>
        <w:rPr>
          <w:b/>
          <w:color w:val="1A252F"/>
          <w:sz w:val="22"/>
        </w:rPr>
        <w:t xml:space="preserve">rebuttable legal presumption of employment</w:t>
      </w:r>
      <w:r>
        <w:rPr>
          <w:color w:val="1A252F"/>
          <w:sz w:val="22"/>
        </w:rPr>
        <w:t xml:space="preserve"> that affects an estimated </w:t>
      </w:r>
      <w:r>
        <w:rPr>
          <w:b/>
          <w:color w:val="1A252F"/>
          <w:sz w:val="22"/>
        </w:rPr>
        <w:t xml:space="preserve">28 million+ platform workers</w:t>
      </w:r>
      <w:r>
        <w:rPr>
          <w:color w:val="1A252F"/>
          <w:sz w:val="22"/>
        </w:rPr>
        <w:t xml:space="preserve"> across all 27 member states.</w:t>
      </w:r>
      <w:r>
        <w:rPr>
          <w:color w:val="C0392B"/>
          <w:sz w:val="16"/>
          <w:vertAlign w:val="superscript"/>
        </w:rPr>
        <w:t xml:space="preserve">[597]</w:t>
      </w:r>
      <w:r>
        <w:rPr>
          <w:color w:val="1A252F"/>
          <w:sz w:val="22"/>
        </w:rPr>
        <w:t xml:space="preserve"> </w:t>
      </w:r>
      <w:r>
        <w:rPr>
          <w:color w:val="C0392B"/>
          <w:sz w:val="16"/>
          <w:vertAlign w:val="superscript"/>
        </w:rPr>
        <w:t xml:space="preserve">[342]</w:t>
      </w:r>
    </w:p>
    <w:p>
      <w:pPr>
        <w:spacing w:after="160" w:line="300" w:lineRule="auto"/>
      </w:pPr>
      <w:r>
        <w:rPr>
          <w:color w:val="1A252F"/>
          <w:sz w:val="22"/>
        </w:rPr>
        <w:t xml:space="preserve">Article 5 of the Directive establishes that where facts indicating "control and direction" are found in the relationship between a digital work platform and a person performing work, the relationship is legally presumed to constitute employment.</w:t>
      </w:r>
      <w:r>
        <w:rPr>
          <w:color w:val="C0392B"/>
          <w:sz w:val="16"/>
          <w:vertAlign w:val="superscript"/>
        </w:rPr>
        <w:t xml:space="preserve">[598]</w:t>
      </w:r>
      <w:r>
        <w:rPr>
          <w:color w:val="1A252F"/>
          <w:sz w:val="22"/>
        </w:rPr>
        <w:t xml:space="preserve"> The burden of proof reverses onto platforms: they must prove that no employment relationship exists, rather than requiring workers to prove that one does.</w:t>
      </w:r>
      <w:r>
        <w:rPr>
          <w:color w:val="C0392B"/>
          <w:sz w:val="16"/>
          <w:vertAlign w:val="superscript"/>
        </w:rPr>
        <w:t xml:space="preserve">[383]</w:t>
      </w:r>
      <w:r>
        <w:rPr>
          <w:color w:val="1A252F"/>
          <w:sz w:val="22"/>
        </w:rPr>
        <w:t xml:space="preserve"> Additional provisions mandate algorithmic management transparency, requiring platforms to disclose automated monitoring and decision-making systems; restrict processing of sensitive personal data; and require platforms to declare platform work to national authorities with updates every six months.</w:t>
      </w:r>
      <w:r>
        <w:rPr>
          <w:color w:val="C0392B"/>
          <w:sz w:val="16"/>
          <w:vertAlign w:val="superscript"/>
        </w:rPr>
        <w:t xml:space="preserve">[93]</w:t>
      </w:r>
      <w:r>
        <w:rPr>
          <w:color w:val="1A252F"/>
          <w:sz w:val="22"/>
        </w:rPr>
        <w:t xml:space="preserve"> </w:t>
      </w:r>
      <w:r>
        <w:rPr>
          <w:color w:val="C0392B"/>
          <w:sz w:val="16"/>
          <w:vertAlign w:val="superscript"/>
        </w:rPr>
        <w:t xml:space="preserve">[941]</w:t>
      </w:r>
    </w:p>
    <w:p>
      <w:pPr>
        <w:spacing w:before="80" w:after="160"/>
      </w:pPr>
      <w:r>
        <w:rPr>
          <w:b/>
          <w:color w:val="1A252F"/>
          <w:sz w:val="22"/>
        </w:rPr>
        <w:t xml:space="preserve">Table 3.3: EU Platform Work Directive — Impact Projection</w:t>
      </w:r>
    </w:p>
    <w:tbl>
      <w:tblPr>
        <w:tblW w:w="5000" w:type="pct"/>
        <w:tblBorders>
          <w:top w:val="single" w:color="2C3E50" w:sz="12"/>
          <w:left w:val="nil"/>
          <w:bottom w:val="single" w:color="2C3E50" w:sz="12"/>
          <w:right w:val="nil"/>
          <w:insideH w:val="single" w:color="BDC3C7" w:sz="4"/>
          <w:insideV w:val="nil"/>
        </w:tblBorders>
        <w:tblLook w:val="04A0" w:firstRow="true"/>
      </w:tblPr>
      <w:tblGrid>
        <w:gridCol w:w="3000"/>
        <w:gridCol w:w="3000"/>
        <w:gridCol w:w="3000"/>
      </w:tblGrid>
      <w:tr>
        <w:trPr>
          <w:tblHeader/>
        </w:trPr>
        <w:tc>
          <w:tcPr>
            <w:tcW w:w="3000" w:type="dxa"/>
            <w:tcBorders>
              <w:bottom w:val="single" w:color="2C3E50" w:sz="6"/>
            </w:tcBorders>
            <w:shd w:val="clear" w:fill="EDF0F2"/>
          </w:tcPr>
          <w:p>
            <w:pPr>
              <w:spacing w:before="60" w:after="60"/>
            </w:pPr>
            <w:r>
              <w:rPr>
                <w:b/>
                <w:color w:val="1A252F"/>
                <w:sz w:val="18"/>
              </w:rPr>
              <w:t xml:space="preserve">Component</w:t>
            </w:r>
          </w:p>
        </w:tc>
        <w:tc>
          <w:tcPr>
            <w:tcW w:w="3000" w:type="dxa"/>
            <w:tcBorders>
              <w:bottom w:val="single" w:color="2C3E50" w:sz="6"/>
            </w:tcBorders>
            <w:shd w:val="clear" w:fill="EDF0F2"/>
          </w:tcPr>
          <w:p>
            <w:pPr>
              <w:spacing w:before="60" w:after="60"/>
            </w:pPr>
            <w:r>
              <w:rPr>
                <w:b/>
                <w:color w:val="1A252F"/>
                <w:sz w:val="18"/>
              </w:rPr>
              <w:t xml:space="preserve">Projection</w:t>
            </w:r>
          </w:p>
        </w:tc>
        <w:tc>
          <w:tcPr>
            <w:tcW w:w="3000" w:type="dxa"/>
            <w:tcBorders>
              <w:bottom w:val="single" w:color="2C3E50" w:sz="6"/>
            </w:tcBorders>
            <w:shd w:val="clear" w:fill="EDF0F2"/>
          </w:tcPr>
          <w:p>
            <w:pPr>
              <w:spacing w:before="60" w:after="60"/>
            </w:pPr>
            <w:r>
              <w:rPr>
                <w:b/>
                <w:color w:val="1A252F"/>
                <w:sz w:val="18"/>
              </w:rPr>
              <w:t xml:space="preserve">Basis</w:t>
            </w:r>
          </w:p>
        </w:tc>
      </w:tr>
      <w:tr>
        <w:tc>
          <w:tcPr>
            <w:tcW w:w="3000" w:type="dxa"/>
          </w:tcPr>
          <w:p>
            <w:pPr>
              <w:spacing w:before="40" w:after="40" w:line="240" w:lineRule="auto"/>
            </w:pPr>
            <w:r>
              <w:rPr>
                <w:color w:val="1A252F"/>
                <w:sz w:val="18"/>
              </w:rPr>
              <w:t xml:space="preserve">Workers affected by rebuttable presumption</w:t>
            </w:r>
          </w:p>
        </w:tc>
        <w:tc>
          <w:tcPr>
            <w:tcW w:w="3000" w:type="dxa"/>
          </w:tcPr>
          <w:p>
            <w:pPr>
              <w:spacing w:before="40" w:after="40" w:line="240" w:lineRule="auto"/>
            </w:pPr>
            <w:r>
              <w:rPr>
                <w:color w:val="1A252F"/>
                <w:sz w:val="18"/>
              </w:rPr>
              <w:t xml:space="preserve">28 million+</w:t>
            </w:r>
          </w:p>
        </w:tc>
        <w:tc>
          <w:tcPr>
            <w:tcW w:w="3000" w:type="dxa"/>
          </w:tcPr>
          <w:p>
            <w:pPr>
              <w:spacing w:before="40" w:after="40" w:line="240" w:lineRule="auto"/>
            </w:pPr>
            <w:r>
              <w:rPr>
                <w:color w:val="1A252F"/>
                <w:sz w:val="18"/>
              </w:rPr>
              <w:t xml:space="preserve">EU Commission official estimate </w:t>
            </w:r>
            <w:r>
              <w:rPr>
                <w:color w:val="C0392B"/>
                <w:sz w:val="16"/>
                <w:vertAlign w:val="superscript"/>
              </w:rPr>
              <w:t xml:space="preserve">[342]</w:t>
            </w:r>
          </w:p>
        </w:tc>
      </w:tr>
      <w:tr>
        <w:tc>
          <w:tcPr>
            <w:tcW w:w="3000" w:type="dxa"/>
          </w:tcPr>
          <w:p>
            <w:pPr>
              <w:spacing w:before="40" w:after="40" w:line="240" w:lineRule="auto"/>
            </w:pPr>
            <w:r>
              <w:rPr>
                <w:color w:val="1A252F"/>
                <w:sz w:val="18"/>
              </w:rPr>
              <w:t xml:space="preserve">Member states covered</w:t>
            </w:r>
          </w:p>
        </w:tc>
        <w:tc>
          <w:tcPr>
            <w:tcW w:w="3000" w:type="dxa"/>
          </w:tcPr>
          <w:p>
            <w:pPr>
              <w:spacing w:before="40" w:after="40" w:line="240" w:lineRule="auto"/>
            </w:pPr>
            <w:r>
              <w:rPr>
                <w:color w:val="1A252F"/>
                <w:sz w:val="18"/>
              </w:rPr>
              <w:t xml:space="preserve">27</w:t>
            </w:r>
          </w:p>
        </w:tc>
        <w:tc>
          <w:tcPr>
            <w:tcW w:w="3000" w:type="dxa"/>
          </w:tcPr>
          <w:p>
            <w:pPr>
              <w:spacing w:before="40" w:after="40" w:line="240" w:lineRule="auto"/>
            </w:pPr>
            <w:r>
              <w:rPr>
                <w:color w:val="1A252F"/>
                <w:sz w:val="18"/>
              </w:rPr>
              <w:t xml:space="preserve">Full EU membership (post-Brexit) </w:t>
            </w:r>
            <w:r>
              <w:rPr>
                <w:color w:val="C0392B"/>
                <w:sz w:val="16"/>
                <w:vertAlign w:val="superscript"/>
              </w:rPr>
              <w:t xml:space="preserve">[597]</w:t>
            </w:r>
          </w:p>
        </w:tc>
      </w:tr>
      <w:tr>
        <w:tc>
          <w:tcPr>
            <w:tcW w:w="3000" w:type="dxa"/>
          </w:tcPr>
          <w:p>
            <w:pPr>
              <w:spacing w:before="40" w:after="40" w:line="240" w:lineRule="auto"/>
            </w:pPr>
            <w:r>
              <w:rPr>
                <w:color w:val="1A252F"/>
                <w:sz w:val="18"/>
              </w:rPr>
              <w:t xml:space="preserve">Transposition deadline</w:t>
            </w:r>
          </w:p>
        </w:tc>
        <w:tc>
          <w:tcPr>
            <w:tcW w:w="3000" w:type="dxa"/>
          </w:tcPr>
          <w:p>
            <w:pPr>
              <w:spacing w:before="40" w:after="40" w:line="240" w:lineRule="auto"/>
            </w:pPr>
            <w:r>
              <w:rPr>
                <w:color w:val="1A252F"/>
                <w:sz w:val="18"/>
              </w:rPr>
              <w:t xml:space="preserve">December 2, 2026</w:t>
            </w:r>
          </w:p>
        </w:tc>
        <w:tc>
          <w:tcPr>
            <w:tcW w:w="3000" w:type="dxa"/>
          </w:tcPr>
          <w:p>
            <w:pPr>
              <w:spacing w:before="40" w:after="40" w:line="240" w:lineRule="auto"/>
            </w:pPr>
            <w:r>
              <w:rPr>
                <w:color w:val="1A252F"/>
                <w:sz w:val="18"/>
              </w:rPr>
              <w:t xml:space="preserve">Directive (EU) 2024/2831, Article 18 </w:t>
            </w:r>
            <w:r>
              <w:rPr>
                <w:color w:val="C0392B"/>
                <w:sz w:val="16"/>
                <w:vertAlign w:val="superscript"/>
              </w:rPr>
              <w:t xml:space="preserve">[597]</w:t>
            </w:r>
          </w:p>
        </w:tc>
      </w:tr>
      <w:tr>
        <w:tc>
          <w:tcPr>
            <w:tcW w:w="3000" w:type="dxa"/>
          </w:tcPr>
          <w:p>
            <w:pPr>
              <w:spacing w:before="40" w:after="40" w:line="240" w:lineRule="auto"/>
            </w:pPr>
            <w:r>
              <w:rPr>
                <w:color w:val="1A252F"/>
                <w:sz w:val="18"/>
              </w:rPr>
              <w:t xml:space="preserve">Commission review deadline</w:t>
            </w:r>
          </w:p>
        </w:tc>
        <w:tc>
          <w:tcPr>
            <w:tcW w:w="3000" w:type="dxa"/>
          </w:tcPr>
          <w:p>
            <w:pPr>
              <w:spacing w:before="40" w:after="40" w:line="240" w:lineRule="auto"/>
            </w:pPr>
            <w:r>
              <w:rPr>
                <w:color w:val="1A252F"/>
                <w:sz w:val="18"/>
              </w:rPr>
              <w:t xml:space="preserve">December 2, 2029</w:t>
            </w:r>
          </w:p>
        </w:tc>
        <w:tc>
          <w:tcPr>
            <w:tcW w:w="3000" w:type="dxa"/>
          </w:tcPr>
          <w:p>
            <w:pPr>
              <w:spacing w:before="40" w:after="40" w:line="240" w:lineRule="auto"/>
            </w:pPr>
            <w:r>
              <w:rPr>
                <w:color w:val="1A252F"/>
                <w:sz w:val="18"/>
              </w:rPr>
              <w:t xml:space="preserve">Built-in 3-year review cycle </w:t>
            </w:r>
            <w:r>
              <w:rPr>
                <w:color w:val="C0392B"/>
                <w:sz w:val="16"/>
                <w:vertAlign w:val="superscript"/>
              </w:rPr>
              <w:t xml:space="preserve">[597]</w:t>
            </w:r>
          </w:p>
        </w:tc>
      </w:tr>
      <w:tr>
        <w:tc>
          <w:tcPr>
            <w:tcW w:w="3000" w:type="dxa"/>
          </w:tcPr>
          <w:p>
            <w:pPr>
              <w:spacing w:before="40" w:after="40" w:line="240" w:lineRule="auto"/>
            </w:pPr>
            <w:r>
              <w:rPr>
                <w:color w:val="1A252F"/>
                <w:sz w:val="18"/>
              </w:rPr>
              <w:t xml:space="preserve">Estimated annual wage theft recovery post-implementation</w:t>
            </w:r>
          </w:p>
        </w:tc>
        <w:tc>
          <w:tcPr>
            <w:tcW w:w="3000" w:type="dxa"/>
          </w:tcPr>
          <w:p>
            <w:pPr>
              <w:spacing w:before="40" w:after="40" w:line="240" w:lineRule="auto"/>
            </w:pPr>
            <w:r>
              <w:rPr>
                <w:color w:val="1A252F"/>
                <w:sz w:val="18"/>
              </w:rPr>
              <w:t xml:space="preserve">€5-15 billion (projected)</w:t>
            </w:r>
          </w:p>
        </w:tc>
        <w:tc>
          <w:tcPr>
            <w:tcW w:w="3000" w:type="dxa"/>
          </w:tcPr>
          <w:p>
            <w:pPr>
              <w:spacing w:before="40" w:after="40" w:line="240" w:lineRule="auto"/>
            </w:pPr>
            <w:r>
              <w:rPr>
                <w:color w:val="1A252F"/>
                <w:sz w:val="18"/>
              </w:rPr>
              <w:t xml:space="preserve">EPI methodology applied to EU gig workforce</w:t>
            </w:r>
          </w:p>
        </w:tc>
      </w:tr>
      <w:tr>
        <w:tc>
          <w:tcPr>
            <w:tcW w:w="3000" w:type="dxa"/>
          </w:tcPr>
          <w:p>
            <w:pPr>
              <w:spacing w:before="40" w:after="40" w:line="240" w:lineRule="auto"/>
            </w:pPr>
            <w:r>
              <w:rPr>
                <w:color w:val="1A252F"/>
                <w:sz w:val="18"/>
              </w:rPr>
              <w:t xml:space="preserve">Countries broadly compliant as of April 2026</w:t>
            </w:r>
          </w:p>
        </w:tc>
        <w:tc>
          <w:tcPr>
            <w:tcW w:w="3000" w:type="dxa"/>
          </w:tcPr>
          <w:p>
            <w:pPr>
              <w:spacing w:before="40" w:after="40" w:line="240" w:lineRule="auto"/>
            </w:pPr>
            <w:r>
              <w:rPr>
                <w:color w:val="1A252F"/>
                <w:sz w:val="18"/>
              </w:rPr>
              <w:t xml:space="preserve">3 (Belgium, Spain, Portugal)</w:t>
            </w:r>
          </w:p>
        </w:tc>
        <w:tc>
          <w:tcPr>
            <w:tcW w:w="3000" w:type="dxa"/>
          </w:tcPr>
          <w:p>
            <w:pPr>
              <w:spacing w:before="40" w:after="40" w:line="240" w:lineRule="auto"/>
            </w:pPr>
            <w:r>
              <w:rPr>
                <w:color w:val="1A252F"/>
                <w:sz w:val="18"/>
              </w:rPr>
              <w:t xml:space="preserve">CXC Global compliance assessment </w:t>
            </w:r>
            <w:r>
              <w:rPr>
                <w:color w:val="C0392B"/>
                <w:sz w:val="16"/>
                <w:vertAlign w:val="superscript"/>
              </w:rPr>
              <w:t xml:space="preserve">[93]</w:t>
            </w:r>
          </w:p>
        </w:tc>
      </w:tr>
      <w:tr>
        <w:tc>
          <w:tcPr>
            <w:tcW w:w="3000" w:type="dxa"/>
          </w:tcPr>
          <w:p>
            <w:pPr>
              <w:spacing w:before="40" w:after="40" w:line="240" w:lineRule="auto"/>
            </w:pPr>
            <w:r>
              <w:rPr>
                <w:color w:val="1A252F"/>
                <w:sz w:val="18"/>
              </w:rPr>
              <w:t xml:space="preserve">Countries at early stage as of April 2026</w:t>
            </w:r>
          </w:p>
        </w:tc>
        <w:tc>
          <w:tcPr>
            <w:tcW w:w="3000" w:type="dxa"/>
          </w:tcPr>
          <w:p>
            <w:pPr>
              <w:spacing w:before="40" w:after="40" w:line="240" w:lineRule="auto"/>
            </w:pPr>
            <w:r>
              <w:rPr>
                <w:color w:val="1A252F"/>
                <w:sz w:val="18"/>
              </w:rPr>
              <w:t xml:space="preserve">6 (Germany, France, Italy, Ireland, Poland, Sweden)</w:t>
            </w:r>
          </w:p>
        </w:tc>
        <w:tc>
          <w:tcPr>
            <w:tcW w:w="3000" w:type="dxa"/>
          </w:tcPr>
          <w:p>
            <w:pPr>
              <w:spacing w:before="40" w:after="40" w:line="240" w:lineRule="auto"/>
            </w:pPr>
            <w:r>
              <w:rPr>
                <w:color w:val="1A252F"/>
                <w:sz w:val="18"/>
              </w:rPr>
              <w:t xml:space="preserve">CXC Global; DLA Piper Germany </w:t>
            </w:r>
            <w:r>
              <w:rPr>
                <w:color w:val="C0392B"/>
                <w:sz w:val="16"/>
                <w:vertAlign w:val="superscript"/>
              </w:rPr>
              <w:t xml:space="preserve">[93]</w:t>
            </w:r>
            <w:r>
              <w:rPr>
                <w:color w:val="1A252F"/>
                <w:sz w:val="18"/>
              </w:rPr>
              <w:t xml:space="preserve"> </w:t>
            </w:r>
            <w:r>
              <w:rPr>
                <w:color w:val="C0392B"/>
                <w:sz w:val="16"/>
                <w:vertAlign w:val="superscript"/>
              </w:rPr>
              <w:t xml:space="preserve">[680]</w:t>
            </w:r>
          </w:p>
        </w:tc>
      </w:tr>
      <w:tr>
        <w:tc>
          <w:tcPr>
            <w:tcW w:w="3000" w:type="dxa"/>
          </w:tcPr>
          <w:p>
            <w:pPr>
              <w:spacing w:before="40" w:after="40" w:line="240" w:lineRule="auto"/>
            </w:pPr>
            <w:r>
              <w:rPr>
                <w:color w:val="1A252F"/>
                <w:sz w:val="18"/>
              </w:rPr>
              <w:t xml:space="preserve">Existing contracts covered</w:t>
            </w:r>
          </w:p>
        </w:tc>
        <w:tc>
          <w:tcPr>
            <w:tcW w:w="3000" w:type="dxa"/>
          </w:tcPr>
          <w:p>
            <w:pPr>
              <w:spacing w:before="40" w:after="40" w:line="240" w:lineRule="auto"/>
            </w:pPr>
            <w:r>
              <w:rPr>
                <w:color w:val="1A252F"/>
                <w:sz w:val="18"/>
              </w:rPr>
              <w:t xml:space="preserve">Only from transposition date onward</w:t>
            </w:r>
          </w:p>
        </w:tc>
        <w:tc>
          <w:tcPr>
            <w:tcW w:w="3000" w:type="dxa"/>
          </w:tcPr>
          <w:p>
            <w:pPr>
              <w:spacing w:before="40" w:after="40" w:line="240" w:lineRule="auto"/>
            </w:pPr>
            <w:r>
              <w:rPr>
                <w:color w:val="1A252F"/>
                <w:sz w:val="18"/>
              </w:rPr>
              <w:t xml:space="preserve">Directive Article 5(2) </w:t>
            </w:r>
            <w:r>
              <w:rPr>
                <w:color w:val="C0392B"/>
                <w:sz w:val="16"/>
                <w:vertAlign w:val="superscript"/>
              </w:rPr>
              <w:t xml:space="preserve">[941]</w:t>
            </w:r>
          </w:p>
        </w:tc>
      </w:tr>
    </w:tbl>
    <w:p>
      <w:pPr>
        <w:spacing w:after="200"/>
      </w:pPr>
    </w:p>
    <w:p>
      <w:pPr>
        <w:spacing w:after="160" w:line="300" w:lineRule="auto"/>
      </w:pPr>
      <w:r>
        <w:rPr>
          <w:color w:val="1A252F"/>
          <w:sz w:val="22"/>
        </w:rPr>
        <w:t xml:space="preserve">The transposition timeline is tight. Member states must transpose the Directive into national law by December 2, 2026 — a window of approximately two years from adoption.</w:t>
      </w:r>
      <w:r>
        <w:rPr>
          <w:color w:val="C0392B"/>
          <w:sz w:val="16"/>
          <w:vertAlign w:val="superscript"/>
        </w:rPr>
        <w:t xml:space="preserve">[597]</w:t>
      </w:r>
      <w:r>
        <w:rPr>
          <w:color w:val="1A252F"/>
          <w:sz w:val="22"/>
        </w:rPr>
        <w:t xml:space="preserve"> As of April 2026, only three member states — Belgium, Spain, and Portugal — were broadly compliant with existing presumption frameworks.</w:t>
      </w:r>
      <w:r>
        <w:rPr>
          <w:color w:val="C0392B"/>
          <w:sz w:val="16"/>
          <w:vertAlign w:val="superscript"/>
        </w:rPr>
        <w:t xml:space="preserve">[93]</w:t>
      </w:r>
      <w:r>
        <w:rPr>
          <w:color w:val="1A252F"/>
          <w:sz w:val="22"/>
        </w:rPr>
        <w:t xml:space="preserve"> Spain's Riders' Law already covers platform workers with a control-based presumption. Portugal's Article 12-A of the Labour Code establishes a six-criteria presumption requiring at least two of six indicators to trigger employment status.</w:t>
      </w:r>
      <w:r>
        <w:rPr>
          <w:color w:val="C0392B"/>
          <w:sz w:val="16"/>
          <w:vertAlign w:val="superscript"/>
        </w:rPr>
        <w:t xml:space="preserve">[383]</w:t>
      </w:r>
      <w:r>
        <w:rPr>
          <w:color w:val="1A252F"/>
          <w:sz w:val="22"/>
        </w:rPr>
        <w:t xml:space="preserve"> Belgium's existing control-based presumption provides Level 4 social fraud penalties for misclassification.</w:t>
      </w:r>
    </w:p>
    <w:p>
      <w:pPr>
        <w:spacing w:after="160" w:line="300" w:lineRule="auto"/>
      </w:pPr>
      <w:r>
        <w:rPr>
          <w:color w:val="1A252F"/>
          <w:sz w:val="22"/>
        </w:rPr>
        <w:t xml:space="preserve">The remaining 24 member states face varying implementation challenges. Germany confirmed in May 2026 that it is drafting transposition legislation and examining "all available measures regarding subcontractors engaged by digital labour platforms, including the possibility of a direct employment requirement."</w:t>
      </w:r>
      <w:r>
        <w:rPr>
          <w:color w:val="C0392B"/>
          <w:sz w:val="16"/>
          <w:vertAlign w:val="superscript"/>
        </w:rPr>
        <w:t xml:space="preserve">[680]</w:t>
      </w:r>
      <w:r>
        <w:rPr>
          <w:color w:val="1A252F"/>
          <w:sz w:val="22"/>
        </w:rPr>
        <w:t xml:space="preserve"> France has draft legislation pending but its July 2025 Cour de Cassation ruling weakened driver protections by classifying Uber drivers as independent contractors — a decision that may be superseded by transposition.</w:t>
      </w:r>
      <w:r>
        <w:rPr>
          <w:color w:val="C0392B"/>
          <w:sz w:val="16"/>
          <w:vertAlign w:val="superscript"/>
        </w:rPr>
        <w:t xml:space="preserve">[336]</w:t>
      </w:r>
      <w:r>
        <w:rPr>
          <w:color w:val="1A252F"/>
          <w:sz w:val="22"/>
        </w:rPr>
        <w:t xml:space="preserve"> Italy remains at an early stage despite its Supreme Court's Sentenza n. 28772/2025 establishing "collaboratori etero-organizzati" status for delivery riders.</w:t>
      </w:r>
      <w:r>
        <w:rPr>
          <w:color w:val="C0392B"/>
          <w:sz w:val="16"/>
          <w:vertAlign w:val="superscript"/>
        </w:rPr>
        <w:t xml:space="preserve">[851]</w:t>
      </w:r>
      <w:r>
        <w:rPr>
          <w:color w:val="1A252F"/>
          <w:sz w:val="22"/>
        </w:rPr>
        <w:t xml:space="preserve"> Ireland, Poland, and Sweden have launched consultations but not yet produced draft legislation.</w:t>
      </w:r>
      <w:r>
        <w:rPr>
          <w:color w:val="C0392B"/>
          <w:sz w:val="16"/>
          <w:vertAlign w:val="superscript"/>
        </w:rPr>
        <w:t xml:space="preserve">[93]</w:t>
      </w:r>
    </w:p>
    <w:p>
      <w:pPr>
        <w:spacing w:after="160" w:line="300" w:lineRule="auto"/>
      </w:pPr>
      <w:r>
        <w:rPr>
          <w:color w:val="1A252F"/>
          <w:sz w:val="22"/>
        </w:rPr>
        <w:t xml:space="preserve">Critically, for existing contracts, the presumption applies only from the transposition date — not retroactively.</w:t>
      </w:r>
      <w:r>
        <w:rPr>
          <w:color w:val="C0392B"/>
          <w:sz w:val="16"/>
          <w:vertAlign w:val="superscript"/>
        </w:rPr>
        <w:t xml:space="preserve">[941]</w:t>
      </w:r>
      <w:r>
        <w:rPr>
          <w:color w:val="1A252F"/>
          <w:sz w:val="22"/>
        </w:rPr>
        <w:t xml:space="preserve"> This limitation means workers with contracts predating national implementation cannot invoke the presumption for historical claims. Platforms may also engage in regulatory arbitrage: Portuguese platforms responded to Article 12-A by restructuring operations to "confer more autonomy to their collaborators" — effectively changing aspects of their operation to avoid triggering presumption criteria.</w:t>
      </w:r>
      <w:r>
        <w:rPr>
          <w:color w:val="C0392B"/>
          <w:sz w:val="16"/>
          <w:vertAlign w:val="superscript"/>
        </w:rPr>
        <w:t xml:space="preserve">[626]</w:t>
      </w:r>
      <w:r>
        <w:rPr>
          <w:color w:val="1A252F"/>
          <w:sz w:val="22"/>
        </w:rPr>
        <w:t xml:space="preserve"> Similar avoidance strategies have been documented in Spain post-Riders' Law, where non-compliant platforms maintained self-employment models despite administrative sanctions.</w:t>
      </w:r>
      <w:r>
        <w:rPr>
          <w:color w:val="C0392B"/>
          <w:sz w:val="16"/>
          <w:vertAlign w:val="superscript"/>
        </w:rPr>
        <w:t xml:space="preserve">[55]</w:t>
      </w:r>
    </w:p>
    <w:p>
      <w:pPr>
        <w:spacing w:after="160" w:line="300" w:lineRule="auto"/>
      </w:pPr>
      <w:r>
        <w:rPr>
          <w:color w:val="1A252F"/>
          <w:sz w:val="22"/>
        </w:rPr>
        <w:t xml:space="preserve">The projected recovery impact depends heavily on enforcement capacity. If the Directive achieves compliance rates comparable to Spain's Riders' Law — which reclassified approximately 50% of delivery riders within three years</w:t>
      </w:r>
      <w:r>
        <w:rPr>
          <w:color w:val="C0392B"/>
          <w:sz w:val="16"/>
          <w:vertAlign w:val="superscript"/>
        </w:rPr>
        <w:t xml:space="preserve">[55]</w:t>
      </w:r>
      <w:r>
        <w:rPr>
          <w:color w:val="1A252F"/>
          <w:sz w:val="22"/>
        </w:rPr>
        <w:t xml:space="preserve"> — the 28 million affected workers could see recovery of €5-15 billion annually in unpaid wages, social security contributions, and benefits. Spain's experience offers both encouragement and caution: while Just Eat signed a collective agreement ensuring €15,200 per year with four weeks holiday, the transition also produced higher unemployment (+7 percentage points) and lower wages (-3%) among displaced self-employed riders.</w:t>
      </w:r>
      <w:r>
        <w:rPr>
          <w:color w:val="C0392B"/>
          <w:sz w:val="16"/>
          <w:vertAlign w:val="superscript"/>
        </w:rPr>
        <w:t xml:space="preserve">[55]</w:t>
      </w:r>
      <w:r>
        <w:rPr>
          <w:color w:val="1A252F"/>
          <w:sz w:val="22"/>
        </w:rPr>
        <w:t xml:space="preserve"> Complementing the presumption with payroll tax relief for platforms hiring employees could preserve employment while increasing welfare, according to IZA Institute modeling.</w:t>
      </w:r>
      <w:r>
        <w:rPr>
          <w:color w:val="C0392B"/>
          <w:sz w:val="16"/>
          <w:vertAlign w:val="superscript"/>
        </w:rPr>
        <w:t xml:space="preserve">[55]</w:t>
      </w:r>
    </w:p>
    <w:p>
      <w:pPr>
        <w:spacing w:after="160" w:line="300" w:lineRule="auto"/>
      </w:pPr>
      <w:r>
        <w:rPr>
          <w:color w:val="1A252F"/>
          <w:sz w:val="22"/>
        </w:rPr>
        <w:t xml:space="preserve">The Directive's Article 4 provides the enforcement backbone: "The establishment of the existence of an employment relationship shall be based primarily on the facts relating to the actual performance of the work, including the use of automated monitoring systems or automated decision-making systems in the organization of work through digital platforms, regardless of how the relationship is qualified in any contractual agreement."</w:t>
      </w:r>
      <w:r>
        <w:rPr>
          <w:color w:val="C0392B"/>
          <w:sz w:val="16"/>
          <w:vertAlign w:val="superscript"/>
        </w:rPr>
        <w:t xml:space="preserve">[655]</w:t>
      </w:r>
      <w:r>
        <w:rPr>
          <w:color w:val="1A252F"/>
          <w:sz w:val="22"/>
        </w:rPr>
        <w:t xml:space="preserve"> This language — requiring assessment of the factual reality rather than contractual labels — mirrors the reasoning of </w:t>
      </w:r>
      <w:r>
        <w:rPr>
          <w:i/>
          <w:color w:val="1A252F"/>
          <w:sz w:val="22"/>
        </w:rPr>
        <w:t xml:space="preserve">Uber BV v Aslam</w:t>
      </w:r>
      <w:r>
        <w:rPr>
          <w:color w:val="1A252F"/>
          <w:sz w:val="22"/>
        </w:rPr>
        <w:t xml:space="preserve"> and the CBR-PWI's emphasis on de facto over de jure classification.</w:t>
      </w:r>
    </w:p>
    <w:p>
      <w:pPr>
        <w:spacing w:after="160" w:line="300" w:lineRule="auto"/>
      </w:pPr>
      <w:r>
        <w:rPr>
          <w:color w:val="1A252F"/>
          <w:sz w:val="22"/>
        </w:rPr>
        <w:t xml:space="preserve">The global significance extends beyond the EU's borders. The ILO's 2025 resolution committing to a Convention supplemented by a Recommendation on decent work in the platform economy, with final adoption targeted for 2026, draws directly on the EU Directive's architecture.</w:t>
      </w:r>
      <w:r>
        <w:rPr>
          <w:color w:val="C0392B"/>
          <w:sz w:val="16"/>
          <w:vertAlign w:val="superscript"/>
        </w:rPr>
        <w:t xml:space="preserve">[644]</w:t>
      </w:r>
      <w:r>
        <w:rPr>
          <w:color w:val="1A252F"/>
          <w:sz w:val="22"/>
        </w:rPr>
        <w:t xml:space="preserve"> Singapore's Platform Workers Act 2024, covering approximately 67,600 workers with phased CPF contributions rising from 3.5% to 17% by 2029,</w:t>
      </w:r>
      <w:r>
        <w:rPr>
          <w:color w:val="C0392B"/>
          <w:sz w:val="16"/>
          <w:vertAlign w:val="superscript"/>
        </w:rPr>
        <w:t xml:space="preserve">[376]</w:t>
      </w:r>
      <w:r>
        <w:rPr>
          <w:color w:val="1A252F"/>
          <w:sz w:val="22"/>
        </w:rPr>
        <w:t xml:space="preserve"> demonstrates that jurisdictions outside the EU are adapting similar frameworks. For platforms operating across multiple jurisdictions, the patchwork of presumption-based protections creates escalating compliance costs — and, for workers, an expanding set of jurisdictions where stolen wages become recoverable.</w:t>
      </w:r>
    </w:p>
    <w:p>
      <w:pPr>
        <w:spacing w:after="160" w:line="300" w:lineRule="auto"/>
      </w:pPr>
      <w:r>
        <w:rPr>
          <w:color w:val="1A252F"/>
          <w:sz w:val="22"/>
        </w:rPr>
        <w:t xml:space="preserve">-e </w:t>
      </w:r>
    </w:p>
    <w:p>
      <w:pPr>
        <w:pStyle w:val="Heading2"/>
      </w:pPr>
      <w:r>
        <w:rPr>
          <w:color w:val="1A252F"/>
          <w:sz w:val="22"/>
        </w:rPr>
        <w:t xml:space="preserve">4. Pattern Analysis</w:t>
      </w:r>
    </w:p>
    <w:p>
      <w:pPr>
        <w:spacing w:after="160" w:line="300" w:lineRule="auto"/>
      </w:pPr>
      <w:r>
        <w:rPr>
          <w:color w:val="1A252F"/>
          <w:sz w:val="22"/>
        </w:rPr>
        <w:t xml:space="preserve">The preceding chapters documented what gig platforms do. This chapter diagnoses how they do it — and to whom. Across every platform category, from ride-hailing to AI data labeling, a common anatomy of exploitation emerges. The tactics are not accidental byproducts of innovation; they are engineered features of business models calibrated to transfer wealth from workers to shareholders while legal accountability remains just beyond reach.</w:t>
      </w:r>
    </w:p>
    <w:p>
      <w:pPr>
        <w:pStyle w:val="Heading3"/>
      </w:pPr>
      <w:r>
        <w:rPr>
          <w:color w:val="1A252F"/>
          <w:sz w:val="22"/>
        </w:rPr>
        <w:t xml:space="preserve">4.1 Common Platform Tactics to Avoid Payment</w:t>
      </w:r>
    </w:p>
    <w:p>
      <w:pPr>
        <w:pStyle w:val="Heading4"/>
      </w:pPr>
      <w:r>
        <w:rPr>
          <w:color w:val="1A252F"/>
          <w:sz w:val="22"/>
        </w:rPr>
        <w:t xml:space="preserve">4.1.1 Misclassification as Foundational Mechanism</w:t>
      </w:r>
    </w:p>
    <w:p>
      <w:pPr>
        <w:spacing w:after="160" w:line="300" w:lineRule="auto"/>
      </w:pPr>
      <w:r>
        <w:rPr>
          <w:color w:val="1A252F"/>
          <w:sz w:val="22"/>
        </w:rPr>
        <w:t xml:space="preserve">Worker misclassification is the keystone tactic upon which all other forms of extraction rest. By labeling employees as "independent contractors," platforms transfer every employment cost — vehicles, fuel, insurance, equipment, mental health care — onto workers while denying them minimum wage, overtime, unemployment insurance, workers' compensation, paid sick leave, and the right to organize. The mechanism is pervasive: 76% of independent contractors surveyed in Ontario were found misclassified </w:t>
      </w:r>
      <w:r>
        <w:rPr>
          <w:color w:val="C0392B"/>
          <w:sz w:val="16"/>
          <w:vertAlign w:val="superscript"/>
        </w:rPr>
        <w:t xml:space="preserve">[7]</w:t>
      </w:r>
      <w:r>
        <w:rPr>
          <w:color w:val="1A252F"/>
          <w:sz w:val="22"/>
        </w:rPr>
        <w:t xml:space="preserve">, and the U.S. Department of Labor conservatively estimates that 10% to 30% of all employers misclassify workers </w:t>
      </w:r>
      <w:r>
        <w:rPr>
          <w:color w:val="C0392B"/>
          <w:sz w:val="16"/>
          <w:vertAlign w:val="superscript"/>
        </w:rPr>
        <w:t xml:space="preserve">[661]</w:t>
      </w:r>
      <w:r>
        <w:rPr>
          <w:color w:val="1A252F"/>
          <w:sz w:val="22"/>
        </w:rPr>
        <w:t xml:space="preserve">. The financial cost to a typical worker is severe — a construction worker misclassified as an independent contractor loses $19,526 per year in income and benefits, while a truck driver loses up to $21,532 annually </w:t>
      </w:r>
      <w:r>
        <w:rPr>
          <w:color w:val="C0392B"/>
          <w:sz w:val="16"/>
          <w:vertAlign w:val="superscript"/>
        </w:rPr>
        <w:t xml:space="preserve">[662]</w:t>
      </w:r>
      <w:r>
        <w:rPr>
          <w:color w:val="1A252F"/>
          <w:sz w:val="22"/>
        </w:rPr>
        <w:t xml:space="preserve">. The damage extends beyond individual workers to public treasuries: the federal government loses $3–4 billion annually in tax revenue from misclassification alone </w:t>
      </w:r>
      <w:r>
        <w:rPr>
          <w:color w:val="C0392B"/>
          <w:sz w:val="16"/>
          <w:vertAlign w:val="superscript"/>
        </w:rPr>
        <w:t xml:space="preserve">[661]</w:t>
      </w:r>
      <w:r>
        <w:rPr>
          <w:color w:val="1A252F"/>
          <w:sz w:val="22"/>
        </w:rPr>
        <w:t xml:space="preserve">.</w:t>
      </w:r>
    </w:p>
    <w:p>
      <w:pPr>
        <w:spacing w:after="160" w:line="300" w:lineRule="auto"/>
      </w:pPr>
      <w:r>
        <w:rPr>
          <w:color w:val="1A252F"/>
          <w:sz w:val="22"/>
        </w:rPr>
        <w:t xml:space="preserve">Platforms acknowledge this exposure in their own securities filings. Uber disclosed that "more than 150,000 Drivers in the United States who have entered into arbitration agreements with us have filed (or expressed an intention to file) arbitration demands against us that assert similar classification claims" </w:t>
      </w:r>
      <w:r>
        <w:rPr>
          <w:color w:val="C0392B"/>
          <w:sz w:val="16"/>
          <w:vertAlign w:val="superscript"/>
        </w:rPr>
        <w:t xml:space="preserve">[664]</w:t>
      </w:r>
      <w:r>
        <w:rPr>
          <w:color w:val="1A252F"/>
          <w:sz w:val="22"/>
        </w:rPr>
        <w:t xml:space="preserve">. The company further warned that reclassification would force "significant additional expenses" including minimum wage, overtime, employee benefits, and social security contributions — costs that would then be passed to consumers through "significant price increases" </w:t>
      </w:r>
      <w:r>
        <w:rPr>
          <w:color w:val="C0392B"/>
          <w:sz w:val="16"/>
          <w:vertAlign w:val="superscript"/>
        </w:rPr>
        <w:t xml:space="preserve">[664]</w:t>
      </w:r>
      <w:r>
        <w:rPr>
          <w:color w:val="1A252F"/>
          <w:sz w:val="22"/>
        </w:rPr>
        <w:t xml:space="preserve">. This admission confirms what the data already demonstrate: the independent contractor model is not about flexibility for workers; it is about cost avoidance for platforms.</w:t>
      </w:r>
    </w:p>
    <w:p>
      <w:pPr>
        <w:pStyle w:val="Heading4"/>
      </w:pPr>
      <w:r>
        <w:rPr>
          <w:color w:val="1A252F"/>
          <w:sz w:val="22"/>
        </w:rPr>
        <w:t xml:space="preserve">4.1.2 Algorithmic Wage Suppression</w:t>
      </w:r>
    </w:p>
    <w:p>
      <w:pPr>
        <w:spacing w:after="160" w:line="300" w:lineRule="auto"/>
      </w:pPr>
      <w:r>
        <w:rPr>
          <w:color w:val="1A252F"/>
          <w:sz w:val="22"/>
        </w:rPr>
        <w:t xml:space="preserve">Once misclassification strips workers of baseline protections, algorithmic wage suppression ensures that whatever earnings remain are systematically reduced. The Columbia Business School study of 24,532 Uber trips documented that the company's take rate — the share of each fare retained by Uber — increased from 32% in 2022 to 42% in 2024, generating nearly $4 billion in additional U.S. profitability </w:t>
      </w:r>
      <w:r>
        <w:rPr>
          <w:color w:val="C0392B"/>
          <w:sz w:val="16"/>
          <w:vertAlign w:val="superscript"/>
        </w:rPr>
        <w:t xml:space="preserve">[9]</w:t>
      </w:r>
      <w:r>
        <w:rPr>
          <w:color w:val="C0392B"/>
          <w:sz w:val="16"/>
          <w:vertAlign w:val="superscript"/>
        </w:rPr>
        <w:t xml:space="preserve">[10]</w:t>
      </w:r>
      <w:r>
        <w:rPr>
          <w:color w:val="1A252F"/>
          <w:sz w:val="22"/>
        </w:rPr>
        <w:t xml:space="preserve">. A landmark University of Oxford study found that 82% of Uber's UK drivers earn less per hour after the introduction of dynamic pay, with commission frequently exceeding 50% of fares compared to the previous flat 25% rate </w:t>
      </w:r>
      <w:r>
        <w:rPr>
          <w:color w:val="C0392B"/>
          <w:sz w:val="16"/>
          <w:vertAlign w:val="superscript"/>
        </w:rPr>
        <w:t xml:space="preserve">[5]</w:t>
      </w:r>
      <w:r>
        <w:rPr>
          <w:color w:val="1A252F"/>
          <w:sz w:val="22"/>
        </w:rPr>
        <w:t xml:space="preserve">.</w:t>
      </w:r>
    </w:p>
    <w:p>
      <w:pPr>
        <w:spacing w:after="160" w:line="300" w:lineRule="auto"/>
      </w:pPr>
      <w:r>
        <w:rPr>
          <w:color w:val="1A252F"/>
          <w:sz w:val="22"/>
        </w:rPr>
        <w:t xml:space="preserve">Veena Dubal's seminal Columbia Law Review article defines this practice as "algorithmic wage discrimination" — the importation of price discrimination from consumer markets into labor markets, where "companies can calculate the exact wage rates necessary to incentivize desired behaviours, while workers can only guess as to why they make what they do" </w:t>
      </w:r>
      <w:r>
        <w:rPr>
          <w:color w:val="C0392B"/>
          <w:sz w:val="16"/>
          <w:vertAlign w:val="superscript"/>
        </w:rPr>
        <w:t xml:space="preserve">[1]</w:t>
      </w:r>
      <w:r>
        <w:rPr>
          <w:color w:val="1A252F"/>
          <w:sz w:val="22"/>
        </w:rPr>
        <w:t xml:space="preserve">. In February 2024, Uber CEO Dara Khosrowshahi made a revealing admission during an earnings call: "Offering the right trip, at the right price to the right driver" is the company's strategic focus going forward </w:t>
      </w:r>
      <w:r>
        <w:rPr>
          <w:color w:val="C0392B"/>
          <w:sz w:val="16"/>
          <w:vertAlign w:val="superscript"/>
        </w:rPr>
        <w:t xml:space="preserve">[8]</w:t>
      </w:r>
      <w:r>
        <w:rPr>
          <w:color w:val="1A252F"/>
          <w:sz w:val="22"/>
        </w:rPr>
        <w:t xml:space="preserve"> — a statement that directly contradicted years of denials that Uber's algorithm uses personal data or profiling to set fares </w:t>
      </w:r>
      <w:r>
        <w:rPr>
          <w:color w:val="C0392B"/>
          <w:sz w:val="16"/>
          <w:vertAlign w:val="superscript"/>
        </w:rPr>
        <w:t xml:space="preserve">[7]</w:t>
      </w:r>
      <w:r>
        <w:rPr>
          <w:color w:val="1A252F"/>
          <w:sz w:val="22"/>
        </w:rPr>
        <w:t xml:space="preserve">.</w:t>
      </w:r>
    </w:p>
    <w:p>
      <w:pPr>
        <w:pStyle w:val="Heading4"/>
      </w:pPr>
      <w:r>
        <w:rPr>
          <w:color w:val="1A252F"/>
          <w:sz w:val="22"/>
        </w:rPr>
        <w:t xml:space="preserve">4.1.3 Tip Theft — Three Generations of Extraction</w:t>
      </w:r>
    </w:p>
    <w:p>
      <w:pPr>
        <w:spacing w:after="160" w:line="300" w:lineRule="auto"/>
      </w:pPr>
      <w:r>
        <w:rPr>
          <w:color w:val="1A252F"/>
          <w:sz w:val="22"/>
        </w:rPr>
        <w:t xml:space="preserve">Tip theft on gig platforms has evolved through three distinct generations, each more sophisticated than the last. Generation 1 (2017–2019) featured direct appropriation: DoorDash used customer tips to subsidize its own guaranteed pay contributions, resulting in settlements exceeding $46 million across New York ($16.75 million), Illinois ($11.25 million), and Chicago </w:t>
      </w:r>
      <w:r>
        <w:rPr>
          <w:color w:val="C0392B"/>
          <w:sz w:val="16"/>
          <w:vertAlign w:val="superscript"/>
        </w:rPr>
        <w:t xml:space="preserve">[13]</w:t>
      </w:r>
      <w:r>
        <w:rPr>
          <w:color w:val="C0392B"/>
          <w:sz w:val="16"/>
          <w:vertAlign w:val="superscript"/>
        </w:rPr>
        <w:t xml:space="preserve">[447]</w:t>
      </w:r>
      <w:r>
        <w:rPr>
          <w:color w:val="1A252F"/>
          <w:sz w:val="22"/>
        </w:rPr>
        <w:t xml:space="preserve">. Generation 2 (2019–2022) introduced algorithmic opacity: platforms hid portions of customer tips from workers and replaced transparent pay structures with "black-box algorithms" </w:t>
      </w:r>
      <w:r>
        <w:rPr>
          <w:color w:val="C0392B"/>
          <w:sz w:val="16"/>
          <w:vertAlign w:val="superscript"/>
        </w:rPr>
        <w:t xml:space="preserve">[16]</w:t>
      </w:r>
      <w:r>
        <w:rPr>
          <w:color w:val="1A252F"/>
          <w:sz w:val="22"/>
        </w:rPr>
        <w:t xml:space="preserve">. Generation 3 (2022–present) uses predictive modeling: DoorDash and Instacart now algorithmically reduce base pay when the system predicts a customer will leave a high tip, ensuring the platform's total contribution trends toward zero regardless of customer generosity </w:t>
      </w:r>
      <w:r>
        <w:rPr>
          <w:color w:val="C0392B"/>
          <w:sz w:val="16"/>
          <w:vertAlign w:val="superscript"/>
        </w:rPr>
        <w:t xml:space="preserve">[303]</w:t>
      </w:r>
      <w:r>
        <w:rPr>
          <w:color w:val="C0392B"/>
          <w:sz w:val="16"/>
          <w:vertAlign w:val="superscript"/>
        </w:rPr>
        <w:t xml:space="preserve">[650]</w:t>
      </w:r>
      <w:r>
        <w:rPr>
          <w:color w:val="1A252F"/>
          <w:sz w:val="22"/>
        </w:rPr>
        <w:t xml:space="preserve">. Worker communities have documented this pattern extensively — multiple driver reports confirm that when tips exceed $5, base pay drops to $2, while no-tip orders carry base pay as high as $12 for identical distances </w:t>
      </w:r>
      <w:r>
        <w:rPr>
          <w:color w:val="C0392B"/>
          <w:sz w:val="16"/>
          <w:vertAlign w:val="superscript"/>
        </w:rPr>
        <w:t xml:space="preserve">[774]</w:t>
      </w:r>
      <w:r>
        <w:rPr>
          <w:color w:val="C0392B"/>
          <w:sz w:val="16"/>
          <w:vertAlign w:val="superscript"/>
        </w:rPr>
        <w:t xml:space="preserve">[775]</w:t>
      </w:r>
      <w:r>
        <w:rPr>
          <w:color w:val="1A252F"/>
          <w:sz w:val="22"/>
        </w:rPr>
        <w:t xml:space="preserve">.</w:t>
      </w:r>
    </w:p>
    <w:p>
      <w:pPr>
        <w:pStyle w:val="Heading4"/>
      </w:pPr>
      <w:r>
        <w:rPr>
          <w:color w:val="1A252F"/>
          <w:sz w:val="22"/>
        </w:rPr>
        <w:t xml:space="preserve">4.1.4 Unpaid Mandatory Training</w:t>
      </w:r>
    </w:p>
    <w:p>
      <w:pPr>
        <w:spacing w:after="160" w:line="300" w:lineRule="auto"/>
      </w:pPr>
      <w:r>
        <w:rPr>
          <w:color w:val="1A252F"/>
          <w:sz w:val="22"/>
        </w:rPr>
        <w:t xml:space="preserve">AI data labeling platforms have institutionalized unpaid labor through mandatory training protocols. An AlgorithmWatch investigation found that AI platform workers spend an average of 34% of all time on the platform working without pay — 7.8 unpaid hours for every 14.8 paid hours </w:t>
      </w:r>
      <w:r>
        <w:rPr>
          <w:color w:val="C0392B"/>
          <w:sz w:val="16"/>
          <w:vertAlign w:val="superscript"/>
        </w:rPr>
        <w:t xml:space="preserve">[29]</w:t>
      </w:r>
      <w:r>
        <w:rPr>
          <w:color w:val="1A252F"/>
          <w:sz w:val="22"/>
        </w:rPr>
        <w:t xml:space="preserve">. Scale AI workers reported lengthy training webinars and uncompensated qualification assessments that reduced effective pay below California's minimum wage </w:t>
      </w:r>
      <w:r>
        <w:rPr>
          <w:color w:val="C0392B"/>
          <w:sz w:val="16"/>
          <w:vertAlign w:val="superscript"/>
        </w:rPr>
        <w:t xml:space="preserve">[16]</w:t>
      </w:r>
      <w:r>
        <w:rPr>
          <w:color w:val="C0392B"/>
          <w:sz w:val="16"/>
          <w:vertAlign w:val="superscript"/>
        </w:rPr>
        <w:t xml:space="preserve">[23]</w:t>
      </w:r>
      <w:r>
        <w:rPr>
          <w:color w:val="1A252F"/>
          <w:sz w:val="22"/>
        </w:rPr>
        <w:t xml:space="preserve">. Former contractor Amber Rogowicz testified that she worked approximately 10-hour days but was compensated for only five, with the remainder consumed by unpaid training and preparation </w:t>
      </w:r>
      <w:r>
        <w:rPr>
          <w:color w:val="C0392B"/>
          <w:sz w:val="16"/>
          <w:vertAlign w:val="superscript"/>
        </w:rPr>
        <w:t xml:space="preserve">[23]</w:t>
      </w:r>
      <w:r>
        <w:rPr>
          <w:color w:val="1A252F"/>
          <w:sz w:val="22"/>
        </w:rPr>
        <w:t xml:space="preserve">. Remotasks workers described similar conditions: "Do unpaid training / paid training tasks for said project. Go empty queue, or no work available, for several weeks with nobody to contact," yielding effective hourly rates of $2–$5 </w:t>
      </w:r>
      <w:r>
        <w:rPr>
          <w:color w:val="C0392B"/>
          <w:sz w:val="16"/>
          <w:vertAlign w:val="superscript"/>
        </w:rPr>
        <w:t xml:space="preserve">[673]</w:t>
      </w:r>
      <w:r>
        <w:rPr>
          <w:color w:val="C0392B"/>
          <w:sz w:val="16"/>
          <w:vertAlign w:val="superscript"/>
        </w:rPr>
        <w:t xml:space="preserve">[112]</w:t>
      </w:r>
      <w:r>
        <w:rPr>
          <w:color w:val="1A252F"/>
          <w:sz w:val="22"/>
        </w:rPr>
        <w:t xml:space="preserve">.</w:t>
      </w:r>
    </w:p>
    <w:p>
      <w:pPr>
        <w:pStyle w:val="Heading4"/>
      </w:pPr>
      <w:r>
        <w:rPr>
          <w:color w:val="1A252F"/>
          <w:sz w:val="22"/>
        </w:rPr>
        <w:t xml:space="preserve">4.1.5 Deactivation as Cost Control</w:t>
      </w:r>
    </w:p>
    <w:p>
      <w:pPr>
        <w:spacing w:after="160" w:line="300" w:lineRule="auto"/>
      </w:pPr>
      <w:r>
        <w:rPr>
          <w:color w:val="1A252F"/>
          <w:sz w:val="22"/>
        </w:rPr>
        <w:t xml:space="preserve">Deactivation — the sudden termination of a worker's platform access without explanation or recourse — functions as a workforce management tool disguised as quality control. In 2024 alone, more than 150,000 Uber drivers were deactivated in the United States, with 73% receiving no clear explanation and 89% terminated by algorithm without human review </w:t>
      </w:r>
      <w:r>
        <w:rPr>
          <w:color w:val="C0392B"/>
          <w:sz w:val="16"/>
          <w:vertAlign w:val="superscript"/>
        </w:rPr>
        <w:t xml:space="preserve">[649]</w:t>
      </w:r>
      <w:r>
        <w:rPr>
          <w:color w:val="1A252F"/>
          <w:sz w:val="22"/>
        </w:rPr>
        <w:t xml:space="preserve">. The average deactivated driver loses $3,200 per month in income, and only 42% of properly documented appeals succeed </w:t>
      </w:r>
      <w:r>
        <w:rPr>
          <w:color w:val="C0392B"/>
          <w:sz w:val="16"/>
          <w:vertAlign w:val="superscript"/>
        </w:rPr>
        <w:t xml:space="preserve">[649]</w:t>
      </w:r>
      <w:r>
        <w:rPr>
          <w:color w:val="1A252F"/>
          <w:sz w:val="22"/>
        </w:rPr>
        <w:t xml:space="preserve">. A 2023 study of 810 drivers found stark racial disparities: 69% of drivers of color reported deactivation compared to 57% of white drivers, with East Asian drivers experiencing the highest discrimination rates at 70% </w:t>
      </w:r>
      <w:r>
        <w:rPr>
          <w:color w:val="C0392B"/>
          <w:sz w:val="16"/>
          <w:vertAlign w:val="superscript"/>
        </w:rPr>
        <w:t xml:space="preserve">[792]</w:t>
      </w:r>
      <w:r>
        <w:rPr>
          <w:color w:val="1A252F"/>
          <w:sz w:val="22"/>
        </w:rPr>
        <w:t xml:space="preserve">. Scale AI's Remotasks platform extended this tactic to entire countries, abruptly shutting down operations in Kenya, Nigeria, and Pakistan overnight in March 2024 — leaving workers like Grace Mumo wondering "what the children will have for dinner because I have no money" </w:t>
      </w:r>
      <w:r>
        <w:rPr>
          <w:color w:val="C0392B"/>
          <w:sz w:val="16"/>
          <w:vertAlign w:val="superscript"/>
        </w:rPr>
        <w:t xml:space="preserve">[115]</w:t>
      </w:r>
      <w:r>
        <w:rPr>
          <w:color w:val="1A252F"/>
          <w:sz w:val="22"/>
        </w:rPr>
        <w:t xml:space="preserve">.</w:t>
      </w:r>
    </w:p>
    <w:p>
      <w:pPr>
        <w:pStyle w:val="Heading4"/>
      </w:pPr>
      <w:r>
        <w:rPr>
          <w:color w:val="1A252F"/>
          <w:sz w:val="22"/>
        </w:rPr>
        <w:t xml:space="preserve">4.1.6 Bait-and-Switch Pay Rates</w:t>
      </w:r>
    </w:p>
    <w:p>
      <w:pPr>
        <w:spacing w:after="160" w:line="300" w:lineRule="auto"/>
      </w:pPr>
      <w:r>
        <w:rPr>
          <w:color w:val="1A252F"/>
          <w:sz w:val="22"/>
        </w:rPr>
        <w:t xml:space="preserve">AI training platforms routinely advertise attractive pay ranges that workers never actually receive. Scale AI's hiring materials promise competitive rates; workers report effective pay that falls below minimum wage after unpaid preparation time is factored in </w:t>
      </w:r>
      <w:r>
        <w:rPr>
          <w:color w:val="C0392B"/>
          <w:sz w:val="16"/>
          <w:vertAlign w:val="superscript"/>
        </w:rPr>
        <w:t xml:space="preserve">[16]</w:t>
      </w:r>
      <w:r>
        <w:rPr>
          <w:color w:val="C0392B"/>
          <w:sz w:val="16"/>
          <w:vertAlign w:val="superscript"/>
        </w:rPr>
        <w:t xml:space="preserve">[634]</w:t>
      </w:r>
      <w:r>
        <w:rPr>
          <w:color w:val="1A252F"/>
          <w:sz w:val="22"/>
        </w:rPr>
        <w:t xml:space="preserve">. The practice has a documented pattern: platforms recruit with inflated rate estimates, require unpaid qualification work, then allocate tasks that pay a fraction of the advertised rate — or provide no work at all after training is completed. Amazon Mechanical Turk, the oldest microtask platform, has been documented to pay a median hourly wage of approximately $2, with only 4% of workers earning more than the federal minimum wage of $7.25 </w:t>
      </w:r>
      <w:r>
        <w:rPr>
          <w:color w:val="C0392B"/>
          <w:sz w:val="16"/>
          <w:vertAlign w:val="superscript"/>
        </w:rPr>
        <w:t xml:space="preserve">[28]</w:t>
      </w:r>
      <w:r>
        <w:rPr>
          <w:color w:val="1A252F"/>
          <w:sz w:val="22"/>
        </w:rPr>
        <w:t xml:space="preserve">.</w:t>
      </w:r>
    </w:p>
    <w:p>
      <w:pPr>
        <w:spacing w:after="160" w:line="300" w:lineRule="auto"/>
      </w:pPr>
      <w:r>
        <w:rPr>
          <w:color w:val="1A252F"/>
          <w:sz w:val="22"/>
        </w:rPr>
        <w:t xml:space="preserve">The table below synthesizes these six tactics, their mechanisms, financial impact, and legal vulnerability.</w:t>
      </w:r>
    </w:p>
    <w:tbl>
      <w:tblPr>
        <w:tblW w:w="5000" w:type="pct"/>
        <w:tblBorders>
          <w:top w:val="single" w:color="2C3E50" w:sz="12"/>
          <w:left w:val="nil"/>
          <w:bottom w:val="single" w:color="2C3E50" w:sz="12"/>
          <w:right w:val="nil"/>
          <w:insideH w:val="single" w:color="BDC3C7" w:sz="4"/>
          <w:insideV w:val="nil"/>
        </w:tblBorders>
        <w:tblLook w:val="04A0" w:firstRow="true"/>
      </w:tblPr>
      <w:tblGrid>
        <w:gridCol w:w="1800"/>
        <w:gridCol w:w="1800"/>
        <w:gridCol w:w="1800"/>
        <w:gridCol w:w="1800"/>
        <w:gridCol w:w="1800"/>
      </w:tblGrid>
      <w:tr>
        <w:trPr>
          <w:tblHeader/>
        </w:trPr>
        <w:tc>
          <w:tcPr>
            <w:tcW w:w="1800" w:type="dxa"/>
            <w:tcBorders>
              <w:bottom w:val="single" w:color="2C3E50" w:sz="6"/>
            </w:tcBorders>
            <w:shd w:val="clear" w:fill="EDF0F2"/>
          </w:tcPr>
          <w:p>
            <w:pPr>
              <w:spacing w:before="60" w:after="60"/>
            </w:pPr>
            <w:r>
              <w:rPr>
                <w:b/>
                <w:color w:val="1A252F"/>
                <w:sz w:val="18"/>
              </w:rPr>
              <w:t xml:space="preserve">Tactic</w:t>
            </w:r>
          </w:p>
        </w:tc>
        <w:tc>
          <w:tcPr>
            <w:tcW w:w="1800" w:type="dxa"/>
            <w:tcBorders>
              <w:bottom w:val="single" w:color="2C3E50" w:sz="6"/>
            </w:tcBorders>
            <w:shd w:val="clear" w:fill="EDF0F2"/>
          </w:tcPr>
          <w:p>
            <w:pPr>
              <w:spacing w:before="60" w:after="60"/>
            </w:pPr>
            <w:r>
              <w:rPr>
                <w:b/>
                <w:color w:val="1A252F"/>
                <w:sz w:val="18"/>
              </w:rPr>
              <w:t xml:space="preserve">Mechanism</w:t>
            </w:r>
          </w:p>
        </w:tc>
        <w:tc>
          <w:tcPr>
            <w:tcW w:w="1800" w:type="dxa"/>
            <w:tcBorders>
              <w:bottom w:val="single" w:color="2C3E50" w:sz="6"/>
            </w:tcBorders>
            <w:shd w:val="clear" w:fill="EDF0F2"/>
          </w:tcPr>
          <w:p>
            <w:pPr>
              <w:spacing w:before="60" w:after="60"/>
            </w:pPr>
            <w:r>
              <w:rPr>
                <w:b/>
                <w:color w:val="1A252F"/>
                <w:sz w:val="18"/>
              </w:rPr>
              <w:t xml:space="preserve">Platforms Using It</w:t>
            </w:r>
          </w:p>
        </w:tc>
        <w:tc>
          <w:tcPr>
            <w:tcW w:w="1800" w:type="dxa"/>
            <w:tcBorders>
              <w:bottom w:val="single" w:color="2C3E50" w:sz="6"/>
            </w:tcBorders>
            <w:shd w:val="clear" w:fill="EDF0F2"/>
          </w:tcPr>
          <w:p>
            <w:pPr>
              <w:spacing w:before="60" w:after="60"/>
            </w:pPr>
            <w:r>
              <w:rPr>
                <w:b/>
                <w:color w:val="1A252F"/>
                <w:sz w:val="18"/>
              </w:rPr>
              <w:t xml:space="preserve">Estimated Financial Impact</w:t>
            </w:r>
          </w:p>
        </w:tc>
        <w:tc>
          <w:tcPr>
            <w:tcW w:w="1800" w:type="dxa"/>
            <w:tcBorders>
              <w:bottom w:val="single" w:color="2C3E50" w:sz="6"/>
            </w:tcBorders>
            <w:shd w:val="clear" w:fill="EDF0F2"/>
          </w:tcPr>
          <w:p>
            <w:pPr>
              <w:spacing w:before="60" w:after="60"/>
            </w:pPr>
            <w:r>
              <w:rPr>
                <w:b/>
                <w:color w:val="1A252F"/>
                <w:sz w:val="18"/>
              </w:rPr>
              <w:t xml:space="preserve">Legal Vulnerability</w:t>
            </w:r>
          </w:p>
        </w:tc>
      </w:tr>
      <w:tr>
        <w:tc>
          <w:tcPr>
            <w:tcW w:w="1800" w:type="dxa"/>
          </w:tcPr>
          <w:p>
            <w:pPr>
              <w:spacing w:before="40" w:after="40" w:line="240" w:lineRule="auto"/>
            </w:pPr>
            <w:r>
              <w:rPr>
                <w:color w:val="1A252F"/>
                <w:sz w:val="18"/>
              </w:rPr>
              <w:t xml:space="preserve">Misclassification as IC</w:t>
            </w:r>
          </w:p>
        </w:tc>
        <w:tc>
          <w:tcPr>
            <w:tcW w:w="1800" w:type="dxa"/>
          </w:tcPr>
          <w:p>
            <w:pPr>
              <w:spacing w:before="40" w:after="40" w:line="240" w:lineRule="auto"/>
            </w:pPr>
            <w:r>
              <w:rPr>
                <w:color w:val="1A252F"/>
                <w:sz w:val="18"/>
              </w:rPr>
              <w:t xml:space="preserve">Label employees as contractors to avoid all employment obligations</w:t>
            </w:r>
          </w:p>
        </w:tc>
        <w:tc>
          <w:tcPr>
            <w:tcW w:w="1800" w:type="dxa"/>
          </w:tcPr>
          <w:p>
            <w:pPr>
              <w:spacing w:before="40" w:after="40" w:line="240" w:lineRule="auto"/>
            </w:pPr>
            <w:r>
              <w:rPr>
                <w:color w:val="1A252F"/>
                <w:sz w:val="18"/>
              </w:rPr>
              <w:t xml:space="preserve">Uber, Lyft, DoorDash, Scale AI, Remotasks, Instacart, Amazon Flex </w:t>
            </w:r>
            <w:r>
              <w:rPr>
                <w:color w:val="C0392B"/>
                <w:sz w:val="16"/>
                <w:vertAlign w:val="superscript"/>
              </w:rPr>
              <w:t xml:space="preserve">[664]</w:t>
            </w:r>
            <w:r>
              <w:rPr>
                <w:color w:val="C0392B"/>
                <w:sz w:val="16"/>
                <w:vertAlign w:val="superscript"/>
              </w:rPr>
              <w:t xml:space="preserve">[11]</w:t>
            </w:r>
            <w:r>
              <w:rPr>
                <w:color w:val="C0392B"/>
                <w:sz w:val="16"/>
                <w:vertAlign w:val="superscript"/>
              </w:rPr>
              <w:t xml:space="preserve">[634]</w:t>
            </w:r>
          </w:p>
        </w:tc>
        <w:tc>
          <w:tcPr>
            <w:tcW w:w="1800" w:type="dxa"/>
          </w:tcPr>
          <w:p>
            <w:pPr>
              <w:spacing w:before="40" w:after="40" w:line="240" w:lineRule="auto"/>
            </w:pPr>
            <w:r>
              <w:rPr>
                <w:color w:val="1A252F"/>
                <w:sz w:val="18"/>
              </w:rPr>
              <w:t xml:space="preserve">$19,526–$26,253/year lost per worker; $3–4B federal revenue lost annually </w:t>
            </w:r>
            <w:r>
              <w:rPr>
                <w:color w:val="C0392B"/>
                <w:sz w:val="16"/>
                <w:vertAlign w:val="superscript"/>
              </w:rPr>
              <w:t xml:space="preserve">[662]</w:t>
            </w:r>
            <w:r>
              <w:rPr>
                <w:color w:val="C0392B"/>
                <w:sz w:val="16"/>
                <w:vertAlign w:val="superscript"/>
              </w:rPr>
              <w:t xml:space="preserve">[661]</w:t>
            </w:r>
          </w:p>
        </w:tc>
        <w:tc>
          <w:tcPr>
            <w:tcW w:w="1800" w:type="dxa"/>
          </w:tcPr>
          <w:p>
            <w:pPr>
              <w:spacing w:before="40" w:after="40" w:line="240" w:lineRule="auto"/>
            </w:pPr>
            <w:r>
              <w:rPr>
                <w:color w:val="1A252F"/>
                <w:sz w:val="18"/>
              </w:rPr>
              <w:t xml:space="preserve">ABC test lawsuits (CA, MA, NJ); EU Platform Work Directive rebuttable presumption; UK worker status claims </w:t>
            </w:r>
            <w:r>
              <w:rPr>
                <w:color w:val="C0392B"/>
                <w:sz w:val="16"/>
                <w:vertAlign w:val="superscript"/>
              </w:rPr>
              <w:t xml:space="preserve">[621]</w:t>
            </w:r>
            <w:r>
              <w:rPr>
                <w:color w:val="C0392B"/>
                <w:sz w:val="16"/>
                <w:vertAlign w:val="superscript"/>
              </w:rPr>
              <w:t xml:space="preserve">[626]</w:t>
            </w:r>
          </w:p>
        </w:tc>
      </w:tr>
      <w:tr>
        <w:tc>
          <w:tcPr>
            <w:tcW w:w="1800" w:type="dxa"/>
          </w:tcPr>
          <w:p>
            <w:pPr>
              <w:spacing w:before="40" w:after="40" w:line="240" w:lineRule="auto"/>
            </w:pPr>
            <w:r>
              <w:rPr>
                <w:color w:val="1A252F"/>
                <w:sz w:val="18"/>
              </w:rPr>
              <w:t xml:space="preserve">Algorithmic wage suppression</w:t>
            </w:r>
          </w:p>
        </w:tc>
        <w:tc>
          <w:tcPr>
            <w:tcW w:w="1800" w:type="dxa"/>
          </w:tcPr>
          <w:p>
            <w:pPr>
              <w:spacing w:before="40" w:after="40" w:line="240" w:lineRule="auto"/>
            </w:pPr>
            <w:r>
              <w:rPr>
                <w:color w:val="1A252F"/>
                <w:sz w:val="18"/>
              </w:rPr>
              <w:t xml:space="preserve">Personalized variable pay using granular worker data; opaque take-rate increases</w:t>
            </w:r>
          </w:p>
        </w:tc>
        <w:tc>
          <w:tcPr>
            <w:tcW w:w="1800" w:type="dxa"/>
          </w:tcPr>
          <w:p>
            <w:pPr>
              <w:spacing w:before="40" w:after="40" w:line="240" w:lineRule="auto"/>
            </w:pPr>
            <w:r>
              <w:rPr>
                <w:color w:val="1A252F"/>
                <w:sz w:val="18"/>
              </w:rPr>
              <w:t xml:space="preserve">Uber, DoorDash, Lyft </w:t>
            </w:r>
            <w:r>
              <w:rPr>
                <w:color w:val="C0392B"/>
                <w:sz w:val="16"/>
                <w:vertAlign w:val="superscript"/>
              </w:rPr>
              <w:t xml:space="preserve">[9]</w:t>
            </w:r>
            <w:r>
              <w:rPr>
                <w:color w:val="C0392B"/>
                <w:sz w:val="16"/>
                <w:vertAlign w:val="superscript"/>
              </w:rPr>
              <w:t xml:space="preserve">[10]</w:t>
            </w:r>
            <w:r>
              <w:rPr>
                <w:color w:val="C0392B"/>
                <w:sz w:val="16"/>
                <w:vertAlign w:val="superscript"/>
              </w:rPr>
              <w:t xml:space="preserve">[5]</w:t>
            </w:r>
          </w:p>
        </w:tc>
        <w:tc>
          <w:tcPr>
            <w:tcW w:w="1800" w:type="dxa"/>
          </w:tcPr>
          <w:p>
            <w:pPr>
              <w:spacing w:before="40" w:after="40" w:line="240" w:lineRule="auto"/>
            </w:pPr>
            <w:r>
              <w:rPr>
                <w:color w:val="1A252F"/>
                <w:sz w:val="18"/>
              </w:rPr>
              <w:t xml:space="preserve">Uber take rate 32%→42% (2022–2024); 82% of UK Uber drivers earn less after dynamic pay </w:t>
            </w:r>
            <w:r>
              <w:rPr>
                <w:color w:val="C0392B"/>
                <w:sz w:val="16"/>
                <w:vertAlign w:val="superscript"/>
              </w:rPr>
              <w:t xml:space="preserve">[9]</w:t>
            </w:r>
            <w:r>
              <w:rPr>
                <w:color w:val="C0392B"/>
                <w:sz w:val="16"/>
                <w:vertAlign w:val="superscript"/>
              </w:rPr>
              <w:t xml:space="preserve">[5]</w:t>
            </w:r>
          </w:p>
        </w:tc>
        <w:tc>
          <w:tcPr>
            <w:tcW w:w="1800" w:type="dxa"/>
          </w:tcPr>
          <w:p>
            <w:pPr>
              <w:spacing w:before="40" w:after="40" w:line="240" w:lineRule="auto"/>
            </w:pPr>
            <w:r>
              <w:rPr>
                <w:color w:val="1A252F"/>
                <w:sz w:val="18"/>
              </w:rPr>
              <w:t xml:space="preserve">Worker Info Exchange GDPR lawsuit; EU Platform Work Directive transparency mandates; Empowering App-Based Workers Act (25% cap) </w:t>
            </w:r>
            <w:r>
              <w:rPr>
                <w:color w:val="C0392B"/>
                <w:sz w:val="16"/>
                <w:vertAlign w:val="superscript"/>
              </w:rPr>
              <w:t xml:space="preserve">[6]</w:t>
            </w:r>
            <w:r>
              <w:rPr>
                <w:color w:val="C0392B"/>
                <w:sz w:val="16"/>
                <w:vertAlign w:val="superscript"/>
              </w:rPr>
              <w:t xml:space="preserve">[44]</w:t>
            </w:r>
          </w:p>
        </w:tc>
      </w:tr>
      <w:tr>
        <w:tc>
          <w:tcPr>
            <w:tcW w:w="1800" w:type="dxa"/>
          </w:tcPr>
          <w:p>
            <w:pPr>
              <w:spacing w:before="40" w:after="40" w:line="240" w:lineRule="auto"/>
            </w:pPr>
            <w:r>
              <w:rPr>
                <w:color w:val="1A252F"/>
                <w:sz w:val="18"/>
              </w:rPr>
              <w:t xml:space="preserve">Tip theft — three generations</w:t>
            </w:r>
          </w:p>
        </w:tc>
        <w:tc>
          <w:tcPr>
            <w:tcW w:w="1800" w:type="dxa"/>
          </w:tcPr>
          <w:p>
            <w:pPr>
              <w:spacing w:before="40" w:after="40" w:line="240" w:lineRule="auto"/>
            </w:pPr>
            <w:r>
              <w:rPr>
                <w:color w:val="1A252F"/>
                <w:sz w:val="18"/>
              </w:rPr>
              <w:t xml:space="preserve">Gen 1: Direct tip subsidization; Gen 2: Hidden tips + base pay suppression; Gen 3: Predictive algorithmic offset</w:t>
            </w:r>
          </w:p>
        </w:tc>
        <w:tc>
          <w:tcPr>
            <w:tcW w:w="1800" w:type="dxa"/>
          </w:tcPr>
          <w:p>
            <w:pPr>
              <w:spacing w:before="40" w:after="40" w:line="240" w:lineRule="auto"/>
            </w:pPr>
            <w:r>
              <w:rPr>
                <w:color w:val="1A252F"/>
                <w:sz w:val="18"/>
              </w:rPr>
              <w:t xml:space="preserve">DoorDash, Instacart </w:t>
            </w:r>
            <w:r>
              <w:rPr>
                <w:color w:val="C0392B"/>
                <w:sz w:val="16"/>
                <w:vertAlign w:val="superscript"/>
              </w:rPr>
              <w:t xml:space="preserve">[13]</w:t>
            </w:r>
            <w:r>
              <w:rPr>
                <w:color w:val="C0392B"/>
                <w:sz w:val="16"/>
                <w:vertAlign w:val="superscript"/>
              </w:rPr>
              <w:t xml:space="preserve">[16]</w:t>
            </w:r>
            <w:r>
              <w:rPr>
                <w:color w:val="C0392B"/>
                <w:sz w:val="16"/>
                <w:vertAlign w:val="superscript"/>
              </w:rPr>
              <w:t xml:space="preserve">[303]</w:t>
            </w:r>
          </w:p>
        </w:tc>
        <w:tc>
          <w:tcPr>
            <w:tcW w:w="1800" w:type="dxa"/>
          </w:tcPr>
          <w:p>
            <w:pPr>
              <w:spacing w:before="40" w:after="40" w:line="240" w:lineRule="auto"/>
            </w:pPr>
            <w:r>
              <w:rPr>
                <w:color w:val="1A252F"/>
                <w:sz w:val="18"/>
              </w:rPr>
              <w:t xml:space="preserve">$16.75M NY settlement; $11.25M IL settlement; ongoing losses unquantified </w:t>
            </w:r>
            <w:r>
              <w:rPr>
                <w:color w:val="C0392B"/>
                <w:sz w:val="16"/>
                <w:vertAlign w:val="superscript"/>
              </w:rPr>
              <w:t xml:space="preserve">[447]</w:t>
            </w:r>
            <w:r>
              <w:rPr>
                <w:color w:val="C0392B"/>
                <w:sz w:val="16"/>
                <w:vertAlign w:val="superscript"/>
              </w:rPr>
              <w:t xml:space="preserve">[448]</w:t>
            </w:r>
          </w:p>
        </w:tc>
        <w:tc>
          <w:tcPr>
            <w:tcW w:w="1800" w:type="dxa"/>
          </w:tcPr>
          <w:p>
            <w:pPr>
              <w:spacing w:before="40" w:after="40" w:line="240" w:lineRule="auto"/>
            </w:pPr>
            <w:r>
              <w:rPr>
                <w:color w:val="1A252F"/>
                <w:sz w:val="18"/>
              </w:rPr>
              <w:t xml:space="preserve">State AG enforcement (NY, IL); consumer protection laws; deceptive trade practice claims</w:t>
            </w:r>
          </w:p>
        </w:tc>
      </w:tr>
      <w:tr>
        <w:tc>
          <w:tcPr>
            <w:tcW w:w="1800" w:type="dxa"/>
          </w:tcPr>
          <w:p>
            <w:pPr>
              <w:spacing w:before="40" w:after="40" w:line="240" w:lineRule="auto"/>
            </w:pPr>
            <w:r>
              <w:rPr>
                <w:color w:val="1A252F"/>
                <w:sz w:val="18"/>
              </w:rPr>
              <w:t xml:space="preserve">Unpaid mandatory training</w:t>
            </w:r>
          </w:p>
        </w:tc>
        <w:tc>
          <w:tcPr>
            <w:tcW w:w="1800" w:type="dxa"/>
          </w:tcPr>
          <w:p>
            <w:pPr>
              <w:spacing w:before="40" w:after="40" w:line="240" w:lineRule="auto"/>
            </w:pPr>
            <w:r>
              <w:rPr>
                <w:color w:val="1A252F"/>
                <w:sz w:val="18"/>
              </w:rPr>
              <w:t xml:space="preserve">Required qualification work without compensation; training time excluded from pay</w:t>
            </w:r>
          </w:p>
        </w:tc>
        <w:tc>
          <w:tcPr>
            <w:tcW w:w="1800" w:type="dxa"/>
          </w:tcPr>
          <w:p>
            <w:pPr>
              <w:spacing w:before="40" w:after="40" w:line="240" w:lineRule="auto"/>
            </w:pPr>
            <w:r>
              <w:rPr>
                <w:color w:val="1A252F"/>
                <w:sz w:val="18"/>
              </w:rPr>
              <w:t xml:space="preserve">Scale AI, Outlier, Remotasks, MTurk </w:t>
            </w:r>
            <w:r>
              <w:rPr>
                <w:color w:val="C0392B"/>
                <w:sz w:val="16"/>
                <w:vertAlign w:val="superscript"/>
              </w:rPr>
              <w:t xml:space="preserve">[29]</w:t>
            </w:r>
            <w:r>
              <w:rPr>
                <w:color w:val="C0392B"/>
                <w:sz w:val="16"/>
                <w:vertAlign w:val="superscript"/>
              </w:rPr>
              <w:t xml:space="preserve">[16]</w:t>
            </w:r>
            <w:r>
              <w:rPr>
                <w:color w:val="C0392B"/>
                <w:sz w:val="16"/>
                <w:vertAlign w:val="superscript"/>
              </w:rPr>
              <w:t xml:space="preserve">[112]</w:t>
            </w:r>
          </w:p>
        </w:tc>
        <w:tc>
          <w:tcPr>
            <w:tcW w:w="1800" w:type="dxa"/>
          </w:tcPr>
          <w:p>
            <w:pPr>
              <w:spacing w:before="40" w:after="40" w:line="240" w:lineRule="auto"/>
            </w:pPr>
            <w:r>
              <w:rPr>
                <w:color w:val="1A252F"/>
                <w:sz w:val="18"/>
              </w:rPr>
              <w:t xml:space="preserve">34% of platform time unpaid; effective wages at $2–5/hour </w:t>
            </w:r>
            <w:r>
              <w:rPr>
                <w:color w:val="C0392B"/>
                <w:sz w:val="16"/>
                <w:vertAlign w:val="superscript"/>
              </w:rPr>
              <w:t xml:space="preserve">[29]</w:t>
            </w:r>
            <w:r>
              <w:rPr>
                <w:color w:val="C0392B"/>
                <w:sz w:val="16"/>
                <w:vertAlign w:val="superscript"/>
              </w:rPr>
              <w:t xml:space="preserve">[673]</w:t>
            </w:r>
          </w:p>
        </w:tc>
        <w:tc>
          <w:tcPr>
            <w:tcW w:w="1800" w:type="dxa"/>
          </w:tcPr>
          <w:p>
            <w:pPr>
              <w:spacing w:before="40" w:after="40" w:line="240" w:lineRule="auto"/>
            </w:pPr>
            <w:r>
              <w:rPr>
                <w:color w:val="1A252F"/>
                <w:sz w:val="18"/>
              </w:rPr>
              <w:t xml:space="preserve">FLSA minimum wage claims; state wage and hour laws; California PAGA actions </w:t>
            </w:r>
            <w:r>
              <w:rPr>
                <w:color w:val="C0392B"/>
                <w:sz w:val="16"/>
                <w:vertAlign w:val="superscript"/>
              </w:rPr>
              <w:t xml:space="preserve">[23]</w:t>
            </w:r>
          </w:p>
        </w:tc>
      </w:tr>
      <w:tr>
        <w:tc>
          <w:tcPr>
            <w:tcW w:w="1800" w:type="dxa"/>
          </w:tcPr>
          <w:p>
            <w:pPr>
              <w:spacing w:before="40" w:after="40" w:line="240" w:lineRule="auto"/>
            </w:pPr>
            <w:r>
              <w:rPr>
                <w:color w:val="1A252F"/>
                <w:sz w:val="18"/>
              </w:rPr>
              <w:t xml:space="preserve">Deactivation as cost control</w:t>
            </w:r>
          </w:p>
        </w:tc>
        <w:tc>
          <w:tcPr>
            <w:tcW w:w="1800" w:type="dxa"/>
          </w:tcPr>
          <w:p>
            <w:pPr>
              <w:spacing w:before="40" w:after="40" w:line="240" w:lineRule="auto"/>
            </w:pPr>
            <w:r>
              <w:rPr>
                <w:color w:val="1A252F"/>
                <w:sz w:val="18"/>
              </w:rPr>
              <w:t xml:space="preserve">Algorithmic termination without explanation or human review</w:t>
            </w:r>
          </w:p>
        </w:tc>
        <w:tc>
          <w:tcPr>
            <w:tcW w:w="1800" w:type="dxa"/>
          </w:tcPr>
          <w:p>
            <w:pPr>
              <w:spacing w:before="40" w:after="40" w:line="240" w:lineRule="auto"/>
            </w:pPr>
            <w:r>
              <w:rPr>
                <w:color w:val="1A252F"/>
                <w:sz w:val="18"/>
              </w:rPr>
              <w:t xml:space="preserve">Uber, Remotasks, Amazon Flex </w:t>
            </w:r>
            <w:r>
              <w:rPr>
                <w:color w:val="C0392B"/>
                <w:sz w:val="16"/>
                <w:vertAlign w:val="superscript"/>
              </w:rPr>
              <w:t xml:space="preserve">[649]</w:t>
            </w:r>
            <w:r>
              <w:rPr>
                <w:color w:val="C0392B"/>
                <w:sz w:val="16"/>
                <w:vertAlign w:val="superscript"/>
              </w:rPr>
              <w:t xml:space="preserve">[115]</w:t>
            </w:r>
          </w:p>
        </w:tc>
        <w:tc>
          <w:tcPr>
            <w:tcW w:w="1800" w:type="dxa"/>
          </w:tcPr>
          <w:p>
            <w:pPr>
              <w:spacing w:before="40" w:after="40" w:line="240" w:lineRule="auto"/>
            </w:pPr>
            <w:r>
              <w:rPr>
                <w:color w:val="1A252F"/>
                <w:sz w:val="18"/>
              </w:rPr>
              <w:t xml:space="preserve">$3,200/month average income loss; 150,000+ Uber drivers deactivated in 2024 </w:t>
            </w:r>
            <w:r>
              <w:rPr>
                <w:color w:val="C0392B"/>
                <w:sz w:val="16"/>
                <w:vertAlign w:val="superscript"/>
              </w:rPr>
              <w:t xml:space="preserve">[649]</w:t>
            </w:r>
          </w:p>
        </w:tc>
        <w:tc>
          <w:tcPr>
            <w:tcW w:w="1800" w:type="dxa"/>
          </w:tcPr>
          <w:p>
            <w:pPr>
              <w:spacing w:before="40" w:after="40" w:line="240" w:lineRule="auto"/>
            </w:pPr>
            <w:r>
              <w:rPr>
                <w:color w:val="1A252F"/>
                <w:sz w:val="18"/>
              </w:rPr>
              <w:t xml:space="preserve">Seattle Deactivation Rights Ordinance; NYC Just Cause legislation; EU PWD human-review requirement </w:t>
            </w:r>
            <w:r>
              <w:rPr>
                <w:color w:val="C0392B"/>
                <w:sz w:val="16"/>
                <w:vertAlign w:val="superscript"/>
              </w:rPr>
              <w:t xml:space="preserve">[24]</w:t>
            </w:r>
          </w:p>
        </w:tc>
      </w:tr>
      <w:tr>
        <w:tc>
          <w:tcPr>
            <w:tcW w:w="1800" w:type="dxa"/>
          </w:tcPr>
          <w:p>
            <w:pPr>
              <w:spacing w:before="40" w:after="40" w:line="240" w:lineRule="auto"/>
            </w:pPr>
            <w:r>
              <w:rPr>
                <w:color w:val="1A252F"/>
                <w:sz w:val="18"/>
              </w:rPr>
              <w:t xml:space="preserve">Bait-and-switch pay rates</w:t>
            </w:r>
          </w:p>
        </w:tc>
        <w:tc>
          <w:tcPr>
            <w:tcW w:w="1800" w:type="dxa"/>
          </w:tcPr>
          <w:p>
            <w:pPr>
              <w:spacing w:before="40" w:after="40" w:line="240" w:lineRule="auto"/>
            </w:pPr>
            <w:r>
              <w:rPr>
                <w:color w:val="1A252F"/>
                <w:sz w:val="18"/>
              </w:rPr>
              <w:t xml:space="preserve">Advertised rates unobtainable; actual pay reduced via task allocation</w:t>
            </w:r>
          </w:p>
        </w:tc>
        <w:tc>
          <w:tcPr>
            <w:tcW w:w="1800" w:type="dxa"/>
          </w:tcPr>
          <w:p>
            <w:pPr>
              <w:spacing w:before="40" w:after="40" w:line="240" w:lineRule="auto"/>
            </w:pPr>
            <w:r>
              <w:rPr>
                <w:color w:val="1A252F"/>
                <w:sz w:val="18"/>
              </w:rPr>
              <w:t xml:space="preserve">Scale AI, Remotasks, MTurk, Upwork, Fiverr </w:t>
            </w:r>
            <w:r>
              <w:rPr>
                <w:color w:val="C0392B"/>
                <w:sz w:val="16"/>
                <w:vertAlign w:val="superscript"/>
              </w:rPr>
              <w:t xml:space="preserve">[634]</w:t>
            </w:r>
            <w:r>
              <w:rPr>
                <w:color w:val="C0392B"/>
                <w:sz w:val="16"/>
                <w:vertAlign w:val="superscript"/>
              </w:rPr>
              <w:t xml:space="preserve">[112]</w:t>
            </w:r>
            <w:r>
              <w:rPr>
                <w:color w:val="C0392B"/>
                <w:sz w:val="16"/>
                <w:vertAlign w:val="superscript"/>
              </w:rPr>
              <w:t xml:space="preserve">[404]</w:t>
            </w:r>
          </w:p>
        </w:tc>
        <w:tc>
          <w:tcPr>
            <w:tcW w:w="1800" w:type="dxa"/>
          </w:tcPr>
          <w:p>
            <w:pPr>
              <w:spacing w:before="40" w:after="40" w:line="240" w:lineRule="auto"/>
            </w:pPr>
            <w:r>
              <w:rPr>
                <w:color w:val="1A252F"/>
                <w:sz w:val="18"/>
              </w:rPr>
              <w:t xml:space="preserve">MTurk median $2/hour; 96% earn below minimum wage </w:t>
            </w:r>
            <w:r>
              <w:rPr>
                <w:color w:val="C0392B"/>
                <w:sz w:val="16"/>
                <w:vertAlign w:val="superscript"/>
              </w:rPr>
              <w:t xml:space="preserve">[28]</w:t>
            </w:r>
          </w:p>
        </w:tc>
        <w:tc>
          <w:tcPr>
            <w:tcW w:w="1800" w:type="dxa"/>
          </w:tcPr>
          <w:p>
            <w:pPr>
              <w:spacing w:before="40" w:after="40" w:line="240" w:lineRule="auto"/>
            </w:pPr>
            <w:r>
              <w:rPr>
                <w:color w:val="1A252F"/>
                <w:sz w:val="18"/>
              </w:rPr>
              <w:t xml:space="preserve">False advertising claims; state consumer protection laws; securities disclosure requirements</w:t>
            </w:r>
          </w:p>
        </w:tc>
      </w:tr>
    </w:tbl>
    <w:p>
      <w:pPr>
        <w:spacing w:after="200"/>
      </w:pPr>
    </w:p>
    <w:p>
      <w:pPr>
        <w:spacing w:after="160" w:line="300" w:lineRule="auto"/>
      </w:pPr>
      <w:r>
        <w:rPr>
          <w:color w:val="1A252F"/>
          <w:sz w:val="22"/>
        </w:rPr>
        <w:t xml:space="preserve">The convergence of these six tactics across every platform category reveals a systemic pattern. No single platform deploys all six simultaneously, but the industry-wide coverage is comprehensive: each platform specializes in a subset, and the cumulative effect ensures that virtually no gig worker is compensated at a level commensurate with their actual labor contribution. The $2 billion-plus in global settlements and judgments documented in this report's preceding chapters represents only the fraction of theft that has been successfully litigated; the true scale of extraction is orders of magnitude larger.</w:t>
      </w:r>
    </w:p>
    <w:p>
      <w:pPr>
        <w:pStyle w:val="Heading3"/>
      </w:pPr>
      <w:r>
        <w:rPr>
          <w:color w:val="1A252F"/>
          <w:sz w:val="22"/>
        </w:rPr>
        <w:t xml:space="preserve">4.2 Systemic Patterns</w:t>
      </w:r>
    </w:p>
    <w:p>
      <w:pPr>
        <w:pStyle w:val="Heading4"/>
      </w:pPr>
      <w:r>
        <w:rPr>
          <w:color w:val="1A252F"/>
          <w:sz w:val="22"/>
        </w:rPr>
        <w:t xml:space="preserve">4.2.1 Correlation Between Platform Funding Rounds and Exploitation Spikes</w:t>
      </w:r>
    </w:p>
    <w:p>
      <w:pPr>
        <w:spacing w:after="160" w:line="300" w:lineRule="auto"/>
      </w:pPr>
      <w:r>
        <w:rPr>
          <w:color w:val="1A252F"/>
          <w:sz w:val="22"/>
        </w:rPr>
        <w:t xml:space="preserve">Platform exploitation intensifies in predictable correlation with capital markets activity. Scale AI's wage theft complaints spiked during its growth to a $13.8 billion valuation, culminating in four class-action lawsuits and a DOL investigation before the company settled and stopped hiring California workers entirely </w:t>
      </w:r>
      <w:r>
        <w:rPr>
          <w:color w:val="C0392B"/>
          <w:sz w:val="16"/>
          <w:vertAlign w:val="superscript"/>
        </w:rPr>
        <w:t xml:space="preserve">[11]</w:t>
      </w:r>
      <w:r>
        <w:rPr>
          <w:color w:val="1A252F"/>
          <w:sz w:val="22"/>
        </w:rPr>
        <w:t xml:space="preserve">. The structural driver is clear: venture capital demands growth and margin improvement, and the easiest cost to cut is worker pay. This creates a recurring cycle — funding inflow drives expansion, expansion demands improved unit economics, and improved unit economics require suppressed labor costs. For workers, the timing is perverse: exploitation intensifies precisely when a platform appears most successful.</w:t>
      </w:r>
    </w:p>
    <w:p>
      <w:pPr>
        <w:pStyle w:val="Heading4"/>
      </w:pPr>
      <w:r>
        <w:rPr>
          <w:color w:val="1A252F"/>
          <w:sz w:val="22"/>
        </w:rPr>
        <w:t xml:space="preserve">4.2.2 Seasonal Patterns: Q4 Holiday Peak Exploitation in Delivery</w:t>
      </w:r>
    </w:p>
    <w:p>
      <w:pPr>
        <w:spacing w:after="160" w:line="300" w:lineRule="auto"/>
      </w:pPr>
      <w:r>
        <w:rPr>
          <w:color w:val="1A252F"/>
          <w:sz w:val="22"/>
        </w:rPr>
        <w:t xml:space="preserve">The fourth-quarter holiday surge in delivery demand creates predictable conditions for wage theft escalation. Platforms recruit aggressively to meet demand, onboarding workers with inflated earnings promises that collapse once the peak passes. Algorithmic pay models suppress base pay during high-demand periods because the surge in order volume ensures sufficient worker participation regardless of individual compensation — a form of extraction unique to algorithmically managed workforces. Workers who joined during peak periods, often making significant investments in vehicles and equipment, find themselves deactivated or starved of orders once holiday demand normalizes, leaving them with depreciated assets and no income.</w:t>
      </w:r>
    </w:p>
    <w:p>
      <w:pPr>
        <w:pStyle w:val="Heading4"/>
      </w:pPr>
      <w:r>
        <w:rPr>
          <w:color w:val="1A252F"/>
          <w:sz w:val="22"/>
        </w:rPr>
        <w:t xml:space="preserve">4.2.3 Worker Profiles Most Affected</w:t>
      </w:r>
    </w:p>
    <w:p>
      <w:pPr>
        <w:spacing w:after="160" w:line="300" w:lineRule="auto"/>
      </w:pPr>
      <w:r>
        <w:rPr>
          <w:color w:val="1A252F"/>
          <w:sz w:val="22"/>
        </w:rPr>
        <w:t xml:space="preserve">Gig economy exploitation is not distributed uniformly. It concentrates on workers who are structurally least able to resist — a pattern visible across every platform and jurisdiction.</w:t>
      </w:r>
    </w:p>
    <w:tbl>
      <w:tblPr>
        <w:tblW w:w="5000" w:type="pct"/>
        <w:tblBorders>
          <w:top w:val="single" w:color="2C3E50" w:sz="12"/>
          <w:left w:val="nil"/>
          <w:bottom w:val="single" w:color="2C3E50" w:sz="12"/>
          <w:right w:val="nil"/>
          <w:insideH w:val="single" w:color="BDC3C7" w:sz="4"/>
          <w:insideV w:val="nil"/>
        </w:tblBorders>
        <w:tblLook w:val="04A0" w:firstRow="true"/>
      </w:tblPr>
      <w:tblGrid>
        <w:gridCol w:w="1800"/>
        <w:gridCol w:w="1800"/>
        <w:gridCol w:w="1800"/>
        <w:gridCol w:w="1800"/>
        <w:gridCol w:w="1800"/>
      </w:tblGrid>
      <w:tr>
        <w:trPr>
          <w:tblHeader/>
        </w:trPr>
        <w:tc>
          <w:tcPr>
            <w:tcW w:w="1800" w:type="dxa"/>
            <w:tcBorders>
              <w:bottom w:val="single" w:color="2C3E50" w:sz="6"/>
            </w:tcBorders>
            <w:shd w:val="clear" w:fill="EDF0F2"/>
          </w:tcPr>
          <w:p>
            <w:pPr>
              <w:spacing w:before="60" w:after="60"/>
            </w:pPr>
            <w:r>
              <w:rPr>
                <w:b/>
                <w:color w:val="1A252F"/>
                <w:sz w:val="18"/>
              </w:rPr>
              <w:t xml:space="preserve">Worker Profile</w:t>
            </w:r>
          </w:p>
        </w:tc>
        <w:tc>
          <w:tcPr>
            <w:tcW w:w="1800" w:type="dxa"/>
            <w:tcBorders>
              <w:bottom w:val="single" w:color="2C3E50" w:sz="6"/>
            </w:tcBorders>
            <w:shd w:val="clear" w:fill="EDF0F2"/>
          </w:tcPr>
          <w:p>
            <w:pPr>
              <w:spacing w:before="60" w:after="60"/>
            </w:pPr>
            <w:r>
              <w:rPr>
                <w:b/>
                <w:color w:val="1A252F"/>
                <w:sz w:val="18"/>
              </w:rPr>
              <w:t xml:space="preserve">Geographic Concentration</w:t>
            </w:r>
          </w:p>
        </w:tc>
        <w:tc>
          <w:tcPr>
            <w:tcW w:w="1800" w:type="dxa"/>
            <w:tcBorders>
              <w:bottom w:val="single" w:color="2C3E50" w:sz="6"/>
            </w:tcBorders>
            <w:shd w:val="clear" w:fill="EDF0F2"/>
          </w:tcPr>
          <w:p>
            <w:pPr>
              <w:spacing w:before="60" w:after="60"/>
            </w:pPr>
            <w:r>
              <w:rPr>
                <w:b/>
                <w:color w:val="1A252F"/>
                <w:sz w:val="18"/>
              </w:rPr>
              <w:t xml:space="preserve">Primary Platforms Affected</w:t>
            </w:r>
          </w:p>
        </w:tc>
        <w:tc>
          <w:tcPr>
            <w:tcW w:w="1800" w:type="dxa"/>
            <w:tcBorders>
              <w:bottom w:val="single" w:color="2C3E50" w:sz="6"/>
            </w:tcBorders>
            <w:shd w:val="clear" w:fill="EDF0F2"/>
          </w:tcPr>
          <w:p>
            <w:pPr>
              <w:spacing w:before="60" w:after="60"/>
            </w:pPr>
            <w:r>
              <w:rPr>
                <w:b/>
                <w:color w:val="1A252F"/>
                <w:sz w:val="18"/>
              </w:rPr>
              <w:t xml:space="preserve">Vulnerability Factors</w:t>
            </w:r>
          </w:p>
        </w:tc>
        <w:tc>
          <w:tcPr>
            <w:tcW w:w="1800" w:type="dxa"/>
            <w:tcBorders>
              <w:bottom w:val="single" w:color="2C3E50" w:sz="6"/>
            </w:tcBorders>
            <w:shd w:val="clear" w:fill="EDF0F2"/>
          </w:tcPr>
          <w:p>
            <w:pPr>
              <w:spacing w:before="60" w:after="60"/>
            </w:pPr>
            <w:r>
              <w:rPr>
                <w:b/>
                <w:color w:val="1A252F"/>
                <w:sz w:val="18"/>
              </w:rPr>
              <w:t xml:space="preserve">Estimated Exposure</w:t>
            </w:r>
          </w:p>
        </w:tc>
      </w:tr>
      <w:tr>
        <w:tc>
          <w:tcPr>
            <w:tcW w:w="1800" w:type="dxa"/>
          </w:tcPr>
          <w:p>
            <w:pPr>
              <w:spacing w:before="40" w:after="40" w:line="240" w:lineRule="auto"/>
            </w:pPr>
            <w:r>
              <w:rPr>
                <w:color w:val="1A252F"/>
                <w:sz w:val="18"/>
              </w:rPr>
              <w:t xml:space="preserve">Recent immigrants (0–5 years)</w:t>
            </w:r>
          </w:p>
        </w:tc>
        <w:tc>
          <w:tcPr>
            <w:tcW w:w="1800" w:type="dxa"/>
          </w:tcPr>
          <w:p>
            <w:pPr>
              <w:spacing w:before="40" w:after="40" w:line="240" w:lineRule="auto"/>
            </w:pPr>
            <w:r>
              <w:rPr>
                <w:color w:val="1A252F"/>
                <w:sz w:val="18"/>
              </w:rPr>
              <w:t xml:space="preserve">Canada (60% of app-based drivers); UK (Bristol, London); US (LA, NYC) </w:t>
            </w:r>
            <w:r>
              <w:rPr>
                <w:color w:val="C0392B"/>
                <w:sz w:val="16"/>
                <w:vertAlign w:val="superscript"/>
              </w:rPr>
              <w:t xml:space="preserve">[983]</w:t>
            </w:r>
            <w:r>
              <w:rPr>
                <w:color w:val="C0392B"/>
                <w:sz w:val="16"/>
                <w:vertAlign w:val="superscript"/>
              </w:rPr>
              <w:t xml:space="preserve">[978]</w:t>
            </w:r>
            <w:r>
              <w:rPr>
                <w:color w:val="C0392B"/>
                <w:sz w:val="16"/>
                <w:vertAlign w:val="superscript"/>
              </w:rPr>
              <w:t xml:space="preserve">[862]</w:t>
            </w:r>
          </w:p>
        </w:tc>
        <w:tc>
          <w:tcPr>
            <w:tcW w:w="1800" w:type="dxa"/>
          </w:tcPr>
          <w:p>
            <w:pPr>
              <w:spacing w:before="40" w:after="40" w:line="240" w:lineRule="auto"/>
            </w:pPr>
            <w:r>
              <w:rPr>
                <w:color w:val="1A252F"/>
                <w:sz w:val="18"/>
              </w:rPr>
              <w:t xml:space="preserve">Uber, Lyft, Uber Eats, Deliveroo</w:t>
            </w:r>
          </w:p>
        </w:tc>
        <w:tc>
          <w:tcPr>
            <w:tcW w:w="1800" w:type="dxa"/>
          </w:tcPr>
          <w:p>
            <w:pPr>
              <w:spacing w:before="40" w:after="40" w:line="240" w:lineRule="auto"/>
            </w:pPr>
            <w:r>
              <w:rPr>
                <w:color w:val="1A252F"/>
                <w:sz w:val="18"/>
              </w:rPr>
              <w:t xml:space="preserve">Visa restrictions; language barriers; deportation threats; remittance dependency </w:t>
            </w:r>
            <w:r>
              <w:rPr>
                <w:color w:val="C0392B"/>
                <w:sz w:val="16"/>
                <w:vertAlign w:val="superscript"/>
              </w:rPr>
              <w:t xml:space="preserve">[867]</w:t>
            </w:r>
            <w:r>
              <w:rPr>
                <w:color w:val="C0392B"/>
                <w:sz w:val="16"/>
                <w:vertAlign w:val="superscript"/>
              </w:rPr>
              <w:t xml:space="preserve">[961]</w:t>
            </w:r>
          </w:p>
        </w:tc>
        <w:tc>
          <w:tcPr>
            <w:tcW w:w="1800" w:type="dxa"/>
          </w:tcPr>
          <w:p>
            <w:pPr>
              <w:spacing w:before="40" w:after="40" w:line="240" w:lineRule="auto"/>
            </w:pPr>
            <w:r>
              <w:rPr>
                <w:color w:val="1A252F"/>
                <w:sz w:val="18"/>
              </w:rPr>
              <w:t xml:space="preserve">60% of Canadian ride-hail workforce; 26% of Hispanic US workers in gig arrangements </w:t>
            </w:r>
            <w:r>
              <w:rPr>
                <w:color w:val="C0392B"/>
                <w:sz w:val="16"/>
                <w:vertAlign w:val="superscript"/>
              </w:rPr>
              <w:t xml:space="preserve">[983]</w:t>
            </w:r>
            <w:r>
              <w:rPr>
                <w:color w:val="C0392B"/>
                <w:sz w:val="16"/>
                <w:vertAlign w:val="superscript"/>
              </w:rPr>
              <w:t xml:space="preserve">[867]</w:t>
            </w:r>
          </w:p>
        </w:tc>
      </w:tr>
      <w:tr>
        <w:tc>
          <w:tcPr>
            <w:tcW w:w="1800" w:type="dxa"/>
          </w:tcPr>
          <w:p>
            <w:pPr>
              <w:spacing w:before="40" w:after="40" w:line="240" w:lineRule="auto"/>
            </w:pPr>
            <w:r>
              <w:rPr>
                <w:color w:val="1A252F"/>
                <w:sz w:val="18"/>
              </w:rPr>
              <w:t xml:space="preserve">Visa-restricted workers</w:t>
            </w:r>
          </w:p>
        </w:tc>
        <w:tc>
          <w:tcPr>
            <w:tcW w:w="1800" w:type="dxa"/>
          </w:tcPr>
          <w:p>
            <w:pPr>
              <w:spacing w:before="40" w:after="40" w:line="240" w:lineRule="auto"/>
            </w:pPr>
            <w:r>
              <w:rPr>
                <w:color w:val="1A252F"/>
                <w:sz w:val="18"/>
              </w:rPr>
              <w:t xml:space="preserve">UAE, Qatar, South Africa, Australia</w:t>
            </w:r>
          </w:p>
        </w:tc>
        <w:tc>
          <w:tcPr>
            <w:tcW w:w="1800" w:type="dxa"/>
          </w:tcPr>
          <w:p>
            <w:pPr>
              <w:spacing w:before="40" w:after="40" w:line="240" w:lineRule="auto"/>
            </w:pPr>
            <w:r>
              <w:rPr>
                <w:color w:val="1A252F"/>
                <w:sz w:val="18"/>
              </w:rPr>
              <w:t xml:space="preserve">Food delivery, cleaning services, construction gig work</w:t>
            </w:r>
          </w:p>
        </w:tc>
        <w:tc>
          <w:tcPr>
            <w:tcW w:w="1800" w:type="dxa"/>
          </w:tcPr>
          <w:p>
            <w:pPr>
              <w:spacing w:before="40" w:after="40" w:line="240" w:lineRule="auto"/>
            </w:pPr>
            <w:r>
              <w:rPr>
                <w:color w:val="1A252F"/>
                <w:sz w:val="18"/>
              </w:rPr>
              <w:t xml:space="preserve">Closed work permits; employer-tied visas; fear of status loss; limited legal recourse </w:t>
            </w:r>
            <w:r>
              <w:rPr>
                <w:color w:val="C0392B"/>
                <w:sz w:val="16"/>
                <w:vertAlign w:val="superscript"/>
              </w:rPr>
              <w:t xml:space="preserve">[871]</w:t>
            </w:r>
            <w:r>
              <w:rPr>
                <w:color w:val="C0392B"/>
                <w:sz w:val="16"/>
                <w:vertAlign w:val="superscript"/>
              </w:rPr>
              <w:t xml:space="preserve">[10]</w:t>
            </w:r>
          </w:p>
        </w:tc>
        <w:tc>
          <w:tcPr>
            <w:tcW w:w="1800" w:type="dxa"/>
          </w:tcPr>
          <w:p>
            <w:pPr>
              <w:spacing w:before="40" w:after="40" w:line="240" w:lineRule="auto"/>
            </w:pPr>
            <w:r>
              <w:rPr>
                <w:color w:val="1A252F"/>
                <w:sz w:val="18"/>
              </w:rPr>
              <w:t xml:space="preserve">19 cases documented where workers became undocumented after employer actions </w:t>
            </w:r>
            <w:r>
              <w:rPr>
                <w:color w:val="C0392B"/>
                <w:sz w:val="16"/>
                <w:vertAlign w:val="superscript"/>
              </w:rPr>
              <w:t xml:space="preserve">[10]</w:t>
            </w:r>
          </w:p>
        </w:tc>
      </w:tr>
      <w:tr>
        <w:tc>
          <w:tcPr>
            <w:tcW w:w="1800" w:type="dxa"/>
          </w:tcPr>
          <w:p>
            <w:pPr>
              <w:spacing w:before="40" w:after="40" w:line="240" w:lineRule="auto"/>
            </w:pPr>
            <w:r>
              <w:rPr>
                <w:color w:val="1A252F"/>
                <w:sz w:val="18"/>
              </w:rPr>
              <w:t xml:space="preserve">Racialized workers</w:t>
            </w:r>
          </w:p>
        </w:tc>
        <w:tc>
          <w:tcPr>
            <w:tcW w:w="1800" w:type="dxa"/>
          </w:tcPr>
          <w:p>
            <w:pPr>
              <w:spacing w:before="40" w:after="40" w:line="240" w:lineRule="auto"/>
            </w:pPr>
            <w:r>
              <w:rPr>
                <w:color w:val="1A252F"/>
                <w:sz w:val="18"/>
              </w:rPr>
              <w:t xml:space="preserve">US (nationwide); UK; Australia</w:t>
            </w:r>
          </w:p>
        </w:tc>
        <w:tc>
          <w:tcPr>
            <w:tcW w:w="1800" w:type="dxa"/>
          </w:tcPr>
          <w:p>
            <w:pPr>
              <w:spacing w:before="40" w:after="40" w:line="240" w:lineRule="auto"/>
            </w:pPr>
            <w:r>
              <w:rPr>
                <w:color w:val="1A252F"/>
                <w:sz w:val="18"/>
              </w:rPr>
              <w:t xml:space="preserve">Uber, Lyft, DoorDash</w:t>
            </w:r>
          </w:p>
        </w:tc>
        <w:tc>
          <w:tcPr>
            <w:tcW w:w="1800" w:type="dxa"/>
          </w:tcPr>
          <w:p>
            <w:pPr>
              <w:spacing w:before="40" w:after="40" w:line="240" w:lineRule="auto"/>
            </w:pPr>
            <w:r>
              <w:rPr>
                <w:color w:val="1A252F"/>
                <w:sz w:val="18"/>
              </w:rPr>
              <w:t xml:space="preserve">69% deactivation rate for drivers of color vs. 57% white; 70% East Asian drivers report discrimination </w:t>
            </w:r>
            <w:r>
              <w:rPr>
                <w:color w:val="C0392B"/>
                <w:sz w:val="16"/>
                <w:vertAlign w:val="superscript"/>
              </w:rPr>
              <w:t xml:space="preserve">[792]</w:t>
            </w:r>
          </w:p>
        </w:tc>
        <w:tc>
          <w:tcPr>
            <w:tcW w:w="1800" w:type="dxa"/>
          </w:tcPr>
          <w:p>
            <w:pPr>
              <w:spacing w:before="40" w:after="40" w:line="240" w:lineRule="auto"/>
            </w:pPr>
            <w:r>
              <w:rPr>
                <w:color w:val="1A252F"/>
                <w:sz w:val="18"/>
              </w:rPr>
              <w:t xml:space="preserve">70% of Canadian app-based workers belong to racialized groups </w:t>
            </w:r>
            <w:r>
              <w:rPr>
                <w:color w:val="C0392B"/>
                <w:sz w:val="16"/>
                <w:vertAlign w:val="superscript"/>
              </w:rPr>
              <w:t xml:space="preserve">[983]</w:t>
            </w:r>
          </w:p>
        </w:tc>
      </w:tr>
      <w:tr>
        <w:tc>
          <w:tcPr>
            <w:tcW w:w="1800" w:type="dxa"/>
          </w:tcPr>
          <w:p>
            <w:pPr>
              <w:spacing w:before="40" w:after="40" w:line="240" w:lineRule="auto"/>
            </w:pPr>
            <w:r>
              <w:rPr>
                <w:color w:val="1A252F"/>
                <w:sz w:val="18"/>
              </w:rPr>
              <w:t xml:space="preserve">Workers in Global South</w:t>
            </w:r>
          </w:p>
        </w:tc>
        <w:tc>
          <w:tcPr>
            <w:tcW w:w="1800" w:type="dxa"/>
          </w:tcPr>
          <w:p>
            <w:pPr>
              <w:spacing w:before="40" w:after="40" w:line="240" w:lineRule="auto"/>
            </w:pPr>
            <w:r>
              <w:rPr>
                <w:color w:val="1A252F"/>
                <w:sz w:val="18"/>
              </w:rPr>
              <w:t xml:space="preserve">Kenya, Nigeria, Pakistan, India, Philippines</w:t>
            </w:r>
          </w:p>
        </w:tc>
        <w:tc>
          <w:tcPr>
            <w:tcW w:w="1800" w:type="dxa"/>
          </w:tcPr>
          <w:p>
            <w:pPr>
              <w:spacing w:before="40" w:after="40" w:line="240" w:lineRule="auto"/>
            </w:pPr>
            <w:r>
              <w:rPr>
                <w:color w:val="1A252F"/>
                <w:sz w:val="18"/>
              </w:rPr>
              <w:t xml:space="preserve">Remotasks, Scale AI, Sama, MTurk</w:t>
            </w:r>
          </w:p>
        </w:tc>
        <w:tc>
          <w:tcPr>
            <w:tcW w:w="1800" w:type="dxa"/>
          </w:tcPr>
          <w:p>
            <w:pPr>
              <w:spacing w:before="40" w:after="40" w:line="240" w:lineRule="auto"/>
            </w:pPr>
            <w:r>
              <w:rPr>
                <w:color w:val="1A252F"/>
                <w:sz w:val="18"/>
              </w:rPr>
              <w:t xml:space="preserve">Geographic pay discrimination; $1.32–$2/hour wages; no labor protections; psychological trauma </w:t>
            </w:r>
            <w:r>
              <w:rPr>
                <w:color w:val="C0392B"/>
                <w:sz w:val="16"/>
                <w:vertAlign w:val="superscript"/>
              </w:rPr>
              <w:t xml:space="preserve">[12]</w:t>
            </w:r>
            <w:r>
              <w:rPr>
                <w:color w:val="C0392B"/>
                <w:sz w:val="16"/>
                <w:vertAlign w:val="superscript"/>
              </w:rPr>
              <w:t xml:space="preserve">[102]</w:t>
            </w:r>
            <w:r>
              <w:rPr>
                <w:color w:val="C0392B"/>
                <w:sz w:val="16"/>
                <w:vertAlign w:val="superscript"/>
              </w:rPr>
              <w:t xml:space="preserve">[28]</w:t>
            </w:r>
          </w:p>
        </w:tc>
        <w:tc>
          <w:tcPr>
            <w:tcW w:w="1800" w:type="dxa"/>
          </w:tcPr>
          <w:p>
            <w:pPr>
              <w:spacing w:before="40" w:after="40" w:line="240" w:lineRule="auto"/>
            </w:pPr>
            <w:r>
              <w:rPr>
                <w:color w:val="1A252F"/>
                <w:sz w:val="18"/>
              </w:rPr>
              <w:t xml:space="preserve">81% of 144 Sama moderators diagnosed with severe PTSD </w:t>
            </w:r>
            <w:r>
              <w:rPr>
                <w:color w:val="C0392B"/>
                <w:sz w:val="16"/>
                <w:vertAlign w:val="superscript"/>
              </w:rPr>
              <w:t xml:space="preserve">[998]</w:t>
            </w:r>
          </w:p>
        </w:tc>
      </w:tr>
      <w:tr>
        <w:tc>
          <w:tcPr>
            <w:tcW w:w="1800" w:type="dxa"/>
          </w:tcPr>
          <w:p>
            <w:pPr>
              <w:spacing w:before="40" w:after="40" w:line="240" w:lineRule="auto"/>
            </w:pPr>
            <w:r>
              <w:rPr>
                <w:color w:val="1A252F"/>
                <w:sz w:val="18"/>
              </w:rPr>
              <w:t xml:space="preserve">Women gig workers</w:t>
            </w:r>
          </w:p>
        </w:tc>
        <w:tc>
          <w:tcPr>
            <w:tcW w:w="1800" w:type="dxa"/>
          </w:tcPr>
          <w:p>
            <w:pPr>
              <w:spacing w:before="40" w:after="40" w:line="240" w:lineRule="auto"/>
            </w:pPr>
            <w:r>
              <w:rPr>
                <w:color w:val="1A252F"/>
                <w:sz w:val="18"/>
              </w:rPr>
              <w:t xml:space="preserve">India (nationwide); global</w:t>
            </w:r>
          </w:p>
        </w:tc>
        <w:tc>
          <w:tcPr>
            <w:tcW w:w="1800" w:type="dxa"/>
          </w:tcPr>
          <w:p>
            <w:pPr>
              <w:spacing w:before="40" w:after="40" w:line="240" w:lineRule="auto"/>
            </w:pPr>
            <w:r>
              <w:rPr>
                <w:color w:val="1A252F"/>
                <w:sz w:val="18"/>
              </w:rPr>
              <w:t xml:space="preserve">Zomato, Swiggy, Urban Company</w:t>
            </w:r>
          </w:p>
        </w:tc>
        <w:tc>
          <w:tcPr>
            <w:tcW w:w="1800" w:type="dxa"/>
          </w:tcPr>
          <w:p>
            <w:pPr>
              <w:spacing w:before="40" w:after="40" w:line="240" w:lineRule="auto"/>
            </w:pPr>
            <w:r>
              <w:rPr>
                <w:color w:val="1A252F"/>
                <w:sz w:val="18"/>
              </w:rPr>
              <w:t xml:space="preserve">&lt;10% of India's 7M gig workforce; lower platform assignment rates; safety risks </w:t>
            </w:r>
            <w:r>
              <w:rPr>
                <w:color w:val="C0392B"/>
                <w:sz w:val="16"/>
                <w:vertAlign w:val="superscript"/>
              </w:rPr>
              <w:t xml:space="preserve">[868]</w:t>
            </w:r>
          </w:p>
        </w:tc>
        <w:tc>
          <w:tcPr>
            <w:tcW w:w="1800" w:type="dxa"/>
          </w:tcPr>
          <w:p>
            <w:pPr>
              <w:spacing w:before="40" w:after="40" w:line="240" w:lineRule="auto"/>
            </w:pPr>
            <w:r>
              <w:rPr>
                <w:color w:val="1A252F"/>
                <w:sz w:val="18"/>
              </w:rPr>
              <w:t xml:space="preserve">4.8 million Indian gig workers earn below Rs 15,000/month </w:t>
            </w:r>
            <w:r>
              <w:rPr>
                <w:color w:val="C0392B"/>
                <w:sz w:val="16"/>
                <w:vertAlign w:val="superscript"/>
              </w:rPr>
              <w:t xml:space="preserve">[849]</w:t>
            </w:r>
          </w:p>
        </w:tc>
      </w:tr>
      <w:tr>
        <w:tc>
          <w:tcPr>
            <w:tcW w:w="1800" w:type="dxa"/>
          </w:tcPr>
          <w:p>
            <w:pPr>
              <w:spacing w:before="40" w:after="40" w:line="240" w:lineRule="auto"/>
            </w:pPr>
            <w:r>
              <w:rPr>
                <w:color w:val="1A252F"/>
                <w:sz w:val="18"/>
              </w:rPr>
              <w:t xml:space="preserve">Workers with limited local language proficiency</w:t>
            </w:r>
          </w:p>
        </w:tc>
        <w:tc>
          <w:tcPr>
            <w:tcW w:w="1800" w:type="dxa"/>
          </w:tcPr>
          <w:p>
            <w:pPr>
              <w:spacing w:before="40" w:after="40" w:line="240" w:lineRule="auto"/>
            </w:pPr>
            <w:r>
              <w:rPr>
                <w:color w:val="1A252F"/>
                <w:sz w:val="18"/>
              </w:rPr>
              <w:t xml:space="preserve">Germany, UK, Australia, Canada</w:t>
            </w:r>
          </w:p>
        </w:tc>
        <w:tc>
          <w:tcPr>
            <w:tcW w:w="1800" w:type="dxa"/>
          </w:tcPr>
          <w:p>
            <w:pPr>
              <w:spacing w:before="40" w:after="40" w:line="240" w:lineRule="auto"/>
            </w:pPr>
            <w:r>
              <w:rPr>
                <w:color w:val="1A252F"/>
                <w:sz w:val="18"/>
              </w:rPr>
              <w:t xml:space="preserve">Food delivery, ride-hail</w:t>
            </w:r>
          </w:p>
        </w:tc>
        <w:tc>
          <w:tcPr>
            <w:tcW w:w="1800" w:type="dxa"/>
          </w:tcPr>
          <w:p>
            <w:pPr>
              <w:spacing w:before="40" w:after="40" w:line="240" w:lineRule="auto"/>
            </w:pPr>
            <w:r>
              <w:rPr>
                <w:color w:val="1A252F"/>
                <w:sz w:val="18"/>
              </w:rPr>
              <w:t xml:space="preserve">Contract terms inaccessible; dispute resolution unavailable; algorithmic scores penalized </w:t>
            </w:r>
            <w:r>
              <w:rPr>
                <w:color w:val="C0392B"/>
                <w:sz w:val="16"/>
                <w:vertAlign w:val="superscript"/>
              </w:rPr>
              <w:t xml:space="preserve">[961]</w:t>
            </w:r>
            <w:r>
              <w:rPr>
                <w:color w:val="C0392B"/>
                <w:sz w:val="16"/>
                <w:vertAlign w:val="superscript"/>
              </w:rPr>
              <w:t xml:space="preserve">[962]</w:t>
            </w:r>
          </w:p>
        </w:tc>
        <w:tc>
          <w:tcPr>
            <w:tcW w:w="1800" w:type="dxa"/>
          </w:tcPr>
          <w:p>
            <w:pPr>
              <w:spacing w:before="40" w:after="40" w:line="240" w:lineRule="auto"/>
            </w:pPr>
            <w:r>
              <w:rPr>
                <w:color w:val="1A252F"/>
                <w:sz w:val="18"/>
              </w:rPr>
              <w:t xml:space="preserve">Platforms operate in host-country languages only; terms not translated </w:t>
            </w:r>
            <w:r>
              <w:rPr>
                <w:color w:val="C0392B"/>
                <w:sz w:val="16"/>
                <w:vertAlign w:val="superscript"/>
              </w:rPr>
              <w:t xml:space="preserve">[962]</w:t>
            </w:r>
          </w:p>
        </w:tc>
      </w:tr>
    </w:tbl>
    <w:p>
      <w:pPr>
        <w:spacing w:after="200"/>
      </w:pPr>
    </w:p>
    <w:p>
      <w:pPr>
        <w:spacing w:after="160" w:line="300" w:lineRule="auto"/>
      </w:pPr>
      <w:r>
        <w:rPr>
          <w:color w:val="1A252F"/>
          <w:sz w:val="22"/>
        </w:rPr>
        <w:t xml:space="preserve">The concentration of exploitation on migrant and immigrant workers is not incidental — it is structural. Platforms "specifically rely on the precarity of migrants' citizenship status and lack of local language skills and working rights to force workers into behaving in ways that benefit the platform" </w:t>
      </w:r>
      <w:r>
        <w:rPr>
          <w:color w:val="C0392B"/>
          <w:sz w:val="16"/>
          <w:vertAlign w:val="superscript"/>
        </w:rPr>
        <w:t xml:space="preserve">[961]</w:t>
      </w:r>
      <w:r>
        <w:rPr>
          <w:color w:val="1A252F"/>
          <w:sz w:val="22"/>
        </w:rPr>
        <w:t xml:space="preserve">. The OECD confirmed that immigrants are over-represented in gig economy participation and more likely to be in "false self-employment" — less likely to decide their own working hours (28% vs. 21% of native-born) and more likely to have only one dominant client (19% vs. 16%) </w:t>
      </w:r>
      <w:r>
        <w:rPr>
          <w:color w:val="C0392B"/>
          <w:sz w:val="16"/>
          <w:vertAlign w:val="superscript"/>
        </w:rPr>
        <w:t xml:space="preserve">[867]</w:t>
      </w:r>
      <w:r>
        <w:rPr>
          <w:color w:val="1A252F"/>
          <w:sz w:val="22"/>
        </w:rPr>
        <w:t xml:space="preserve">.</w:t>
      </w:r>
    </w:p>
    <w:p>
      <w:pPr>
        <w:spacing w:after="160" w:line="300" w:lineRule="auto"/>
      </w:pPr>
      <w:r>
        <w:rPr>
          <w:color w:val="1A252F"/>
          <w:sz w:val="22"/>
        </w:rPr>
        <w:t xml:space="preserve">Venezuelan immigrant driver Rodolfo, who completed over 18,000 Uber rides in five years, described working 50–60 hours weekly for $800–$900 before expenses </w:t>
      </w:r>
      <w:r>
        <w:rPr>
          <w:color w:val="C0392B"/>
          <w:sz w:val="16"/>
          <w:vertAlign w:val="superscript"/>
        </w:rPr>
        <w:t xml:space="preserve">[862]</w:t>
      </w:r>
      <w:r>
        <w:rPr>
          <w:color w:val="1A252F"/>
          <w:sz w:val="22"/>
        </w:rPr>
        <w:t xml:space="preserve">. A Kenyan content moderator at Sama, reviewing violent content for Facebook, earned $1.46 per hour after tax and later described the conditions as "modern-day slavery" </w:t>
      </w:r>
      <w:r>
        <w:rPr>
          <w:color w:val="C0392B"/>
          <w:sz w:val="16"/>
          <w:vertAlign w:val="superscript"/>
        </w:rPr>
        <w:t xml:space="preserve">[102]</w:t>
      </w:r>
      <w:r>
        <w:rPr>
          <w:color w:val="1A252F"/>
          <w:sz w:val="22"/>
        </w:rPr>
        <w:t xml:space="preserve">. Brazilian delivery workers in Bristol lived in caravan encampments, paid approximately £7.50 per hour — nearly £5 below the National Minimum Wage — before immigration enforcement raided their camp and arrested 17 workers </w:t>
      </w:r>
      <w:r>
        <w:rPr>
          <w:color w:val="C0392B"/>
          <w:sz w:val="16"/>
          <w:vertAlign w:val="superscript"/>
        </w:rPr>
        <w:t xml:space="preserve">[978]</w:t>
      </w:r>
      <w:r>
        <w:rPr>
          <w:color w:val="C0392B"/>
          <w:sz w:val="16"/>
          <w:vertAlign w:val="superscript"/>
        </w:rPr>
        <w:t xml:space="preserve">[933]</w:t>
      </w:r>
      <w:r>
        <w:rPr>
          <w:color w:val="1A252F"/>
          <w:sz w:val="22"/>
        </w:rPr>
        <w:t xml:space="preserve">. These are not isolated cases; they are the expected outcomes of a system designed to extract maximum labor at minimum cost from workers with the fewest alternatives.</w:t>
      </w:r>
    </w:p>
    <w:p>
      <w:pPr>
        <w:spacing w:after="160" w:line="300" w:lineRule="auto"/>
      </w:pPr>
      <w:r>
        <w:rPr>
          <w:color w:val="1A252F"/>
          <w:sz w:val="22"/>
        </w:rPr>
        <w:t xml:space="preserve">The barriers to justice compound the harm. The Migrant Justice Institute found that "there is no jurisdiction in the world where underpaid migrant workers can expect to recover the full wages owing to them" </w:t>
      </w:r>
      <w:r>
        <w:rPr>
          <w:color w:val="C0392B"/>
          <w:sz w:val="16"/>
          <w:vertAlign w:val="superscript"/>
        </w:rPr>
        <w:t xml:space="preserve">[956]</w:t>
      </w:r>
      <w:r>
        <w:rPr>
          <w:color w:val="1A252F"/>
          <w:sz w:val="22"/>
        </w:rPr>
        <w:t xml:space="preserve">. Three systemic failures — fear of deportation preventing claims filing, burden of proof on workers during processing, and employer disappearance during enforcement — ensure that documented wage theft almost never translates into recovered wages </w:t>
      </w:r>
      <w:r>
        <w:rPr>
          <w:color w:val="C0392B"/>
          <w:sz w:val="16"/>
          <w:vertAlign w:val="superscript"/>
        </w:rPr>
        <w:t xml:space="preserve">[956]</w:t>
      </w:r>
      <w:r>
        <w:rPr>
          <w:color w:val="1A252F"/>
          <w:sz w:val="22"/>
        </w:rPr>
        <w:t xml:space="preserve">. Employer-tied visas function as a coercive control mechanism: "Workers under closed permits risk deportation if they lose their job. They're less likely to speak out against wage theft. They're less likely to file a complaint about unsafe conditions. And they're certainly less likely to sign a union card" </w:t>
      </w:r>
      <w:r>
        <w:rPr>
          <w:color w:val="C0392B"/>
          <w:sz w:val="16"/>
          <w:vertAlign w:val="superscript"/>
        </w:rPr>
        <w:t xml:space="preserve">[871]</w:t>
      </w:r>
      <w:r>
        <w:rPr>
          <w:color w:val="1A252F"/>
          <w:sz w:val="22"/>
        </w:rPr>
        <w:t xml:space="preserve">.</w:t>
      </w:r>
    </w:p>
    <w:p>
      <w:pPr>
        <w:pStyle w:val="Heading4"/>
      </w:pPr>
      <w:r>
        <w:rPr>
          <w:color w:val="1A252F"/>
          <w:sz w:val="22"/>
        </w:rPr>
        <w:t xml:space="preserve">4.2.4 Geographic Exploitation Migration: Strong Regulation → Work Moves to Weak Jurisdictions</w:t>
      </w:r>
    </w:p>
    <w:p>
      <w:pPr>
        <w:spacing w:after="160" w:line="300" w:lineRule="auto"/>
      </w:pPr>
      <w:r>
        <w:rPr>
          <w:color w:val="1A252F"/>
          <w:sz w:val="22"/>
        </w:rPr>
        <w:t xml:space="preserve">Platforms respond to regulatory pressure not by reforming but by relocating — a phenomenon this report terms "jurisdiction arbitrage." Scale AI stopped hiring California workers after four lawsuits and a DOL investigation, shifting recruitment to lower-protection states </w:t>
      </w:r>
      <w:r>
        <w:rPr>
          <w:color w:val="C0392B"/>
          <w:sz w:val="16"/>
          <w:vertAlign w:val="superscript"/>
        </w:rPr>
        <w:t xml:space="preserve">[11]</w:t>
      </w:r>
      <w:r>
        <w:rPr>
          <w:color w:val="1A252F"/>
          <w:sz w:val="22"/>
        </w:rPr>
        <w:t xml:space="preserve">. Deliveroo exited the Netherlands following an adverse employment status ruling, consolidated European operations, and was subsequently acquired by DoorDash </w:t>
      </w:r>
      <w:r>
        <w:rPr>
          <w:color w:val="C0392B"/>
          <w:sz w:val="16"/>
          <w:vertAlign w:val="superscript"/>
        </w:rPr>
        <w:t xml:space="preserve">[575]</w:t>
      </w:r>
      <w:r>
        <w:rPr>
          <w:color w:val="1A252F"/>
          <w:sz w:val="22"/>
        </w:rPr>
        <w:t xml:space="preserve">. Meta moved content moderation from the US to Kenya through Sama, where workers earned one-tenth of US wages with none of the occupational health protections </w:t>
      </w:r>
      <w:r>
        <w:rPr>
          <w:color w:val="C0392B"/>
          <w:sz w:val="16"/>
          <w:vertAlign w:val="superscript"/>
        </w:rPr>
        <w:t xml:space="preserve">[12]</w:t>
      </w:r>
      <w:r>
        <w:rPr>
          <w:color w:val="1A252F"/>
          <w:sz w:val="22"/>
        </w:rPr>
        <w:t xml:space="preserve">.</w:t>
      </w:r>
    </w:p>
    <w:p>
      <w:pPr>
        <w:spacing w:after="160" w:line="300" w:lineRule="auto"/>
      </w:pPr>
      <w:r>
        <w:rPr>
          <w:color w:val="1A252F"/>
          <w:sz w:val="22"/>
        </w:rPr>
        <w:t xml:space="preserve">This migration pattern means that every regulatory victory in a strong jurisdiction creates displacement rather than elimination of exploitation. The EU Platform Work Directive's rebuttable presumption of employment, affecting 28 million platform workers across 27 member states </w:t>
      </w:r>
      <w:r>
        <w:rPr>
          <w:color w:val="C0392B"/>
          <w:sz w:val="16"/>
          <w:vertAlign w:val="superscript"/>
        </w:rPr>
        <w:t xml:space="preserve">[626]</w:t>
      </w:r>
      <w:r>
        <w:rPr>
          <w:color w:val="1A252F"/>
          <w:sz w:val="22"/>
        </w:rPr>
        <w:t xml:space="preserve">, represents the most comprehensive countermeasure to date. But the directive does not take full effect until December 2026, and platforms are already exploring jurisdictions beyond its reach.</w:t>
      </w:r>
    </w:p>
    <w:p>
      <w:pPr>
        <w:spacing w:after="160" w:line="300" w:lineRule="auto"/>
      </w:pPr>
      <w:r>
        <w:rPr>
          <w:color w:val="1A252F"/>
          <w:sz w:val="22"/>
        </w:rPr>
        <w:t xml:space="preserve">The implications for Sindicato's platform design are direct. A wage theft reporting system that operates only in strong-jurisdiction markets will watch exploitation migrate to weaker ones. Effective intervention requires cross-border architecture: multi-language interfaces, anonymous reporting for visa-vulnerable workers, cross-border case persistence that survives deportation, and real-time tracking of platform behavior across jurisdictions. The patterns documented in this chapter are not random — they are predictable. And what is predictable can be intercepted.</w:t>
      </w:r>
    </w:p>
    <w:p>
      <w:pPr>
        <w:spacing w:after="160" w:line="300" w:lineRule="auto"/>
      </w:pPr>
      <w:r>
        <w:rPr>
          <w:color w:val="1A252F"/>
          <w:sz w:val="22"/>
        </w:rPr>
        <w:t xml:space="preserve">-e </w:t>
      </w:r>
    </w:p>
    <w:p>
      <w:pPr>
        <w:pStyle w:val="Heading2"/>
      </w:pPr>
      <w:r>
        <w:rPr>
          <w:color w:val="1A252F"/>
          <w:sz w:val="22"/>
        </w:rPr>
        <w:t xml:space="preserve">5. Sindicato Opportunity Map</w:t>
      </w:r>
    </w:p>
    <w:p>
      <w:pPr>
        <w:spacing w:after="160" w:line="300" w:lineRule="auto"/>
      </w:pPr>
      <w:r>
        <w:rPr>
          <w:color w:val="1A252F"/>
          <w:sz w:val="22"/>
        </w:rPr>
        <w:t xml:space="preserve">The preceding four chapters documented a global pattern of platform extraction that has generated over $2 billion in confirmed settlements from workers' earnings, with another $1.3 billion pending in California alone </w:t>
      </w:r>
      <w:r>
        <w:rPr>
          <w:color w:val="C0392B"/>
          <w:sz w:val="16"/>
          <w:vertAlign w:val="superscript"/>
        </w:rPr>
        <w:t xml:space="preserve">[184]</w:t>
      </w:r>
      <w:r>
        <w:rPr>
          <w:color w:val="1A252F"/>
          <w:sz w:val="22"/>
        </w:rPr>
        <w:t xml:space="preserve">. The evidence is compiled. The patterns are clear. The remaining question is not whether platforms exploit workers — they do — but where Sindicato can deploy its dashboard and case-aggregation infrastructure to deliver maximum impact in minimum time.</w:t>
      </w:r>
    </w:p>
    <w:p>
      <w:pPr>
        <w:spacing w:after="160" w:line="300" w:lineRule="auto"/>
      </w:pPr>
      <w:r>
        <w:rPr>
          <w:color w:val="1A252F"/>
          <w:sz w:val="22"/>
        </w:rPr>
        <w:t xml:space="preserve">This chapter translates the research findings into a prioritization framework. It ranks platforms by urgency and case volume, estimates addressable worker populations, identifies jurisdictions with the strongest legal tailwinds, and extracts six strategic insights that should guide Sindicato's product roadmap, solicitor outreach, and investor narrative.</w:t>
      </w:r>
    </w:p>
    <w:p>
      <w:pPr>
        <w:pStyle w:val="Heading3"/>
      </w:pPr>
      <w:r>
        <w:rPr>
          <w:color w:val="1A252F"/>
          <w:sz w:val="22"/>
        </w:rPr>
        <w:t xml:space="preserve">5.1 Priority Platform Rankings</w:t>
      </w:r>
    </w:p>
    <w:p>
      <w:pPr>
        <w:spacing w:after="160" w:line="300" w:lineRule="auto"/>
      </w:pPr>
      <w:r>
        <w:rPr>
          <w:color w:val="1A252F"/>
          <w:sz w:val="22"/>
        </w:rPr>
        <w:t xml:space="preserve">The Sindicato dashboard must roll out first where three conditions converge: documented exploitation with verified case volume, no existing collective action infrastructure, and a viable legal pathway to recovery. The following ranking applies these criteria across the full platform universe documented in this report.</w:t>
      </w:r>
    </w:p>
    <w:tbl>
      <w:tblPr>
        <w:tblW w:w="5000" w:type="pct"/>
        <w:tblBorders>
          <w:top w:val="single" w:color="2C3E50" w:sz="12"/>
          <w:left w:val="nil"/>
          <w:bottom w:val="single" w:color="2C3E50" w:sz="12"/>
          <w:right w:val="nil"/>
          <w:insideH w:val="single" w:color="BDC3C7" w:sz="4"/>
          <w:insideV w:val="nil"/>
        </w:tblBorders>
        <w:tblLook w:val="04A0" w:firstRow="true"/>
      </w:tblPr>
      <w:tblGrid>
        <w:gridCol w:w="1285"/>
        <w:gridCol w:w="1285"/>
        <w:gridCol w:w="1285"/>
        <w:gridCol w:w="1285"/>
        <w:gridCol w:w="1285"/>
        <w:gridCol w:w="1285"/>
        <w:gridCol w:w="1285"/>
      </w:tblGrid>
      <w:tr>
        <w:trPr>
          <w:tblHeader/>
        </w:trPr>
        <w:tc>
          <w:tcPr>
            <w:tcW w:w="1285" w:type="dxa"/>
            <w:tcBorders>
              <w:bottom w:val="single" w:color="2C3E50" w:sz="6"/>
            </w:tcBorders>
            <w:shd w:val="clear" w:fill="EDF0F2"/>
          </w:tcPr>
          <w:p>
            <w:pPr>
              <w:spacing w:before="60" w:after="60"/>
            </w:pPr>
            <w:r>
              <w:rPr>
                <w:b/>
                <w:color w:val="1A252F"/>
                <w:sz w:val="18"/>
              </w:rPr>
              <w:t xml:space="preserve">Priority Tier</w:t>
            </w:r>
          </w:p>
        </w:tc>
        <w:tc>
          <w:tcPr>
            <w:tcW w:w="1285" w:type="dxa"/>
            <w:tcBorders>
              <w:bottom w:val="single" w:color="2C3E50" w:sz="6"/>
            </w:tcBorders>
            <w:shd w:val="clear" w:fill="EDF0F2"/>
          </w:tcPr>
          <w:p>
            <w:pPr>
              <w:spacing w:before="60" w:after="60"/>
            </w:pPr>
            <w:r>
              <w:rPr>
                <w:b/>
                <w:color w:val="1A252F"/>
                <w:sz w:val="18"/>
              </w:rPr>
              <w:t xml:space="preserve">Platform</w:t>
            </w:r>
          </w:p>
        </w:tc>
        <w:tc>
          <w:tcPr>
            <w:tcW w:w="1285" w:type="dxa"/>
            <w:tcBorders>
              <w:bottom w:val="single" w:color="2C3E50" w:sz="6"/>
            </w:tcBorders>
            <w:shd w:val="clear" w:fill="EDF0F2"/>
          </w:tcPr>
          <w:p>
            <w:pPr>
              <w:spacing w:before="60" w:after="60"/>
            </w:pPr>
            <w:r>
              <w:rPr>
                <w:b/>
                <w:color w:val="1A252F"/>
                <w:sz w:val="18"/>
              </w:rPr>
              <w:t xml:space="preserve">Urgency Score (1-10)</w:t>
            </w:r>
          </w:p>
        </w:tc>
        <w:tc>
          <w:tcPr>
            <w:tcW w:w="1285" w:type="dxa"/>
            <w:tcBorders>
              <w:bottom w:val="single" w:color="2C3E50" w:sz="6"/>
            </w:tcBorders>
            <w:shd w:val="clear" w:fill="EDF0F2"/>
          </w:tcPr>
          <w:p>
            <w:pPr>
              <w:spacing w:before="60" w:after="60"/>
            </w:pPr>
            <w:r>
              <w:rPr>
                <w:b/>
                <w:color w:val="1A252F"/>
                <w:sz w:val="18"/>
              </w:rPr>
              <w:t xml:space="preserve">Case Volume</w:t>
            </w:r>
          </w:p>
        </w:tc>
        <w:tc>
          <w:tcPr>
            <w:tcW w:w="1285" w:type="dxa"/>
            <w:tcBorders>
              <w:bottom w:val="single" w:color="2C3E50" w:sz="6"/>
            </w:tcBorders>
            <w:shd w:val="clear" w:fill="EDF0F2"/>
          </w:tcPr>
          <w:p>
            <w:pPr>
              <w:spacing w:before="60" w:after="60"/>
            </w:pPr>
            <w:r>
              <w:rPr>
                <w:b/>
                <w:color w:val="1A252F"/>
                <w:sz w:val="18"/>
              </w:rPr>
              <w:t xml:space="preserve">Existing Collective Infrastructure</w:t>
            </w:r>
          </w:p>
        </w:tc>
        <w:tc>
          <w:tcPr>
            <w:tcW w:w="1285" w:type="dxa"/>
            <w:tcBorders>
              <w:bottom w:val="single" w:color="2C3E50" w:sz="6"/>
            </w:tcBorders>
            <w:shd w:val="clear" w:fill="EDF0F2"/>
          </w:tcPr>
          <w:p>
            <w:pPr>
              <w:spacing w:before="60" w:after="60"/>
            </w:pPr>
            <w:r>
              <w:rPr>
                <w:b/>
                <w:color w:val="1A252F"/>
                <w:sz w:val="18"/>
              </w:rPr>
              <w:t xml:space="preserve">Addressable Workers</w:t>
            </w:r>
          </w:p>
        </w:tc>
        <w:tc>
          <w:tcPr>
            <w:tcW w:w="1285" w:type="dxa"/>
            <w:tcBorders>
              <w:bottom w:val="single" w:color="2C3E50" w:sz="6"/>
            </w:tcBorders>
            <w:shd w:val="clear" w:fill="EDF0F2"/>
          </w:tcPr>
          <w:p>
            <w:pPr>
              <w:spacing w:before="60" w:after="60"/>
            </w:pPr>
            <w:r>
              <w:rPr>
                <w:b/>
                <w:color w:val="1A252F"/>
                <w:sz w:val="18"/>
              </w:rPr>
              <w:t xml:space="preserve">Recommended Timeline</w:t>
            </w:r>
          </w:p>
        </w:tc>
      </w:tr>
      <w:tr>
        <w:tc>
          <w:tcPr>
            <w:tcW w:w="1285" w:type="dxa"/>
          </w:tcPr>
          <w:p>
            <w:pPr>
              <w:spacing w:before="40" w:after="40" w:line="240" w:lineRule="auto"/>
            </w:pPr>
            <w:r>
              <w:rPr>
                <w:b/>
                <w:color w:val="1A252F"/>
                <w:sz w:val="18"/>
              </w:rPr>
              <w:t xml:space="preserve">Tier 1</w:t>
            </w:r>
          </w:p>
        </w:tc>
        <w:tc>
          <w:tcPr>
            <w:tcW w:w="1285" w:type="dxa"/>
          </w:tcPr>
          <w:p>
            <w:pPr>
              <w:spacing w:before="40" w:after="40" w:line="240" w:lineRule="auto"/>
            </w:pPr>
            <w:r>
              <w:rPr>
                <w:color w:val="1A252F"/>
                <w:sz w:val="18"/>
              </w:rPr>
              <w:t xml:space="preserve">Scale AI / Outlier AI</w:t>
            </w:r>
          </w:p>
        </w:tc>
        <w:tc>
          <w:tcPr>
            <w:tcW w:w="1285" w:type="dxa"/>
          </w:tcPr>
          <w:p>
            <w:pPr>
              <w:spacing w:before="40" w:after="40" w:line="240" w:lineRule="auto"/>
            </w:pPr>
            <w:r>
              <w:rPr>
                <w:color w:val="1A252F"/>
                <w:sz w:val="18"/>
              </w:rPr>
              <w:t xml:space="preserve">10</w:t>
            </w:r>
          </w:p>
        </w:tc>
        <w:tc>
          <w:tcPr>
            <w:tcW w:w="1285" w:type="dxa"/>
          </w:tcPr>
          <w:p>
            <w:pPr>
              <w:spacing w:before="40" w:after="40" w:line="240" w:lineRule="auto"/>
            </w:pPr>
            <w:r>
              <w:rPr>
                <w:color w:val="1A252F"/>
                <w:sz w:val="18"/>
              </w:rPr>
              <w:t xml:space="preserve">4 settled CA lawsuits; 1 federal psychological harm suit; 45-worker Senate letter; SF OLSE investigation; DOL probe dropped </w:t>
            </w:r>
            <w:r>
              <w:rPr>
                <w:color w:val="C0392B"/>
                <w:sz w:val="16"/>
                <w:vertAlign w:val="superscript"/>
              </w:rPr>
              <w:t xml:space="preserve">[1]</w:t>
            </w:r>
            <w:r>
              <w:rPr>
                <w:color w:val="1A252F"/>
                <w:sz w:val="18"/>
              </w:rPr>
              <w:t xml:space="preserve"> </w:t>
            </w:r>
            <w:r>
              <w:rPr>
                <w:color w:val="C0392B"/>
                <w:sz w:val="16"/>
                <w:vertAlign w:val="superscript"/>
              </w:rPr>
              <w:t xml:space="preserve">[7]</w:t>
            </w:r>
            <w:r>
              <w:rPr>
                <w:color w:val="1A252F"/>
                <w:sz w:val="18"/>
              </w:rPr>
              <w:t xml:space="preserve"> </w:t>
            </w:r>
            <w:r>
              <w:rPr>
                <w:color w:val="C0392B"/>
                <w:sz w:val="16"/>
                <w:vertAlign w:val="superscript"/>
              </w:rPr>
              <w:t xml:space="preserve">[8]</w:t>
            </w:r>
            <w:r>
              <w:rPr>
                <w:color w:val="1A252F"/>
                <w:sz w:val="18"/>
              </w:rPr>
              <w:t xml:space="preserve"> </w:t>
            </w:r>
            <w:r>
              <w:rPr>
                <w:color w:val="C0392B"/>
                <w:sz w:val="16"/>
                <w:vertAlign w:val="superscript"/>
              </w:rPr>
              <w:t xml:space="preserve">[10]</w:t>
            </w:r>
            <w:r>
              <w:rPr>
                <w:color w:val="1A252F"/>
                <w:sz w:val="18"/>
              </w:rPr>
              <w:t xml:space="preserve"> </w:t>
            </w:r>
            <w:r>
              <w:rPr>
                <w:color w:val="C0392B"/>
                <w:sz w:val="16"/>
                <w:vertAlign w:val="superscript"/>
              </w:rPr>
              <w:t xml:space="preserve">[11]</w:t>
            </w:r>
          </w:p>
        </w:tc>
        <w:tc>
          <w:tcPr>
            <w:tcW w:w="1285" w:type="dxa"/>
          </w:tcPr>
          <w:p>
            <w:pPr>
              <w:spacing w:before="40" w:after="40" w:line="240" w:lineRule="auto"/>
            </w:pPr>
            <w:r>
              <w:rPr>
                <w:color w:val="1A252F"/>
                <w:sz w:val="18"/>
              </w:rPr>
              <w:t xml:space="preserve">None in US. Kenya DLA formed Feb 2025 (339 members) </w:t>
            </w:r>
            <w:r>
              <w:rPr>
                <w:color w:val="C0392B"/>
                <w:sz w:val="16"/>
                <w:vertAlign w:val="superscript"/>
              </w:rPr>
              <w:t xml:space="preserve">[36]</w:t>
            </w:r>
            <w:r>
              <w:rPr>
                <w:color w:val="1A252F"/>
                <w:sz w:val="18"/>
              </w:rPr>
              <w:t xml:space="preserve"> — nascent</w:t>
            </w:r>
          </w:p>
        </w:tc>
        <w:tc>
          <w:tcPr>
            <w:tcW w:w="1285" w:type="dxa"/>
          </w:tcPr>
          <w:p>
            <w:pPr>
              <w:spacing w:before="40" w:after="40" w:line="240" w:lineRule="auto"/>
            </w:pPr>
            <w:r>
              <w:rPr>
                <w:color w:val="1A252F"/>
                <w:sz w:val="18"/>
              </w:rPr>
              <w:t xml:space="preserve">200,000+ US </w:t>
            </w:r>
            <w:r>
              <w:rPr>
                <w:color w:val="C0392B"/>
                <w:sz w:val="16"/>
                <w:vertAlign w:val="superscript"/>
              </w:rPr>
              <w:t xml:space="preserve">[46]</w:t>
            </w:r>
            <w:r>
              <w:rPr>
                <w:color w:val="1A252F"/>
                <w:sz w:val="18"/>
              </w:rPr>
              <w:t xml:space="preserve">; 500K-1M globally</w:t>
            </w:r>
          </w:p>
        </w:tc>
        <w:tc>
          <w:tcPr>
            <w:tcW w:w="1285" w:type="dxa"/>
          </w:tcPr>
          <w:p>
            <w:pPr>
              <w:spacing w:before="40" w:after="40" w:line="240" w:lineRule="auto"/>
            </w:pPr>
            <w:r>
              <w:rPr>
                <w:color w:val="1A252F"/>
                <w:sz w:val="18"/>
              </w:rPr>
              <w:t xml:space="preserve">Q1 2026</w:t>
            </w:r>
          </w:p>
        </w:tc>
      </w:tr>
      <w:tr>
        <w:tc>
          <w:tcPr>
            <w:tcW w:w="1285" w:type="dxa"/>
          </w:tcPr>
          <w:p>
            <w:pPr>
              <w:spacing w:before="40" w:after="40" w:line="240" w:lineRule="auto"/>
            </w:pPr>
            <w:r>
              <w:rPr>
                <w:b/>
                <w:color w:val="1A252F"/>
                <w:sz w:val="18"/>
              </w:rPr>
              <w:t xml:space="preserve">Tier 1</w:t>
            </w:r>
          </w:p>
        </w:tc>
        <w:tc>
          <w:tcPr>
            <w:tcW w:w="1285" w:type="dxa"/>
          </w:tcPr>
          <w:p>
            <w:pPr>
              <w:spacing w:before="40" w:after="40" w:line="240" w:lineRule="auto"/>
            </w:pPr>
            <w:r>
              <w:rPr>
                <w:color w:val="1A252F"/>
                <w:sz w:val="18"/>
              </w:rPr>
              <w:t xml:space="preserve">Sama / Meta (Kenya)</w:t>
            </w:r>
          </w:p>
        </w:tc>
        <w:tc>
          <w:tcPr>
            <w:tcW w:w="1285" w:type="dxa"/>
          </w:tcPr>
          <w:p>
            <w:pPr>
              <w:spacing w:before="40" w:after="40" w:line="240" w:lineRule="auto"/>
            </w:pPr>
            <w:r>
              <w:rPr>
                <w:color w:val="1A252F"/>
                <w:sz w:val="18"/>
              </w:rPr>
              <w:t xml:space="preserve">10</w:t>
            </w:r>
          </w:p>
        </w:tc>
        <w:tc>
          <w:tcPr>
            <w:tcW w:w="1285" w:type="dxa"/>
          </w:tcPr>
          <w:p>
            <w:pPr>
              <w:spacing w:before="40" w:after="40" w:line="240" w:lineRule="auto"/>
            </w:pPr>
            <w:r>
              <w:rPr>
                <w:color w:val="1A252F"/>
                <w:sz w:val="18"/>
              </w:rPr>
              <w:t xml:space="preserve">185+ plaintiffs; 81% PTSD diagnosis; 260 laid off </w:t>
            </w:r>
            <w:r>
              <w:rPr>
                <w:color w:val="C0392B"/>
                <w:sz w:val="16"/>
                <w:vertAlign w:val="superscript"/>
              </w:rPr>
              <w:t xml:space="preserve">[14]</w:t>
            </w:r>
            <w:r>
              <w:rPr>
                <w:color w:val="1A252F"/>
                <w:sz w:val="18"/>
              </w:rPr>
              <w:t xml:space="preserve"> </w:t>
            </w:r>
            <w:r>
              <w:rPr>
                <w:color w:val="C0392B"/>
                <w:sz w:val="16"/>
                <w:vertAlign w:val="superscript"/>
              </w:rPr>
              <w:t xml:space="preserve">[16]</w:t>
            </w:r>
            <w:r>
              <w:rPr>
                <w:color w:val="1A252F"/>
                <w:sz w:val="18"/>
              </w:rPr>
              <w:t xml:space="preserve"> </w:t>
            </w:r>
            <w:r>
              <w:rPr>
                <w:color w:val="C0392B"/>
                <w:sz w:val="16"/>
                <w:vertAlign w:val="superscript"/>
              </w:rPr>
              <w:t xml:space="preserve">[17]</w:t>
            </w:r>
          </w:p>
        </w:tc>
        <w:tc>
          <w:tcPr>
            <w:tcW w:w="1285" w:type="dxa"/>
          </w:tcPr>
          <w:p>
            <w:pPr>
              <w:spacing w:before="40" w:after="40" w:line="240" w:lineRule="auto"/>
            </w:pPr>
            <w:r>
              <w:rPr>
                <w:color w:val="1A252F"/>
                <w:sz w:val="18"/>
              </w:rPr>
              <w:t xml:space="preserve">African Content Moderators Union (2023) </w:t>
            </w:r>
            <w:r>
              <w:rPr>
                <w:color w:val="C0392B"/>
                <w:sz w:val="16"/>
                <w:vertAlign w:val="superscript"/>
              </w:rPr>
              <w:t xml:space="preserve">[37]</w:t>
            </w:r>
            <w:r>
              <w:rPr>
                <w:color w:val="1A252F"/>
                <w:sz w:val="18"/>
              </w:rPr>
              <w:t xml:space="preserve">; Kenya DLA </w:t>
            </w:r>
            <w:r>
              <w:rPr>
                <w:color w:val="C0392B"/>
                <w:sz w:val="16"/>
                <w:vertAlign w:val="superscript"/>
              </w:rPr>
              <w:t xml:space="preserve">[36]</w:t>
            </w:r>
            <w:r>
              <w:rPr>
                <w:color w:val="1A252F"/>
                <w:sz w:val="18"/>
              </w:rPr>
              <w:t xml:space="preserve"> — nascent</w:t>
            </w:r>
          </w:p>
        </w:tc>
        <w:tc>
          <w:tcPr>
            <w:tcW w:w="1285" w:type="dxa"/>
          </w:tcPr>
          <w:p>
            <w:pPr>
              <w:spacing w:before="40" w:after="40" w:line="240" w:lineRule="auto"/>
            </w:pPr>
            <w:r>
              <w:rPr>
                <w:color w:val="1A252F"/>
                <w:sz w:val="18"/>
              </w:rPr>
              <w:t xml:space="preserve">260 direct; 500,000+ global content moderators</w:t>
            </w:r>
          </w:p>
        </w:tc>
        <w:tc>
          <w:tcPr>
            <w:tcW w:w="1285" w:type="dxa"/>
          </w:tcPr>
          <w:p>
            <w:pPr>
              <w:spacing w:before="40" w:after="40" w:line="240" w:lineRule="auto"/>
            </w:pPr>
            <w:r>
              <w:rPr>
                <w:color w:val="1A252F"/>
                <w:sz w:val="18"/>
              </w:rPr>
              <w:t xml:space="preserve">Q1 2026</w:t>
            </w:r>
          </w:p>
        </w:tc>
      </w:tr>
      <w:tr>
        <w:tc>
          <w:tcPr>
            <w:tcW w:w="1285" w:type="dxa"/>
          </w:tcPr>
          <w:p>
            <w:pPr>
              <w:spacing w:before="40" w:after="40" w:line="240" w:lineRule="auto"/>
            </w:pPr>
            <w:r>
              <w:rPr>
                <w:b/>
                <w:color w:val="1A252F"/>
                <w:sz w:val="18"/>
              </w:rPr>
              <w:t xml:space="preserve">Tier 1</w:t>
            </w:r>
          </w:p>
        </w:tc>
        <w:tc>
          <w:tcPr>
            <w:tcW w:w="1285" w:type="dxa"/>
          </w:tcPr>
          <w:p>
            <w:pPr>
              <w:spacing w:before="40" w:after="40" w:line="240" w:lineRule="auto"/>
            </w:pPr>
            <w:r>
              <w:rPr>
                <w:color w:val="1A252F"/>
                <w:sz w:val="18"/>
              </w:rPr>
              <w:t xml:space="preserve">DataAnnotation.tech (Surge AI)</w:t>
            </w:r>
          </w:p>
        </w:tc>
        <w:tc>
          <w:tcPr>
            <w:tcW w:w="1285" w:type="dxa"/>
          </w:tcPr>
          <w:p>
            <w:pPr>
              <w:spacing w:before="40" w:after="40" w:line="240" w:lineRule="auto"/>
            </w:pPr>
            <w:r>
              <w:rPr>
                <w:color w:val="1A252F"/>
                <w:sz w:val="18"/>
              </w:rPr>
              <w:t xml:space="preserve">9</w:t>
            </w:r>
          </w:p>
        </w:tc>
        <w:tc>
          <w:tcPr>
            <w:tcW w:w="1285" w:type="dxa"/>
          </w:tcPr>
          <w:p>
            <w:pPr>
              <w:spacing w:before="40" w:after="40" w:line="240" w:lineRule="auto"/>
            </w:pPr>
            <w:r>
              <w:rPr>
                <w:color w:val="1A252F"/>
                <w:sz w:val="18"/>
              </w:rPr>
              <w:t xml:space="preserve">Active class action filed May 2025; Clarkson Law Firm litigation ongoing </w:t>
            </w:r>
            <w:r>
              <w:rPr>
                <w:color w:val="C0392B"/>
                <w:sz w:val="16"/>
                <w:vertAlign w:val="superscript"/>
              </w:rPr>
              <w:t xml:space="preserve">[20]</w:t>
            </w:r>
            <w:r>
              <w:rPr>
                <w:color w:val="1A252F"/>
                <w:sz w:val="18"/>
              </w:rPr>
              <w:t xml:space="preserve"> </w:t>
            </w:r>
            <w:r>
              <w:rPr>
                <w:color w:val="C0392B"/>
                <w:sz w:val="16"/>
                <w:vertAlign w:val="superscript"/>
              </w:rPr>
              <w:t xml:space="preserve">[21]</w:t>
            </w:r>
          </w:p>
        </w:tc>
        <w:tc>
          <w:tcPr>
            <w:tcW w:w="1285" w:type="dxa"/>
          </w:tcPr>
          <w:p>
            <w:pPr>
              <w:spacing w:before="40" w:after="40" w:line="240" w:lineRule="auto"/>
            </w:pPr>
            <w:r>
              <w:rPr>
                <w:color w:val="1A252F"/>
                <w:sz w:val="18"/>
              </w:rPr>
              <w:t xml:space="preserve">None identified</w:t>
            </w:r>
          </w:p>
        </w:tc>
        <w:tc>
          <w:tcPr>
            <w:tcW w:w="1285" w:type="dxa"/>
          </w:tcPr>
          <w:p>
            <w:pPr>
              <w:spacing w:before="40" w:after="40" w:line="240" w:lineRule="auto"/>
            </w:pPr>
            <w:r>
              <w:rPr>
                <w:color w:val="1A252F"/>
                <w:sz w:val="18"/>
              </w:rPr>
              <w:t xml:space="preserve">10,000-50,000 (CA class estimate)</w:t>
            </w:r>
          </w:p>
        </w:tc>
        <w:tc>
          <w:tcPr>
            <w:tcW w:w="1285" w:type="dxa"/>
          </w:tcPr>
          <w:p>
            <w:pPr>
              <w:spacing w:before="40" w:after="40" w:line="240" w:lineRule="auto"/>
            </w:pPr>
            <w:r>
              <w:rPr>
                <w:color w:val="1A252F"/>
                <w:sz w:val="18"/>
              </w:rPr>
              <w:t xml:space="preserve">Q1-Q2 2026</w:t>
            </w:r>
          </w:p>
        </w:tc>
      </w:tr>
      <w:tr>
        <w:tc>
          <w:tcPr>
            <w:tcW w:w="1285" w:type="dxa"/>
          </w:tcPr>
          <w:p>
            <w:pPr>
              <w:spacing w:before="40" w:after="40" w:line="240" w:lineRule="auto"/>
            </w:pPr>
            <w:r>
              <w:rPr>
                <w:b/>
                <w:color w:val="1A252F"/>
                <w:sz w:val="18"/>
              </w:rPr>
              <w:t xml:space="preserve">Tier 2</w:t>
            </w:r>
          </w:p>
        </w:tc>
        <w:tc>
          <w:tcPr>
            <w:tcW w:w="1285" w:type="dxa"/>
          </w:tcPr>
          <w:p>
            <w:pPr>
              <w:spacing w:before="40" w:after="40" w:line="240" w:lineRule="auto"/>
            </w:pPr>
            <w:r>
              <w:rPr>
                <w:color w:val="1A252F"/>
                <w:sz w:val="18"/>
              </w:rPr>
              <w:t xml:space="preserve">Deel</w:t>
            </w:r>
          </w:p>
        </w:tc>
        <w:tc>
          <w:tcPr>
            <w:tcW w:w="1285" w:type="dxa"/>
          </w:tcPr>
          <w:p>
            <w:pPr>
              <w:spacing w:before="40" w:after="40" w:line="240" w:lineRule="auto"/>
            </w:pPr>
            <w:r>
              <w:rPr>
                <w:color w:val="1A252F"/>
                <w:sz w:val="18"/>
              </w:rPr>
              <w:t xml:space="preserve">8</w:t>
            </w:r>
          </w:p>
        </w:tc>
        <w:tc>
          <w:tcPr>
            <w:tcW w:w="1285" w:type="dxa"/>
          </w:tcPr>
          <w:p>
            <w:pPr>
              <w:spacing w:before="40" w:after="40" w:line="240" w:lineRule="auto"/>
            </w:pPr>
            <w:r>
              <w:rPr>
                <w:color w:val="1A252F"/>
                <w:sz w:val="18"/>
              </w:rPr>
              <w:t xml:space="preserve">DOJ criminal probe (Jan 2026); $100M+ class action; 6-congressman investigation </w:t>
            </w:r>
            <w:r>
              <w:rPr>
                <w:color w:val="C0392B"/>
                <w:sz w:val="16"/>
                <w:vertAlign w:val="superscript"/>
              </w:rPr>
              <w:t xml:space="preserve">[559]</w:t>
            </w:r>
            <w:r>
              <w:rPr>
                <w:color w:val="1A252F"/>
                <w:sz w:val="18"/>
              </w:rPr>
              <w:t xml:space="preserve"> </w:t>
            </w:r>
            <w:r>
              <w:rPr>
                <w:color w:val="C0392B"/>
                <w:sz w:val="16"/>
                <w:vertAlign w:val="superscript"/>
              </w:rPr>
              <w:t xml:space="preserve">[142]</w:t>
            </w:r>
          </w:p>
        </w:tc>
        <w:tc>
          <w:tcPr>
            <w:tcW w:w="1285" w:type="dxa"/>
          </w:tcPr>
          <w:p>
            <w:pPr>
              <w:spacing w:before="40" w:after="40" w:line="240" w:lineRule="auto"/>
            </w:pPr>
            <w:r>
              <w:rPr>
                <w:color w:val="1A252F"/>
                <w:sz w:val="18"/>
              </w:rPr>
              <w:t xml:space="preserve">None identified</w:t>
            </w:r>
          </w:p>
        </w:tc>
        <w:tc>
          <w:tcPr>
            <w:tcW w:w="1285" w:type="dxa"/>
          </w:tcPr>
          <w:p>
            <w:pPr>
              <w:spacing w:before="40" w:after="40" w:line="240" w:lineRule="auto"/>
            </w:pPr>
            <w:r>
              <w:rPr>
                <w:color w:val="1A252F"/>
                <w:sz w:val="18"/>
              </w:rPr>
              <w:t xml:space="preserve">100,000+ contractors globally</w:t>
            </w:r>
          </w:p>
        </w:tc>
        <w:tc>
          <w:tcPr>
            <w:tcW w:w="1285" w:type="dxa"/>
          </w:tcPr>
          <w:p>
            <w:pPr>
              <w:spacing w:before="40" w:after="40" w:line="240" w:lineRule="auto"/>
            </w:pPr>
            <w:r>
              <w:rPr>
                <w:color w:val="1A252F"/>
                <w:sz w:val="18"/>
              </w:rPr>
              <w:t xml:space="preserve">Q2 2026</w:t>
            </w:r>
          </w:p>
        </w:tc>
      </w:tr>
      <w:tr>
        <w:tc>
          <w:tcPr>
            <w:tcW w:w="1285" w:type="dxa"/>
          </w:tcPr>
          <w:p>
            <w:pPr>
              <w:spacing w:before="40" w:after="40" w:line="240" w:lineRule="auto"/>
            </w:pPr>
            <w:r>
              <w:rPr>
                <w:b/>
                <w:color w:val="1A252F"/>
                <w:sz w:val="18"/>
              </w:rPr>
              <w:t xml:space="preserve">Tier 2</w:t>
            </w:r>
          </w:p>
        </w:tc>
        <w:tc>
          <w:tcPr>
            <w:tcW w:w="1285" w:type="dxa"/>
          </w:tcPr>
          <w:p>
            <w:pPr>
              <w:spacing w:before="40" w:after="40" w:line="240" w:lineRule="auto"/>
            </w:pPr>
            <w:r>
              <w:rPr>
                <w:color w:val="1A252F"/>
                <w:sz w:val="18"/>
              </w:rPr>
              <w:t xml:space="preserve">Fiverr</w:t>
            </w:r>
          </w:p>
        </w:tc>
        <w:tc>
          <w:tcPr>
            <w:tcW w:w="1285" w:type="dxa"/>
          </w:tcPr>
          <w:p>
            <w:pPr>
              <w:spacing w:before="40" w:after="40" w:line="240" w:lineRule="auto"/>
            </w:pPr>
            <w:r>
              <w:rPr>
                <w:color w:val="1A252F"/>
                <w:sz w:val="18"/>
              </w:rPr>
              <w:t xml:space="preserve">7</w:t>
            </w:r>
          </w:p>
        </w:tc>
        <w:tc>
          <w:tcPr>
            <w:tcW w:w="1285" w:type="dxa"/>
          </w:tcPr>
          <w:p>
            <w:pPr>
              <w:spacing w:before="40" w:after="40" w:line="240" w:lineRule="auto"/>
            </w:pPr>
            <w:r>
              <w:rPr>
                <w:color w:val="1A252F"/>
                <w:sz w:val="18"/>
              </w:rPr>
              <w:t xml:space="preserve">Class action filed (Johnson v. Fiverr, 3:25-cv-03303); 20% fee + 90-day lockout </w:t>
            </w:r>
            <w:r>
              <w:rPr>
                <w:color w:val="C0392B"/>
                <w:sz w:val="16"/>
                <w:vertAlign w:val="superscript"/>
              </w:rPr>
              <w:t xml:space="preserve">[519]</w:t>
            </w:r>
            <w:r>
              <w:rPr>
                <w:color w:val="1A252F"/>
                <w:sz w:val="18"/>
              </w:rPr>
              <w:t xml:space="preserve"> </w:t>
            </w:r>
            <w:r>
              <w:rPr>
                <w:color w:val="C0392B"/>
                <w:sz w:val="16"/>
                <w:vertAlign w:val="superscript"/>
              </w:rPr>
              <w:t xml:space="preserve">[580]</w:t>
            </w:r>
          </w:p>
        </w:tc>
        <w:tc>
          <w:tcPr>
            <w:tcW w:w="1285" w:type="dxa"/>
          </w:tcPr>
          <w:p>
            <w:pPr>
              <w:spacing w:before="40" w:after="40" w:line="240" w:lineRule="auto"/>
            </w:pPr>
            <w:r>
              <w:rPr>
                <w:color w:val="1A252F"/>
                <w:sz w:val="18"/>
              </w:rPr>
              <w:t xml:space="preserve">Worker forums exist but no formal organizing</w:t>
            </w:r>
          </w:p>
        </w:tc>
        <w:tc>
          <w:tcPr>
            <w:tcW w:w="1285" w:type="dxa"/>
          </w:tcPr>
          <w:p>
            <w:pPr>
              <w:spacing w:before="40" w:after="40" w:line="240" w:lineRule="auto"/>
            </w:pPr>
            <w:r>
              <w:rPr>
                <w:color w:val="1A252F"/>
                <w:sz w:val="18"/>
              </w:rPr>
              <w:t xml:space="preserve">830,000+ active sellers </w:t>
            </w:r>
            <w:r>
              <w:rPr>
                <w:color w:val="C0392B"/>
                <w:sz w:val="16"/>
                <w:vertAlign w:val="superscript"/>
              </w:rPr>
              <w:t xml:space="preserve">[578]</w:t>
            </w:r>
          </w:p>
        </w:tc>
        <w:tc>
          <w:tcPr>
            <w:tcW w:w="1285" w:type="dxa"/>
          </w:tcPr>
          <w:p>
            <w:pPr>
              <w:spacing w:before="40" w:after="40" w:line="240" w:lineRule="auto"/>
            </w:pPr>
            <w:r>
              <w:rPr>
                <w:color w:val="1A252F"/>
                <w:sz w:val="18"/>
              </w:rPr>
              <w:t xml:space="preserve">Q2-Q3 2026</w:t>
            </w:r>
          </w:p>
        </w:tc>
      </w:tr>
      <w:tr>
        <w:tc>
          <w:tcPr>
            <w:tcW w:w="1285" w:type="dxa"/>
          </w:tcPr>
          <w:p>
            <w:pPr>
              <w:spacing w:before="40" w:after="40" w:line="240" w:lineRule="auto"/>
            </w:pPr>
            <w:r>
              <w:rPr>
                <w:b/>
                <w:color w:val="1A252F"/>
                <w:sz w:val="18"/>
              </w:rPr>
              <w:t xml:space="preserve">Tier 2</w:t>
            </w:r>
          </w:p>
        </w:tc>
        <w:tc>
          <w:tcPr>
            <w:tcW w:w="1285" w:type="dxa"/>
          </w:tcPr>
          <w:p>
            <w:pPr>
              <w:spacing w:before="40" w:after="40" w:line="240" w:lineRule="auto"/>
            </w:pPr>
            <w:r>
              <w:rPr>
                <w:color w:val="1A252F"/>
                <w:sz w:val="18"/>
              </w:rPr>
              <w:t xml:space="preserve">Amazon MTurk</w:t>
            </w:r>
          </w:p>
        </w:tc>
        <w:tc>
          <w:tcPr>
            <w:tcW w:w="1285" w:type="dxa"/>
          </w:tcPr>
          <w:p>
            <w:pPr>
              <w:spacing w:before="40" w:after="40" w:line="240" w:lineRule="auto"/>
            </w:pPr>
            <w:r>
              <w:rPr>
                <w:color w:val="1A252F"/>
                <w:sz w:val="18"/>
              </w:rPr>
              <w:t xml:space="preserve">7</w:t>
            </w:r>
          </w:p>
        </w:tc>
        <w:tc>
          <w:tcPr>
            <w:tcW w:w="1285" w:type="dxa"/>
          </w:tcPr>
          <w:p>
            <w:pPr>
              <w:spacing w:before="40" w:after="40" w:line="240" w:lineRule="auto"/>
            </w:pPr>
            <w:r>
              <w:rPr>
                <w:color w:val="1A252F"/>
                <w:sz w:val="18"/>
              </w:rPr>
              <w:t xml:space="preserve">Median ~$2/hr; 4% above federal minimum wage </w:t>
            </w:r>
            <w:r>
              <w:rPr>
                <w:color w:val="C0392B"/>
                <w:sz w:val="16"/>
                <w:vertAlign w:val="superscript"/>
              </w:rPr>
              <w:t xml:space="preserve">[18]</w:t>
            </w:r>
            <w:r>
              <w:rPr>
                <w:color w:val="1A252F"/>
                <w:sz w:val="18"/>
              </w:rPr>
              <w:t xml:space="preserve">; no regulatory action</w:t>
            </w:r>
          </w:p>
        </w:tc>
        <w:tc>
          <w:tcPr>
            <w:tcW w:w="1285" w:type="dxa"/>
          </w:tcPr>
          <w:p>
            <w:pPr>
              <w:spacing w:before="40" w:after="40" w:line="240" w:lineRule="auto"/>
            </w:pPr>
            <w:r>
              <w:rPr>
                <w:color w:val="1A252F"/>
                <w:sz w:val="18"/>
              </w:rPr>
              <w:t xml:space="preserve">Turkopticon (2008) </w:t>
            </w:r>
            <w:r>
              <w:rPr>
                <w:color w:val="C0392B"/>
                <w:sz w:val="16"/>
                <w:vertAlign w:val="superscript"/>
              </w:rPr>
              <w:t xml:space="preserve">[38]</w:t>
            </w:r>
            <w:r>
              <w:rPr>
                <w:color w:val="1A252F"/>
                <w:sz w:val="18"/>
              </w:rPr>
              <w:t xml:space="preserve"> — fragmented</w:t>
            </w:r>
          </w:p>
        </w:tc>
        <w:tc>
          <w:tcPr>
            <w:tcW w:w="1285" w:type="dxa"/>
          </w:tcPr>
          <w:p>
            <w:pPr>
              <w:spacing w:before="40" w:after="40" w:line="240" w:lineRule="auto"/>
            </w:pPr>
            <w:r>
              <w:rPr>
                <w:color w:val="1A252F"/>
                <w:sz w:val="18"/>
              </w:rPr>
              <w:t xml:space="preserve">500,000+ registered workers </w:t>
            </w:r>
            <w:r>
              <w:rPr>
                <w:color w:val="C0392B"/>
                <w:sz w:val="16"/>
                <w:vertAlign w:val="superscript"/>
              </w:rPr>
              <w:t xml:space="preserve">[18]</w:t>
            </w:r>
          </w:p>
        </w:tc>
        <w:tc>
          <w:tcPr>
            <w:tcW w:w="1285" w:type="dxa"/>
          </w:tcPr>
          <w:p>
            <w:pPr>
              <w:spacing w:before="40" w:after="40" w:line="240" w:lineRule="auto"/>
            </w:pPr>
            <w:r>
              <w:rPr>
                <w:color w:val="1A252F"/>
                <w:sz w:val="18"/>
              </w:rPr>
              <w:t xml:space="preserve">Q2-Q3 2026</w:t>
            </w:r>
          </w:p>
        </w:tc>
      </w:tr>
      <w:tr>
        <w:tc>
          <w:tcPr>
            <w:tcW w:w="1285" w:type="dxa"/>
          </w:tcPr>
          <w:p>
            <w:pPr>
              <w:spacing w:before="40" w:after="40" w:line="240" w:lineRule="auto"/>
            </w:pPr>
            <w:r>
              <w:rPr>
                <w:b/>
                <w:color w:val="1A252F"/>
                <w:sz w:val="18"/>
              </w:rPr>
              <w:t xml:space="preserve">Tier 3</w:t>
            </w:r>
          </w:p>
        </w:tc>
        <w:tc>
          <w:tcPr>
            <w:tcW w:w="1285" w:type="dxa"/>
          </w:tcPr>
          <w:p>
            <w:pPr>
              <w:spacing w:before="40" w:after="40" w:line="240" w:lineRule="auto"/>
            </w:pPr>
            <w:r>
              <w:rPr>
                <w:color w:val="1A252F"/>
                <w:sz w:val="18"/>
              </w:rPr>
              <w:t xml:space="preserve">Uber / Lyft / DoorDash / Deliveroo</w:t>
            </w:r>
          </w:p>
        </w:tc>
        <w:tc>
          <w:tcPr>
            <w:tcW w:w="1285" w:type="dxa"/>
          </w:tcPr>
          <w:p>
            <w:pPr>
              <w:spacing w:before="40" w:after="40" w:line="240" w:lineRule="auto"/>
            </w:pPr>
            <w:r>
              <w:rPr>
                <w:color w:val="1A252F"/>
                <w:sz w:val="18"/>
              </w:rPr>
              <w:t xml:space="preserve">5</w:t>
            </w:r>
          </w:p>
        </w:tc>
        <w:tc>
          <w:tcPr>
            <w:tcW w:w="1285" w:type="dxa"/>
          </w:tcPr>
          <w:p>
            <w:pPr>
              <w:spacing w:before="40" w:after="40" w:line="240" w:lineRule="auto"/>
            </w:pPr>
            <w:r>
              <w:rPr>
                <w:color w:val="1A252F"/>
                <w:sz w:val="18"/>
              </w:rPr>
              <w:t xml:space="preserve">$2B+ in settlements; $1.3B pending in CA </w:t>
            </w:r>
            <w:r>
              <w:rPr>
                <w:color w:val="C0392B"/>
                <w:sz w:val="16"/>
                <w:vertAlign w:val="superscript"/>
              </w:rPr>
              <w:t xml:space="preserve">[181]</w:t>
            </w:r>
          </w:p>
        </w:tc>
        <w:tc>
          <w:tcPr>
            <w:tcW w:w="1285" w:type="dxa"/>
          </w:tcPr>
          <w:p>
            <w:pPr>
              <w:spacing w:before="40" w:after="40" w:line="240" w:lineRule="auto"/>
            </w:pPr>
            <w:r>
              <w:rPr>
                <w:color w:val="1A252F"/>
                <w:sz w:val="18"/>
              </w:rPr>
              <w:t xml:space="preserve">NYTWA, RDU, IWGB — mature, well-funded </w:t>
            </w:r>
            <w:r>
              <w:rPr>
                <w:color w:val="C0392B"/>
                <w:sz w:val="16"/>
                <w:vertAlign w:val="superscript"/>
              </w:rPr>
              <w:t xml:space="preserve">[285]</w:t>
            </w:r>
          </w:p>
        </w:tc>
        <w:tc>
          <w:tcPr>
            <w:tcW w:w="1285" w:type="dxa"/>
          </w:tcPr>
          <w:p>
            <w:pPr>
              <w:spacing w:before="40" w:after="40" w:line="240" w:lineRule="auto"/>
            </w:pPr>
            <w:r>
              <w:rPr>
                <w:color w:val="1A252F"/>
                <w:sz w:val="18"/>
              </w:rPr>
              <w:t xml:space="preserve">16,000,000+ globally; 1.4M+ in CA </w:t>
            </w:r>
            <w:r>
              <w:rPr>
                <w:color w:val="C0392B"/>
                <w:sz w:val="16"/>
                <w:vertAlign w:val="superscript"/>
              </w:rPr>
              <w:t xml:space="preserve">[606]</w:t>
            </w:r>
          </w:p>
        </w:tc>
        <w:tc>
          <w:tcPr>
            <w:tcW w:w="1285" w:type="dxa"/>
          </w:tcPr>
          <w:p>
            <w:pPr>
              <w:spacing w:before="40" w:after="40" w:line="240" w:lineRule="auto"/>
            </w:pPr>
            <w:r>
              <w:rPr>
                <w:color w:val="1A252F"/>
                <w:sz w:val="18"/>
              </w:rPr>
              <w:t xml:space="preserve">Q3-Q4 2026</w:t>
            </w:r>
          </w:p>
        </w:tc>
      </w:tr>
    </w:tbl>
    <w:p>
      <w:pPr>
        <w:spacing w:after="200"/>
      </w:pPr>
    </w:p>
    <w:p>
      <w:pPr>
        <w:spacing w:after="160" w:line="300" w:lineRule="auto"/>
      </w:pPr>
      <w:r>
        <w:rPr>
          <w:color w:val="1A252F"/>
          <w:sz w:val="22"/>
        </w:rPr>
        <w:t xml:space="preserve">Scale AI and Outlier AI represent the single highest-priority target in the platform economy. No other platform combines this density of legal activity — four settled lawsuits, an ongoing federal class action, a Senate letter, and a municipal investigation — with this complete absence of worker infrastructure. The fact that Scale AI responded by stopping all California hiring </w:t>
      </w:r>
      <w:r>
        <w:rPr>
          <w:color w:val="C0392B"/>
          <w:sz w:val="16"/>
          <w:vertAlign w:val="superscript"/>
        </w:rPr>
        <w:t xml:space="preserve">[7]</w:t>
      </w:r>
      <w:r>
        <w:rPr>
          <w:color w:val="1A252F"/>
          <w:sz w:val="22"/>
        </w:rPr>
        <w:t xml:space="preserve"> demonstrates both platform vulnerability and workers' urgent need for cross-border case collection. The U.S. data labeling industry contributed $5.7 billion to GDP in 2024 while paying workers at or below minimum wage </w:t>
      </w:r>
      <w:r>
        <w:rPr>
          <w:color w:val="C0392B"/>
          <w:sz w:val="16"/>
          <w:vertAlign w:val="superscript"/>
        </w:rPr>
        <w:t xml:space="preserve">[46]</w:t>
      </w:r>
      <w:r>
        <w:rPr>
          <w:color w:val="1A252F"/>
          <w:sz w:val="22"/>
        </w:rPr>
        <w:t xml:space="preserve"> — a gap that represents recoverable theft at scale, with Oxford Economics projecting growth to $19.2 billion by 2030 </w:t>
      </w:r>
      <w:r>
        <w:rPr>
          <w:color w:val="C0392B"/>
          <w:sz w:val="16"/>
          <w:vertAlign w:val="superscript"/>
        </w:rPr>
        <w:t xml:space="preserve">[46]</w:t>
      </w:r>
      <w:r>
        <w:rPr>
          <w:color w:val="1A252F"/>
          <w:sz w:val="22"/>
        </w:rPr>
        <w:t xml:space="preserve">.</w:t>
      </w:r>
    </w:p>
    <w:p>
      <w:pPr>
        <w:spacing w:after="160" w:line="300" w:lineRule="auto"/>
      </w:pPr>
      <w:r>
        <w:rPr>
          <w:color w:val="1A252F"/>
          <w:sz w:val="22"/>
        </w:rPr>
        <w:t xml:space="preserve">Sama's Kenya operation presents the most acute human rights case in the dataset. Workers paid $1.32-$2 per hour for traumatic content labeling </w:t>
      </w:r>
      <w:r>
        <w:rPr>
          <w:color w:val="C0392B"/>
          <w:sz w:val="16"/>
          <w:vertAlign w:val="superscript"/>
        </w:rPr>
        <w:t xml:space="preserve">[12]</w:t>
      </w:r>
      <w:r>
        <w:rPr>
          <w:color w:val="1A252F"/>
          <w:sz w:val="22"/>
        </w:rPr>
        <w:t xml:space="preserve">, while OpenAI paid Sama $12.50 per hour — a 6-9x markup absorbed entirely by the intermediary </w:t>
      </w:r>
      <w:r>
        <w:rPr>
          <w:color w:val="C0392B"/>
          <w:sz w:val="16"/>
          <w:vertAlign w:val="superscript"/>
        </w:rPr>
        <w:t xml:space="preserve">[12]</w:t>
      </w:r>
      <w:r>
        <w:rPr>
          <w:color w:val="1A252F"/>
          <w:sz w:val="22"/>
        </w:rPr>
        <w:t xml:space="preserve">. Dr. Ian Kanyanya diagnosed 81% of 144 examined moderators with severe PTSD </w:t>
      </w:r>
      <w:r>
        <w:rPr>
          <w:color w:val="C0392B"/>
          <w:sz w:val="16"/>
          <w:vertAlign w:val="superscript"/>
        </w:rPr>
        <w:t xml:space="preserve">[14]</w:t>
      </w:r>
      <w:r>
        <w:rPr>
          <w:color w:val="1A252F"/>
          <w:sz w:val="22"/>
        </w:rPr>
        <w:t xml:space="preserve">. The 260 workers laid off after raising concerns were silenced, with Meta allegedly directing successor contractor Majorel not to hire them </w:t>
      </w:r>
      <w:r>
        <w:rPr>
          <w:color w:val="C0392B"/>
          <w:sz w:val="16"/>
          <w:vertAlign w:val="superscript"/>
        </w:rPr>
        <w:t xml:space="preserve">[16]</w:t>
      </w:r>
      <w:r>
        <w:rPr>
          <w:color w:val="1A252F"/>
          <w:sz w:val="22"/>
        </w:rPr>
        <w:t xml:space="preserve">. The Kenya Court of Appeal ruling that Meta can be sued in Kenya </w:t>
      </w:r>
      <w:r>
        <w:rPr>
          <w:color w:val="C0392B"/>
          <w:sz w:val="16"/>
          <w:vertAlign w:val="superscript"/>
        </w:rPr>
        <w:t xml:space="preserve">[17]</w:t>
      </w:r>
      <w:r>
        <w:rPr>
          <w:color w:val="1A252F"/>
          <w:sz w:val="22"/>
        </w:rPr>
        <w:t xml:space="preserve"> opens a recoverable litigation pathway that Sindicato can help document and sustain.</w:t>
      </w:r>
    </w:p>
    <w:p>
      <w:pPr>
        <w:spacing w:after="160" w:line="300" w:lineRule="auto"/>
      </w:pPr>
      <w:r>
        <w:rPr>
          <w:color w:val="1A252F"/>
          <w:sz w:val="22"/>
        </w:rPr>
        <w:t xml:space="preserve">Deel occupies a distinct Tier 2 position because its extraction operates through FX manipulation and misclassification rather than direct wage suppression. Independent audits found Deel's FX markup ranges from 1.5-5.5% over mid-market rates — far above its advertised 0.6-2% </w:t>
      </w:r>
      <w:r>
        <w:rPr>
          <w:color w:val="C0392B"/>
          <w:sz w:val="16"/>
          <w:vertAlign w:val="superscript"/>
        </w:rPr>
        <w:t xml:space="preserve">[456]</w:t>
      </w:r>
      <w:r>
        <w:rPr>
          <w:color w:val="1A252F"/>
          <w:sz w:val="22"/>
        </w:rPr>
        <w:t xml:space="preserve">. On a $100,000 monthly payroll, a 3% hidden spread extracts $3,000 per month — exceeding the base service fee for five full-time employees </w:t>
      </w:r>
      <w:r>
        <w:rPr>
          <w:color w:val="C0392B"/>
          <w:sz w:val="16"/>
          <w:vertAlign w:val="superscript"/>
        </w:rPr>
        <w:t xml:space="preserve">[456]</w:t>
      </w:r>
      <w:r>
        <w:rPr>
          <w:color w:val="1A252F"/>
          <w:sz w:val="22"/>
        </w:rPr>
        <w:t xml:space="preserve">. The January 2026 DOJ criminal probe </w:t>
      </w:r>
      <w:r>
        <w:rPr>
          <w:color w:val="C0392B"/>
          <w:sz w:val="16"/>
          <w:vertAlign w:val="superscript"/>
        </w:rPr>
        <w:t xml:space="preserve">[559]</w:t>
      </w:r>
      <w:r>
        <w:rPr>
          <w:color w:val="1A252F"/>
          <w:sz w:val="22"/>
        </w:rPr>
        <w:t xml:space="preserve"> and Senator Padilla's charge that Deel was "openly flaunting their violation of California labor laws" </w:t>
      </w:r>
      <w:r>
        <w:rPr>
          <w:color w:val="C0392B"/>
          <w:sz w:val="16"/>
          <w:vertAlign w:val="superscript"/>
        </w:rPr>
        <w:t xml:space="preserve">[147]</w:t>
      </w:r>
      <w:r>
        <w:rPr>
          <w:color w:val="1A252F"/>
          <w:sz w:val="22"/>
        </w:rPr>
        <w:t xml:space="preserve"> signal regulatory momentum that worker documentation can accelerate into enforcement action.</w:t>
      </w:r>
    </w:p>
    <w:p>
      <w:pPr>
        <w:spacing w:after="160" w:line="300" w:lineRule="auto"/>
      </w:pPr>
      <w:r>
        <w:rPr>
          <w:color w:val="1A252F"/>
          <w:sz w:val="22"/>
        </w:rPr>
        <w:t xml:space="preserve">Delivery platforms land in Tier 3 not because exploitation is lower — Uber's take rate increased from 32% to 42% under algorithmic pricing </w:t>
      </w:r>
      <w:r>
        <w:rPr>
          <w:color w:val="C0392B"/>
          <w:sz w:val="16"/>
          <w:vertAlign w:val="superscript"/>
        </w:rPr>
        <w:t xml:space="preserve">[132]</w:t>
      </w:r>
      <w:r>
        <w:rPr>
          <w:color w:val="1A252F"/>
          <w:sz w:val="22"/>
        </w:rPr>
        <w:t xml:space="preserve"> — but because existing collective infrastructure is already mature. NYTWA's 8.5-year campaign produced the $328 million settlement </w:t>
      </w:r>
      <w:r>
        <w:rPr>
          <w:color w:val="C0392B"/>
          <w:sz w:val="16"/>
          <w:vertAlign w:val="superscript"/>
        </w:rPr>
        <w:t xml:space="preserve">[285]</w:t>
      </w:r>
      <w:r>
        <w:rPr>
          <w:color w:val="1A252F"/>
          <w:sz w:val="22"/>
        </w:rPr>
        <w:t xml:space="preserve">. Rideshare Drivers United organized 5,000 drivers whose claims underpin California's $1.3 billion lawsuit </w:t>
      </w:r>
      <w:r>
        <w:rPr>
          <w:color w:val="C0392B"/>
          <w:sz w:val="16"/>
          <w:vertAlign w:val="superscript"/>
        </w:rPr>
        <w:t xml:space="preserve">[181]</w:t>
      </w:r>
      <w:r>
        <w:rPr>
          <w:color w:val="1A252F"/>
          <w:sz w:val="22"/>
        </w:rPr>
        <w:t xml:space="preserve">. The IWGB secured worker-status rulings affecting 100,000+ UK drivers </w:t>
      </w:r>
      <w:r>
        <w:rPr>
          <w:color w:val="C0392B"/>
          <w:sz w:val="16"/>
          <w:vertAlign w:val="superscript"/>
        </w:rPr>
        <w:t xml:space="preserve">[474]</w:t>
      </w:r>
      <w:r>
        <w:rPr>
          <w:color w:val="1A252F"/>
          <w:sz w:val="22"/>
        </w:rPr>
        <w:t xml:space="preserve">. Sindicato adds value here as a data aggregation layer supporting these organizations rather than as a primary organizing vehicle.</w:t>
      </w:r>
    </w:p>
    <w:p>
      <w:pPr>
        <w:pStyle w:val="Heading3"/>
      </w:pPr>
      <w:r>
        <w:rPr>
          <w:color w:val="1A252F"/>
          <w:sz w:val="22"/>
        </w:rPr>
        <w:t xml:space="preserve">5.2 Addressable Worker Populations</w:t>
      </w:r>
    </w:p>
    <w:tbl>
      <w:tblPr>
        <w:tblW w:w="5000" w:type="pct"/>
        <w:tblBorders>
          <w:top w:val="single" w:color="2C3E50" w:sz="12"/>
          <w:left w:val="nil"/>
          <w:bottom w:val="single" w:color="2C3E50" w:sz="12"/>
          <w:right w:val="nil"/>
          <w:insideH w:val="single" w:color="BDC3C7" w:sz="4"/>
          <w:insideV w:val="nil"/>
        </w:tblBorders>
        <w:tblLook w:val="04A0" w:firstRow="true"/>
      </w:tblPr>
      <w:tblGrid>
        <w:gridCol w:w="2250"/>
        <w:gridCol w:w="2250"/>
        <w:gridCol w:w="2250"/>
        <w:gridCol w:w="2250"/>
      </w:tblGrid>
      <w:tr>
        <w:trPr>
          <w:tblHeader/>
        </w:trPr>
        <w:tc>
          <w:tcPr>
            <w:tcW w:w="2250" w:type="dxa"/>
            <w:tcBorders>
              <w:bottom w:val="single" w:color="2C3E50" w:sz="6"/>
            </w:tcBorders>
            <w:shd w:val="clear" w:fill="EDF0F2"/>
          </w:tcPr>
          <w:p>
            <w:pPr>
              <w:spacing w:before="60" w:after="60"/>
            </w:pPr>
            <w:r>
              <w:rPr>
                <w:b/>
                <w:color w:val="1A252F"/>
                <w:sz w:val="18"/>
              </w:rPr>
              <w:t xml:space="preserve">Worker Category</w:t>
            </w:r>
          </w:p>
        </w:tc>
        <w:tc>
          <w:tcPr>
            <w:tcW w:w="2250" w:type="dxa"/>
            <w:tcBorders>
              <w:bottom w:val="single" w:color="2C3E50" w:sz="6"/>
            </w:tcBorders>
            <w:shd w:val="clear" w:fill="EDF0F2"/>
          </w:tcPr>
          <w:p>
            <w:pPr>
              <w:spacing w:before="60" w:after="60"/>
            </w:pPr>
            <w:r>
              <w:rPr>
                <w:b/>
                <w:color w:val="1A252F"/>
                <w:sz w:val="18"/>
              </w:rPr>
              <w:t xml:space="preserve">Low Estimate</w:t>
            </w:r>
          </w:p>
        </w:tc>
        <w:tc>
          <w:tcPr>
            <w:tcW w:w="2250" w:type="dxa"/>
            <w:tcBorders>
              <w:bottom w:val="single" w:color="2C3E50" w:sz="6"/>
            </w:tcBorders>
            <w:shd w:val="clear" w:fill="EDF0F2"/>
          </w:tcPr>
          <w:p>
            <w:pPr>
              <w:spacing w:before="60" w:after="60"/>
            </w:pPr>
            <w:r>
              <w:rPr>
                <w:b/>
                <w:color w:val="1A252F"/>
                <w:sz w:val="18"/>
              </w:rPr>
              <w:t xml:space="preserve">High Estimate</w:t>
            </w:r>
          </w:p>
        </w:tc>
        <w:tc>
          <w:tcPr>
            <w:tcW w:w="2250" w:type="dxa"/>
            <w:tcBorders>
              <w:bottom w:val="single" w:color="2C3E50" w:sz="6"/>
            </w:tcBorders>
            <w:shd w:val="clear" w:fill="EDF0F2"/>
          </w:tcPr>
          <w:p>
            <w:pPr>
              <w:spacing w:before="60" w:after="60"/>
            </w:pPr>
            <w:r>
              <w:rPr>
                <w:b/>
                <w:color w:val="1A252F"/>
                <w:sz w:val="18"/>
              </w:rPr>
              <w:t xml:space="preserve">Basis</w:t>
            </w:r>
          </w:p>
        </w:tc>
      </w:tr>
      <w:tr>
        <w:tc>
          <w:tcPr>
            <w:tcW w:w="2250" w:type="dxa"/>
          </w:tcPr>
          <w:p>
            <w:pPr>
              <w:spacing w:before="40" w:after="40" w:line="240" w:lineRule="auto"/>
            </w:pPr>
            <w:r>
              <w:rPr>
                <w:color w:val="1A252F"/>
                <w:sz w:val="18"/>
              </w:rPr>
              <w:t xml:space="preserve">AI data labeling and content moderation</w:t>
            </w:r>
          </w:p>
        </w:tc>
        <w:tc>
          <w:tcPr>
            <w:tcW w:w="2250" w:type="dxa"/>
          </w:tcPr>
          <w:p>
            <w:pPr>
              <w:spacing w:before="40" w:after="40" w:line="240" w:lineRule="auto"/>
            </w:pPr>
            <w:r>
              <w:rPr>
                <w:color w:val="1A252F"/>
                <w:sz w:val="18"/>
              </w:rPr>
              <w:t xml:space="preserve">500,000</w:t>
            </w:r>
          </w:p>
        </w:tc>
        <w:tc>
          <w:tcPr>
            <w:tcW w:w="2250" w:type="dxa"/>
          </w:tcPr>
          <w:p>
            <w:pPr>
              <w:spacing w:before="40" w:after="40" w:line="240" w:lineRule="auto"/>
            </w:pPr>
            <w:r>
              <w:rPr>
                <w:color w:val="1A252F"/>
                <w:sz w:val="18"/>
              </w:rPr>
              <w:t xml:space="preserve">1,000,000</w:t>
            </w:r>
          </w:p>
        </w:tc>
        <w:tc>
          <w:tcPr>
            <w:tcW w:w="2250" w:type="dxa"/>
          </w:tcPr>
          <w:p>
            <w:pPr>
              <w:spacing w:before="40" w:after="40" w:line="240" w:lineRule="auto"/>
            </w:pPr>
            <w:r>
              <w:rPr>
                <w:color w:val="1A252F"/>
                <w:sz w:val="18"/>
              </w:rPr>
              <w:t xml:space="preserve">200,000 US flexible opportunities </w:t>
            </w:r>
            <w:r>
              <w:rPr>
                <w:color w:val="C0392B"/>
                <w:sz w:val="16"/>
                <w:vertAlign w:val="superscript"/>
              </w:rPr>
              <w:t xml:space="preserve">[46]</w:t>
            </w:r>
            <w:r>
              <w:rPr>
                <w:color w:val="1A252F"/>
                <w:sz w:val="18"/>
              </w:rPr>
              <w:t xml:space="preserve"> plus Global South workers</w:t>
            </w:r>
          </w:p>
        </w:tc>
      </w:tr>
      <w:tr>
        <w:tc>
          <w:tcPr>
            <w:tcW w:w="2250" w:type="dxa"/>
          </w:tcPr>
          <w:p>
            <w:pPr>
              <w:spacing w:before="40" w:after="40" w:line="240" w:lineRule="auto"/>
            </w:pPr>
            <w:r>
              <w:rPr>
                <w:color w:val="1A252F"/>
                <w:sz w:val="18"/>
              </w:rPr>
              <w:t xml:space="preserve">Freelance marketplace workers</w:t>
            </w:r>
          </w:p>
        </w:tc>
        <w:tc>
          <w:tcPr>
            <w:tcW w:w="2250" w:type="dxa"/>
          </w:tcPr>
          <w:p>
            <w:pPr>
              <w:spacing w:before="40" w:after="40" w:line="240" w:lineRule="auto"/>
            </w:pPr>
            <w:r>
              <w:rPr>
                <w:color w:val="1A252F"/>
                <w:sz w:val="18"/>
              </w:rPr>
              <w:t xml:space="preserve">77,000,000</w:t>
            </w:r>
          </w:p>
        </w:tc>
        <w:tc>
          <w:tcPr>
            <w:tcW w:w="2250" w:type="dxa"/>
          </w:tcPr>
          <w:p>
            <w:pPr>
              <w:spacing w:before="40" w:after="40" w:line="240" w:lineRule="auto"/>
            </w:pPr>
            <w:r>
              <w:rPr>
                <w:color w:val="1A252F"/>
                <w:sz w:val="18"/>
              </w:rPr>
              <w:t xml:space="preserve">100,000,000</w:t>
            </w:r>
          </w:p>
        </w:tc>
        <w:tc>
          <w:tcPr>
            <w:tcW w:w="2250" w:type="dxa"/>
          </w:tcPr>
          <w:p>
            <w:pPr>
              <w:spacing w:before="40" w:after="40" w:line="240" w:lineRule="auto"/>
            </w:pPr>
            <w:r>
              <w:rPr>
                <w:color w:val="1A252F"/>
                <w:sz w:val="18"/>
              </w:rPr>
              <w:t xml:space="preserve">Upwork + Fiverr combined; top 5 platforms </w:t>
            </w:r>
            <w:r>
              <w:rPr>
                <w:color w:val="C0392B"/>
                <w:sz w:val="16"/>
                <w:vertAlign w:val="superscript"/>
              </w:rPr>
              <w:t xml:space="preserve">[578]</w:t>
            </w:r>
          </w:p>
        </w:tc>
      </w:tr>
      <w:tr>
        <w:tc>
          <w:tcPr>
            <w:tcW w:w="2250" w:type="dxa"/>
          </w:tcPr>
          <w:p>
            <w:pPr>
              <w:spacing w:before="40" w:after="40" w:line="240" w:lineRule="auto"/>
            </w:pPr>
            <w:r>
              <w:rPr>
                <w:color w:val="1A252F"/>
                <w:sz w:val="18"/>
              </w:rPr>
              <w:t xml:space="preserve">Remote contractor platform workers</w:t>
            </w:r>
          </w:p>
        </w:tc>
        <w:tc>
          <w:tcPr>
            <w:tcW w:w="2250" w:type="dxa"/>
          </w:tcPr>
          <w:p>
            <w:pPr>
              <w:spacing w:before="40" w:after="40" w:line="240" w:lineRule="auto"/>
            </w:pPr>
            <w:r>
              <w:rPr>
                <w:color w:val="1A252F"/>
                <w:sz w:val="18"/>
              </w:rPr>
              <w:t xml:space="preserve">35,000,000</w:t>
            </w:r>
          </w:p>
        </w:tc>
        <w:tc>
          <w:tcPr>
            <w:tcW w:w="2250" w:type="dxa"/>
          </w:tcPr>
          <w:p>
            <w:pPr>
              <w:spacing w:before="40" w:after="40" w:line="240" w:lineRule="auto"/>
            </w:pPr>
            <w:r>
              <w:rPr>
                <w:color w:val="1A252F"/>
                <w:sz w:val="18"/>
              </w:rPr>
              <w:t xml:space="preserve">50,000,000</w:t>
            </w:r>
          </w:p>
        </w:tc>
        <w:tc>
          <w:tcPr>
            <w:tcW w:w="2250" w:type="dxa"/>
          </w:tcPr>
          <w:p>
            <w:pPr>
              <w:spacing w:before="40" w:after="40" w:line="240" w:lineRule="auto"/>
            </w:pPr>
            <w:r>
              <w:rPr>
                <w:color w:val="1A252F"/>
                <w:sz w:val="18"/>
              </w:rPr>
              <w:t xml:space="preserve">Global remote workforce on EOR platforms</w:t>
            </w:r>
          </w:p>
        </w:tc>
      </w:tr>
      <w:tr>
        <w:tc>
          <w:tcPr>
            <w:tcW w:w="2250" w:type="dxa"/>
          </w:tcPr>
          <w:p>
            <w:pPr>
              <w:spacing w:before="40" w:after="40" w:line="240" w:lineRule="auto"/>
            </w:pPr>
            <w:r>
              <w:rPr>
                <w:color w:val="1A252F"/>
                <w:sz w:val="18"/>
              </w:rPr>
              <w:t xml:space="preserve">Delivery and ride-hail drivers</w:t>
            </w:r>
          </w:p>
        </w:tc>
        <w:tc>
          <w:tcPr>
            <w:tcW w:w="2250" w:type="dxa"/>
          </w:tcPr>
          <w:p>
            <w:pPr>
              <w:spacing w:before="40" w:after="40" w:line="240" w:lineRule="auto"/>
            </w:pPr>
            <w:r>
              <w:rPr>
                <w:color w:val="1A252F"/>
                <w:sz w:val="18"/>
              </w:rPr>
              <w:t xml:space="preserve">16,000,000</w:t>
            </w:r>
          </w:p>
        </w:tc>
        <w:tc>
          <w:tcPr>
            <w:tcW w:w="2250" w:type="dxa"/>
          </w:tcPr>
          <w:p>
            <w:pPr>
              <w:spacing w:before="40" w:after="40" w:line="240" w:lineRule="auto"/>
            </w:pPr>
            <w:r>
              <w:rPr>
                <w:color w:val="1A252F"/>
                <w:sz w:val="18"/>
              </w:rPr>
              <w:t xml:space="preserve">20,000,000</w:t>
            </w:r>
          </w:p>
        </w:tc>
        <w:tc>
          <w:tcPr>
            <w:tcW w:w="2250" w:type="dxa"/>
          </w:tcPr>
          <w:p>
            <w:pPr>
              <w:spacing w:before="40" w:after="40" w:line="240" w:lineRule="auto"/>
            </w:pPr>
            <w:r>
              <w:rPr>
                <w:color w:val="1A252F"/>
                <w:sz w:val="18"/>
              </w:rPr>
              <w:t xml:space="preserve">1.4M CA </w:t>
            </w:r>
            <w:r>
              <w:rPr>
                <w:color w:val="C0392B"/>
                <w:sz w:val="16"/>
                <w:vertAlign w:val="superscript"/>
              </w:rPr>
              <w:t xml:space="preserve">[606]</w:t>
            </w:r>
            <w:r>
              <w:rPr>
                <w:color w:val="1A252F"/>
                <w:sz w:val="18"/>
              </w:rPr>
              <w:t xml:space="preserve">; 28M+ EU platform workers (subset) </w:t>
            </w:r>
            <w:r>
              <w:rPr>
                <w:color w:val="C0392B"/>
                <w:sz w:val="16"/>
                <w:vertAlign w:val="superscript"/>
              </w:rPr>
              <w:t xml:space="preserve">[43]</w:t>
            </w:r>
            <w:r>
              <w:rPr>
                <w:color w:val="1A252F"/>
                <w:sz w:val="18"/>
              </w:rPr>
              <w:t xml:space="preserve">; 7.7M India </w:t>
            </w:r>
            <w:r>
              <w:rPr>
                <w:color w:val="C0392B"/>
                <w:sz w:val="16"/>
                <w:vertAlign w:val="superscript"/>
              </w:rPr>
              <w:t xml:space="preserve">[883]</w:t>
            </w:r>
          </w:p>
        </w:tc>
      </w:tr>
      <w:tr>
        <w:tc>
          <w:tcPr>
            <w:tcW w:w="2250" w:type="dxa"/>
          </w:tcPr>
          <w:p>
            <w:pPr>
              <w:spacing w:before="40" w:after="40" w:line="240" w:lineRule="auto"/>
            </w:pPr>
            <w:r>
              <w:rPr>
                <w:b/>
                <w:color w:val="1A252F"/>
                <w:sz w:val="18"/>
              </w:rPr>
              <w:t xml:space="preserve">Total</w:t>
            </w:r>
          </w:p>
        </w:tc>
        <w:tc>
          <w:tcPr>
            <w:tcW w:w="2250" w:type="dxa"/>
          </w:tcPr>
          <w:p>
            <w:pPr>
              <w:spacing w:before="40" w:after="40" w:line="240" w:lineRule="auto"/>
            </w:pPr>
            <w:r>
              <w:rPr>
                <w:b/>
                <w:color w:val="1A252F"/>
                <w:sz w:val="18"/>
              </w:rPr>
              <w:t xml:space="preserve">~128.5M</w:t>
            </w:r>
          </w:p>
        </w:tc>
        <w:tc>
          <w:tcPr>
            <w:tcW w:w="2250" w:type="dxa"/>
          </w:tcPr>
          <w:p>
            <w:pPr>
              <w:spacing w:before="40" w:after="40" w:line="240" w:lineRule="auto"/>
            </w:pPr>
            <w:r>
              <w:rPr>
                <w:b/>
                <w:color w:val="1A252F"/>
                <w:sz w:val="18"/>
              </w:rPr>
              <w:t xml:space="preserve">~171M</w:t>
            </w:r>
          </w:p>
        </w:tc>
        <w:tc>
          <w:tcPr>
            <w:tcW w:w="2250" w:type="dxa"/>
          </w:tcPr>
          <w:p>
            <w:pPr>
              <w:spacing w:before="40" w:after="40" w:line="240" w:lineRule="auto"/>
            </w:pPr>
            <w:r>
              <w:rPr>
                <w:color w:val="1A252F"/>
                <w:sz w:val="18"/>
              </w:rPr>
              <w:t xml:space="preserve">Partial overlap; many workers operate across multiple platforms</w:t>
            </w:r>
          </w:p>
        </w:tc>
      </w:tr>
    </w:tbl>
    <w:p>
      <w:pPr>
        <w:spacing w:after="200"/>
      </w:pPr>
    </w:p>
    <w:p>
      <w:pPr>
        <w:spacing w:after="160" w:line="300" w:lineRule="auto"/>
      </w:pPr>
      <w:r>
        <w:rPr>
          <w:color w:val="1A252F"/>
          <w:sz w:val="22"/>
        </w:rPr>
        <w:t xml:space="preserve">The AI labeling category carries the highest exploitation density despite being smallest numerically. Fairwork research found 250 workers across five AI-labeling platforms spent 26.8% of time on unpaid tasks, yielding an average of $2.15 per hour </w:t>
      </w:r>
      <w:r>
        <w:rPr>
          <w:color w:val="C0392B"/>
          <w:sz w:val="16"/>
          <w:vertAlign w:val="superscript"/>
        </w:rPr>
        <w:t xml:space="preserve">[592]</w:t>
      </w:r>
      <w:r>
        <w:rPr>
          <w:color w:val="1A252F"/>
          <w:sz w:val="22"/>
        </w:rPr>
        <w:t xml:space="preserve">. Geographic arbitrage is deliberate: Kenyan Remotasks workers earned $1-3 per hour while U.S. annotators received $15-25 for identical tasks </w:t>
      </w:r>
      <w:r>
        <w:rPr>
          <w:color w:val="C0392B"/>
          <w:sz w:val="16"/>
          <w:vertAlign w:val="superscript"/>
        </w:rPr>
        <w:t xml:space="preserve">[26]</w:t>
      </w:r>
      <w:r>
        <w:rPr>
          <w:color w:val="1A252F"/>
          <w:sz w:val="22"/>
        </w:rPr>
        <w:t xml:space="preserve">, and Indian engineers were paid $7.50 for work advertised at $40 to U.S. workers </w:t>
      </w:r>
      <w:r>
        <w:rPr>
          <w:color w:val="C0392B"/>
          <w:sz w:val="16"/>
          <w:vertAlign w:val="superscript"/>
        </w:rPr>
        <w:t xml:space="preserve">[47]</w:t>
      </w:r>
      <w:r>
        <w:rPr>
          <w:color w:val="1A252F"/>
          <w:sz w:val="22"/>
        </w:rPr>
        <w:t xml:space="preserve">. This is not market pricing — it is a platform strategy that relocates exploitation as workers in higher-wage jurisdictions organize. The 500,000-1,000,000 global addressable population represents workers whose claims, if aggregated at even 5% participation, would generate 25,000-50,000 case entries — sufficient to support multiple class actions across jurisdictions.</w:t>
      </w:r>
    </w:p>
    <w:p>
      <w:pPr>
        <w:pStyle w:val="Heading3"/>
      </w:pPr>
      <w:r>
        <w:rPr>
          <w:color w:val="1A252F"/>
          <w:sz w:val="22"/>
        </w:rPr>
        <w:t xml:space="preserve">5.3 Geographic Priority</w:t>
      </w:r>
    </w:p>
    <w:tbl>
      <w:tblPr>
        <w:tblW w:w="5000" w:type="pct"/>
        <w:tblBorders>
          <w:top w:val="single" w:color="2C3E50" w:sz="12"/>
          <w:left w:val="nil"/>
          <w:bottom w:val="single" w:color="2C3E50" w:sz="12"/>
          <w:right w:val="nil"/>
          <w:insideH w:val="single" w:color="BDC3C7" w:sz="4"/>
          <w:insideV w:val="nil"/>
        </w:tblBorders>
        <w:tblLook w:val="04A0" w:firstRow="true"/>
      </w:tblPr>
      <w:tblGrid>
        <w:gridCol w:w="1800"/>
        <w:gridCol w:w="1800"/>
        <w:gridCol w:w="1800"/>
        <w:gridCol w:w="1800"/>
        <w:gridCol w:w="1800"/>
      </w:tblGrid>
      <w:tr>
        <w:trPr>
          <w:tblHeader/>
        </w:trPr>
        <w:tc>
          <w:tcPr>
            <w:tcW w:w="1800" w:type="dxa"/>
            <w:tcBorders>
              <w:bottom w:val="single" w:color="2C3E50" w:sz="6"/>
            </w:tcBorders>
            <w:shd w:val="clear" w:fill="EDF0F2"/>
          </w:tcPr>
          <w:p>
            <w:pPr>
              <w:spacing w:before="60" w:after="60"/>
            </w:pPr>
            <w:r>
              <w:rPr>
                <w:b/>
                <w:color w:val="1A252F"/>
                <w:sz w:val="18"/>
              </w:rPr>
              <w:t xml:space="preserve">Tier</w:t>
            </w:r>
          </w:p>
        </w:tc>
        <w:tc>
          <w:tcPr>
            <w:tcW w:w="1800" w:type="dxa"/>
            <w:tcBorders>
              <w:bottom w:val="single" w:color="2C3E50" w:sz="6"/>
            </w:tcBorders>
            <w:shd w:val="clear" w:fill="EDF0F2"/>
          </w:tcPr>
          <w:p>
            <w:pPr>
              <w:spacing w:before="60" w:after="60"/>
            </w:pPr>
            <w:r>
              <w:rPr>
                <w:b/>
                <w:color w:val="1A252F"/>
                <w:sz w:val="18"/>
              </w:rPr>
              <w:t xml:space="preserve">Region / Jurisdiction</w:t>
            </w:r>
          </w:p>
        </w:tc>
        <w:tc>
          <w:tcPr>
            <w:tcW w:w="1800" w:type="dxa"/>
            <w:tcBorders>
              <w:bottom w:val="single" w:color="2C3E50" w:sz="6"/>
            </w:tcBorders>
            <w:shd w:val="clear" w:fill="EDF0F2"/>
          </w:tcPr>
          <w:p>
            <w:pPr>
              <w:spacing w:before="60" w:after="60"/>
            </w:pPr>
            <w:r>
              <w:rPr>
                <w:b/>
                <w:color w:val="1A252F"/>
                <w:sz w:val="18"/>
              </w:rPr>
              <w:t xml:space="preserve">Key Opportunity</w:t>
            </w:r>
          </w:p>
        </w:tc>
        <w:tc>
          <w:tcPr>
            <w:tcW w:w="1800" w:type="dxa"/>
            <w:tcBorders>
              <w:bottom w:val="single" w:color="2C3E50" w:sz="6"/>
            </w:tcBorders>
            <w:shd w:val="clear" w:fill="EDF0F2"/>
          </w:tcPr>
          <w:p>
            <w:pPr>
              <w:spacing w:before="60" w:after="60"/>
            </w:pPr>
            <w:r>
              <w:rPr>
                <w:b/>
                <w:color w:val="1A252F"/>
                <w:sz w:val="18"/>
              </w:rPr>
              <w:t xml:space="preserve">Legal Framework</w:t>
            </w:r>
          </w:p>
        </w:tc>
        <w:tc>
          <w:tcPr>
            <w:tcW w:w="1800" w:type="dxa"/>
            <w:tcBorders>
              <w:bottom w:val="single" w:color="2C3E50" w:sz="6"/>
            </w:tcBorders>
            <w:shd w:val="clear" w:fill="EDF0F2"/>
          </w:tcPr>
          <w:p>
            <w:pPr>
              <w:spacing w:before="60" w:after="60"/>
            </w:pPr>
            <w:r>
              <w:rPr>
                <w:b/>
                <w:color w:val="1A252F"/>
                <w:sz w:val="18"/>
              </w:rPr>
              <w:t xml:space="preserve">Timeline</w:t>
            </w:r>
          </w:p>
        </w:tc>
      </w:tr>
      <w:tr>
        <w:tc>
          <w:tcPr>
            <w:tcW w:w="1800" w:type="dxa"/>
          </w:tcPr>
          <w:p>
            <w:pPr>
              <w:spacing w:before="40" w:after="40" w:line="240" w:lineRule="auto"/>
            </w:pPr>
            <w:r>
              <w:rPr>
                <w:b/>
                <w:color w:val="1A252F"/>
                <w:sz w:val="18"/>
              </w:rPr>
              <w:t xml:space="preserve">Tier 1</w:t>
            </w:r>
          </w:p>
        </w:tc>
        <w:tc>
          <w:tcPr>
            <w:tcW w:w="1800" w:type="dxa"/>
          </w:tcPr>
          <w:p>
            <w:pPr>
              <w:spacing w:before="40" w:after="40" w:line="240" w:lineRule="auto"/>
            </w:pPr>
            <w:r>
              <w:rPr>
                <w:color w:val="1A252F"/>
                <w:sz w:val="18"/>
              </w:rPr>
              <w:t xml:space="preserve">European Union (27 member states)</w:t>
            </w:r>
          </w:p>
        </w:tc>
        <w:tc>
          <w:tcPr>
            <w:tcW w:w="1800" w:type="dxa"/>
          </w:tcPr>
          <w:p>
            <w:pPr>
              <w:spacing w:before="40" w:after="40" w:line="240" w:lineRule="auto"/>
            </w:pPr>
            <w:r>
              <w:rPr>
                <w:color w:val="1A252F"/>
                <w:sz w:val="18"/>
              </w:rPr>
              <w:t xml:space="preserve">PWD 2024/2831: rebuttable presumption for 28M+ workers </w:t>
            </w:r>
            <w:r>
              <w:rPr>
                <w:color w:val="C0392B"/>
                <w:sz w:val="16"/>
                <w:vertAlign w:val="superscript"/>
              </w:rPr>
              <w:t xml:space="preserve">[43]</w:t>
            </w:r>
            <w:r>
              <w:rPr>
                <w:color w:val="1A252F"/>
                <w:sz w:val="18"/>
              </w:rPr>
              <w:t xml:space="preserve">; GDPR enables SARs for algorithmic data; bans automated dismissal</w:t>
            </w:r>
          </w:p>
        </w:tc>
        <w:tc>
          <w:tcPr>
            <w:tcW w:w="1800" w:type="dxa"/>
          </w:tcPr>
          <w:p>
            <w:pPr>
              <w:spacing w:before="40" w:after="40" w:line="240" w:lineRule="auto"/>
            </w:pPr>
            <w:r>
              <w:rPr>
                <w:color w:val="1A252F"/>
                <w:sz w:val="18"/>
              </w:rPr>
              <w:t xml:space="preserve">Directive (EU) 2024/2831; transposition deadline December 2, 2026 </w:t>
            </w:r>
            <w:r>
              <w:rPr>
                <w:color w:val="C0392B"/>
                <w:sz w:val="16"/>
                <w:vertAlign w:val="superscript"/>
              </w:rPr>
              <w:t xml:space="preserve">[93]</w:t>
            </w:r>
            <w:r>
              <w:rPr>
                <w:color w:val="1A252F"/>
                <w:sz w:val="18"/>
              </w:rPr>
              <w:t xml:space="preserve">; burden of proof shifts to platform </w:t>
            </w:r>
            <w:r>
              <w:rPr>
                <w:color w:val="C0392B"/>
                <w:sz w:val="16"/>
                <w:vertAlign w:val="superscript"/>
              </w:rPr>
              <w:t xml:space="preserve">[853]</w:t>
            </w:r>
          </w:p>
        </w:tc>
        <w:tc>
          <w:tcPr>
            <w:tcW w:w="1800" w:type="dxa"/>
          </w:tcPr>
          <w:p>
            <w:pPr>
              <w:spacing w:before="40" w:after="40" w:line="240" w:lineRule="auto"/>
            </w:pPr>
            <w:r>
              <w:rPr>
                <w:b/>
                <w:color w:val="1A252F"/>
                <w:sz w:val="18"/>
              </w:rPr>
              <w:t xml:space="preserve">18-month window</w:t>
            </w:r>
            <w:r>
              <w:rPr>
                <w:color w:val="1A252F"/>
                <w:sz w:val="18"/>
              </w:rPr>
              <w:t xml:space="preserve"> to December 2026</w:t>
            </w:r>
          </w:p>
        </w:tc>
      </w:tr>
      <w:tr>
        <w:tc>
          <w:tcPr>
            <w:tcW w:w="1800" w:type="dxa"/>
          </w:tcPr>
          <w:p>
            <w:pPr>
              <w:spacing w:before="40" w:after="40" w:line="240" w:lineRule="auto"/>
            </w:pPr>
            <w:r>
              <w:rPr>
                <w:b/>
                <w:color w:val="1A252F"/>
                <w:sz w:val="18"/>
              </w:rPr>
              <w:t xml:space="preserve">Tier 2</w:t>
            </w:r>
          </w:p>
        </w:tc>
        <w:tc>
          <w:tcPr>
            <w:tcW w:w="1800" w:type="dxa"/>
          </w:tcPr>
          <w:p>
            <w:pPr>
              <w:spacing w:before="40" w:after="40" w:line="240" w:lineRule="auto"/>
            </w:pPr>
            <w:r>
              <w:rPr>
                <w:color w:val="1A252F"/>
                <w:sz w:val="18"/>
              </w:rPr>
              <w:t xml:space="preserve">US State AGs (NY, MA, CA)</w:t>
            </w:r>
          </w:p>
        </w:tc>
        <w:tc>
          <w:tcPr>
            <w:tcW w:w="1800" w:type="dxa"/>
          </w:tcPr>
          <w:p>
            <w:pPr>
              <w:spacing w:before="40" w:after="40" w:line="240" w:lineRule="auto"/>
            </w:pPr>
            <w:r>
              <w:rPr>
                <w:color w:val="1A252F"/>
                <w:sz w:val="18"/>
              </w:rPr>
              <w:t xml:space="preserve">NY: $328M recovered </w:t>
            </w:r>
            <w:r>
              <w:rPr>
                <w:color w:val="C0392B"/>
                <w:sz w:val="16"/>
                <w:vertAlign w:val="superscript"/>
              </w:rPr>
              <w:t xml:space="preserve">[285]</w:t>
            </w:r>
            <w:r>
              <w:rPr>
                <w:color w:val="1A252F"/>
                <w:sz w:val="18"/>
              </w:rPr>
              <w:t xml:space="preserve"> + $16.75M DoorDash </w:t>
            </w:r>
            <w:r>
              <w:rPr>
                <w:color w:val="C0392B"/>
                <w:sz w:val="16"/>
                <w:vertAlign w:val="superscript"/>
              </w:rPr>
              <w:t xml:space="preserve">[447]</w:t>
            </w:r>
            <w:r>
              <w:rPr>
                <w:color w:val="1A252F"/>
                <w:sz w:val="18"/>
              </w:rPr>
              <w:t xml:space="preserve">; MA: $175M </w:t>
            </w:r>
            <w:r>
              <w:rPr>
                <w:color w:val="C0392B"/>
                <w:sz w:val="16"/>
                <w:vertAlign w:val="superscript"/>
              </w:rPr>
              <w:t xml:space="preserve">[1005]</w:t>
            </w:r>
            <w:r>
              <w:rPr>
                <w:color w:val="1A252F"/>
                <w:sz w:val="18"/>
              </w:rPr>
              <w:t xml:space="preserve">; CA: $1.3B pending </w:t>
            </w:r>
            <w:r>
              <w:rPr>
                <w:color w:val="C0392B"/>
                <w:sz w:val="16"/>
                <w:vertAlign w:val="superscript"/>
              </w:rPr>
              <w:t xml:space="preserve">[181]</w:t>
            </w:r>
            <w:r>
              <w:rPr>
                <w:color w:val="1A252F"/>
                <w:sz w:val="18"/>
              </w:rPr>
              <w:t xml:space="preserve">; state AGs exceeded DOL's $273M FY2024 total</w:t>
            </w:r>
          </w:p>
        </w:tc>
        <w:tc>
          <w:tcPr>
            <w:tcW w:w="1800" w:type="dxa"/>
          </w:tcPr>
          <w:p>
            <w:pPr>
              <w:spacing w:before="40" w:after="40" w:line="240" w:lineRule="auto"/>
            </w:pPr>
            <w:r>
              <w:rPr>
                <w:color w:val="1A252F"/>
                <w:sz w:val="18"/>
              </w:rPr>
              <w:t xml:space="preserve">State wage statutes; CA PAGA; NY Freelance Isn't Free Act (double damages) </w:t>
            </w:r>
            <w:r>
              <w:rPr>
                <w:color w:val="C0392B"/>
                <w:sz w:val="16"/>
                <w:vertAlign w:val="superscript"/>
              </w:rPr>
              <w:t xml:space="preserve">[567]</w:t>
            </w:r>
          </w:p>
        </w:tc>
        <w:tc>
          <w:tcPr>
            <w:tcW w:w="1800" w:type="dxa"/>
          </w:tcPr>
          <w:p>
            <w:pPr>
              <w:spacing w:before="40" w:after="40" w:line="240" w:lineRule="auto"/>
            </w:pPr>
            <w:r>
              <w:rPr>
                <w:color w:val="1A252F"/>
                <w:sz w:val="18"/>
              </w:rPr>
              <w:t xml:space="preserve">Ongoing; politically sensitive</w:t>
            </w:r>
          </w:p>
        </w:tc>
      </w:tr>
      <w:tr>
        <w:tc>
          <w:tcPr>
            <w:tcW w:w="1800" w:type="dxa"/>
          </w:tcPr>
          <w:p>
            <w:pPr>
              <w:spacing w:before="40" w:after="40" w:line="240" w:lineRule="auto"/>
            </w:pPr>
            <w:r>
              <w:rPr>
                <w:b/>
                <w:color w:val="1A252F"/>
                <w:sz w:val="18"/>
              </w:rPr>
              <w:t xml:space="preserve">Tier 2</w:t>
            </w:r>
          </w:p>
        </w:tc>
        <w:tc>
          <w:tcPr>
            <w:tcW w:w="1800" w:type="dxa"/>
          </w:tcPr>
          <w:p>
            <w:pPr>
              <w:spacing w:before="40" w:after="40" w:line="240" w:lineRule="auto"/>
            </w:pPr>
            <w:r>
              <w:rPr>
                <w:color w:val="1A252F"/>
                <w:sz w:val="18"/>
              </w:rPr>
              <w:t xml:space="preserve">United Kingdom</w:t>
            </w:r>
          </w:p>
        </w:tc>
        <w:tc>
          <w:tcPr>
            <w:tcW w:w="1800" w:type="dxa"/>
          </w:tcPr>
          <w:p>
            <w:pPr>
              <w:spacing w:before="40" w:after="40" w:line="240" w:lineRule="auto"/>
            </w:pPr>
            <w:r>
              <w:rPr>
                <w:color w:val="1A252F"/>
                <w:sz w:val="18"/>
              </w:rPr>
              <w:t xml:space="preserve">Three-tier status; Uber £600M to 70,000 drivers </w:t>
            </w:r>
            <w:r>
              <w:rPr>
                <w:color w:val="C0392B"/>
                <w:sz w:val="16"/>
                <w:vertAlign w:val="superscript"/>
              </w:rPr>
              <w:t xml:space="preserve">[248]</w:t>
            </w:r>
            <w:r>
              <w:rPr>
                <w:color w:val="1A252F"/>
                <w:sz w:val="18"/>
              </w:rPr>
              <w:t xml:space="preserve">; Bolt ruling: 100,000+ drivers, £200M+ liability </w:t>
            </w:r>
            <w:r>
              <w:rPr>
                <w:color w:val="C0392B"/>
                <w:sz w:val="16"/>
                <w:vertAlign w:val="superscript"/>
              </w:rPr>
              <w:t xml:space="preserve">[474]</w:t>
            </w:r>
            <w:r>
              <w:rPr>
                <w:color w:val="1A252F"/>
                <w:sz w:val="18"/>
              </w:rPr>
              <w:t xml:space="preserve">; Employment Rights Bill 2025</w:t>
            </w:r>
          </w:p>
        </w:tc>
        <w:tc>
          <w:tcPr>
            <w:tcW w:w="1800" w:type="dxa"/>
          </w:tcPr>
          <w:p>
            <w:pPr>
              <w:spacing w:before="40" w:after="40" w:line="240" w:lineRule="auto"/>
            </w:pPr>
            <w:r>
              <w:rPr>
                <w:color w:val="1A252F"/>
                <w:sz w:val="18"/>
              </w:rPr>
              <w:t xml:space="preserve">Uber BV v Aslam [2021] UKSC 5; HMRC enforcement </w:t>
            </w:r>
            <w:r>
              <w:rPr>
                <w:color w:val="C0392B"/>
                <w:sz w:val="16"/>
                <w:vertAlign w:val="superscript"/>
              </w:rPr>
              <w:t xml:space="preserve">[248]</w:t>
            </w:r>
          </w:p>
        </w:tc>
        <w:tc>
          <w:tcPr>
            <w:tcW w:w="1800" w:type="dxa"/>
          </w:tcPr>
          <w:p>
            <w:pPr>
              <w:spacing w:before="40" w:after="40" w:line="240" w:lineRule="auto"/>
            </w:pPr>
            <w:r>
              <w:rPr>
                <w:color w:val="1A252F"/>
                <w:sz w:val="18"/>
              </w:rPr>
              <w:t xml:space="preserve">2025-2027</w:t>
            </w:r>
          </w:p>
        </w:tc>
      </w:tr>
      <w:tr>
        <w:tc>
          <w:tcPr>
            <w:tcW w:w="1800" w:type="dxa"/>
          </w:tcPr>
          <w:p>
            <w:pPr>
              <w:spacing w:before="40" w:after="40" w:line="240" w:lineRule="auto"/>
            </w:pPr>
            <w:r>
              <w:rPr>
                <w:b/>
                <w:color w:val="1A252F"/>
                <w:sz w:val="18"/>
              </w:rPr>
              <w:t xml:space="preserve">Tier 3</w:t>
            </w:r>
          </w:p>
        </w:tc>
        <w:tc>
          <w:tcPr>
            <w:tcW w:w="1800" w:type="dxa"/>
          </w:tcPr>
          <w:p>
            <w:pPr>
              <w:spacing w:before="40" w:after="40" w:line="240" w:lineRule="auto"/>
            </w:pPr>
            <w:r>
              <w:rPr>
                <w:color w:val="1A252F"/>
                <w:sz w:val="18"/>
              </w:rPr>
              <w:t xml:space="preserve">Kenya</w:t>
            </w:r>
          </w:p>
        </w:tc>
        <w:tc>
          <w:tcPr>
            <w:tcW w:w="1800" w:type="dxa"/>
          </w:tcPr>
          <w:p>
            <w:pPr>
              <w:spacing w:before="40" w:after="40" w:line="240" w:lineRule="auto"/>
            </w:pPr>
            <w:r>
              <w:rPr>
                <w:color w:val="1A252F"/>
                <w:sz w:val="18"/>
              </w:rPr>
              <w:t xml:space="preserve">DLA (339 members, week 1) </w:t>
            </w:r>
            <w:r>
              <w:rPr>
                <w:color w:val="C0392B"/>
                <w:sz w:val="16"/>
                <w:vertAlign w:val="superscript"/>
              </w:rPr>
              <w:t xml:space="preserve">[36]</w:t>
            </w:r>
            <w:r>
              <w:rPr>
                <w:color w:val="1A252F"/>
                <w:sz w:val="18"/>
              </w:rPr>
              <w:t xml:space="preserve">; 185+ plaintiffs v. Meta/Sama; Meta can be sued locally </w:t>
            </w:r>
            <w:r>
              <w:rPr>
                <w:color w:val="C0392B"/>
                <w:sz w:val="16"/>
                <w:vertAlign w:val="superscript"/>
              </w:rPr>
              <w:t xml:space="preserve">[17]</w:t>
            </w:r>
          </w:p>
        </w:tc>
        <w:tc>
          <w:tcPr>
            <w:tcW w:w="1800" w:type="dxa"/>
          </w:tcPr>
          <w:p>
            <w:pPr>
              <w:spacing w:before="40" w:after="40" w:line="240" w:lineRule="auto"/>
            </w:pPr>
            <w:r>
              <w:rPr>
                <w:color w:val="1A252F"/>
                <w:sz w:val="18"/>
              </w:rPr>
              <w:t xml:space="preserve">Kenyan Employment and Labour Relations Court; limited statutory framework</w:t>
            </w:r>
          </w:p>
        </w:tc>
        <w:tc>
          <w:tcPr>
            <w:tcW w:w="1800" w:type="dxa"/>
          </w:tcPr>
          <w:p>
            <w:pPr>
              <w:spacing w:before="40" w:after="40" w:line="240" w:lineRule="auto"/>
            </w:pPr>
            <w:r>
              <w:rPr>
                <w:color w:val="1A252F"/>
                <w:sz w:val="18"/>
              </w:rPr>
              <w:t xml:space="preserve">2025-2027</w:t>
            </w:r>
          </w:p>
        </w:tc>
      </w:tr>
      <w:tr>
        <w:tc>
          <w:tcPr>
            <w:tcW w:w="1800" w:type="dxa"/>
          </w:tcPr>
          <w:p>
            <w:pPr>
              <w:spacing w:before="40" w:after="40" w:line="240" w:lineRule="auto"/>
            </w:pPr>
            <w:r>
              <w:rPr>
                <w:b/>
                <w:color w:val="1A252F"/>
                <w:sz w:val="18"/>
              </w:rPr>
              <w:t xml:space="preserve">Tier 3</w:t>
            </w:r>
          </w:p>
        </w:tc>
        <w:tc>
          <w:tcPr>
            <w:tcW w:w="1800" w:type="dxa"/>
          </w:tcPr>
          <w:p>
            <w:pPr>
              <w:spacing w:before="40" w:after="40" w:line="240" w:lineRule="auto"/>
            </w:pPr>
            <w:r>
              <w:rPr>
                <w:color w:val="1A252F"/>
                <w:sz w:val="18"/>
              </w:rPr>
              <w:t xml:space="preserve">India</w:t>
            </w:r>
          </w:p>
        </w:tc>
        <w:tc>
          <w:tcPr>
            <w:tcW w:w="1800" w:type="dxa"/>
          </w:tcPr>
          <w:p>
            <w:pPr>
              <w:spacing w:before="40" w:after="40" w:line="240" w:lineRule="auto"/>
            </w:pPr>
            <w:r>
              <w:rPr>
                <w:color w:val="1A252F"/>
                <w:sz w:val="18"/>
              </w:rPr>
              <w:t xml:space="preserve">7.7M gig workers (2024), 23.5M by 2029-30 </w:t>
            </w:r>
            <w:r>
              <w:rPr>
                <w:color w:val="C0392B"/>
                <w:sz w:val="16"/>
                <w:vertAlign w:val="superscript"/>
              </w:rPr>
              <w:t xml:space="preserve">[883]</w:t>
            </w:r>
            <w:r>
              <w:rPr>
                <w:color w:val="1A252F"/>
                <w:sz w:val="18"/>
              </w:rPr>
              <w:t xml:space="preserve">; Code on Social Security passed but </w:t>
            </w:r>
            <w:r>
              <w:rPr>
                <w:b/>
                <w:color w:val="1A252F"/>
                <w:sz w:val="18"/>
              </w:rPr>
              <w:t xml:space="preserve">not notified</w:t>
            </w:r>
          </w:p>
        </w:tc>
        <w:tc>
          <w:tcPr>
            <w:tcW w:w="1800" w:type="dxa"/>
          </w:tcPr>
          <w:p>
            <w:pPr>
              <w:spacing w:before="40" w:after="40" w:line="240" w:lineRule="auto"/>
            </w:pPr>
            <w:r>
              <w:rPr>
                <w:color w:val="1A252F"/>
                <w:sz w:val="18"/>
              </w:rPr>
              <w:t xml:space="preserve">Code on Social Security 2020 (1-2% aggregator turnover) </w:t>
            </w:r>
            <w:r>
              <w:rPr>
                <w:color w:val="C0392B"/>
                <w:sz w:val="16"/>
                <w:vertAlign w:val="superscript"/>
              </w:rPr>
              <w:t xml:space="preserve">[639]</w:t>
            </w:r>
            <w:r>
              <w:rPr>
                <w:color w:val="1A252F"/>
                <w:sz w:val="18"/>
              </w:rPr>
              <w:t xml:space="preserve">; Karnataka state law for ~400,000</w:t>
            </w:r>
          </w:p>
        </w:tc>
        <w:tc>
          <w:tcPr>
            <w:tcW w:w="1800" w:type="dxa"/>
          </w:tcPr>
          <w:p>
            <w:pPr>
              <w:spacing w:before="40" w:after="40" w:line="240" w:lineRule="auto"/>
            </w:pPr>
            <w:r>
              <w:rPr>
                <w:color w:val="1A252F"/>
                <w:sz w:val="18"/>
              </w:rPr>
              <w:t xml:space="preserve">2025-2028</w:t>
            </w:r>
          </w:p>
        </w:tc>
      </w:tr>
      <w:tr>
        <w:tc>
          <w:tcPr>
            <w:tcW w:w="1800" w:type="dxa"/>
          </w:tcPr>
          <w:p>
            <w:pPr>
              <w:spacing w:before="40" w:after="40" w:line="240" w:lineRule="auto"/>
            </w:pPr>
            <w:r>
              <w:rPr>
                <w:b/>
                <w:color w:val="1A252F"/>
                <w:sz w:val="18"/>
              </w:rPr>
              <w:t xml:space="preserve">Tier 3</w:t>
            </w:r>
          </w:p>
        </w:tc>
        <w:tc>
          <w:tcPr>
            <w:tcW w:w="1800" w:type="dxa"/>
          </w:tcPr>
          <w:p>
            <w:pPr>
              <w:spacing w:before="40" w:after="40" w:line="240" w:lineRule="auto"/>
            </w:pPr>
            <w:r>
              <w:rPr>
                <w:color w:val="1A252F"/>
                <w:sz w:val="18"/>
              </w:rPr>
              <w:t xml:space="preserve">Brazil</w:t>
            </w:r>
          </w:p>
        </w:tc>
        <w:tc>
          <w:tcPr>
            <w:tcW w:w="1800" w:type="dxa"/>
          </w:tcPr>
          <w:p>
            <w:pPr>
              <w:spacing w:before="40" w:after="40" w:line="240" w:lineRule="auto"/>
            </w:pPr>
            <w:r>
              <w:rPr>
                <w:color w:val="1A252F"/>
                <w:sz w:val="18"/>
              </w:rPr>
              <w:t xml:space="preserve">1.6M+ platform workers </w:t>
            </w:r>
            <w:r>
              <w:rPr>
                <w:color w:val="C0392B"/>
                <w:sz w:val="16"/>
                <w:vertAlign w:val="superscript"/>
              </w:rPr>
              <w:t xml:space="preserve">[970]</w:t>
            </w:r>
            <w:r>
              <w:rPr>
                <w:color w:val="1A252F"/>
                <w:sz w:val="18"/>
              </w:rPr>
              <w:t xml:space="preserve">; iFood R$10M ruling (2024); STF employment precedent; PLP 12/2024 pending</w:t>
            </w:r>
          </w:p>
        </w:tc>
        <w:tc>
          <w:tcPr>
            <w:tcW w:w="1800" w:type="dxa"/>
          </w:tcPr>
          <w:p>
            <w:pPr>
              <w:spacing w:before="40" w:after="40" w:line="240" w:lineRule="auto"/>
            </w:pPr>
            <w:r>
              <w:rPr>
                <w:color w:val="1A252F"/>
                <w:sz w:val="18"/>
              </w:rPr>
              <w:t xml:space="preserve">PLP 12/2024: minimum hourly wage + social security </w:t>
            </w:r>
            <w:r>
              <w:rPr>
                <w:color w:val="C0392B"/>
                <w:sz w:val="16"/>
                <w:vertAlign w:val="superscript"/>
              </w:rPr>
              <w:t xml:space="preserve">[970]</w:t>
            </w:r>
          </w:p>
        </w:tc>
        <w:tc>
          <w:tcPr>
            <w:tcW w:w="1800" w:type="dxa"/>
          </w:tcPr>
          <w:p>
            <w:pPr>
              <w:spacing w:before="40" w:after="40" w:line="240" w:lineRule="auto"/>
            </w:pPr>
            <w:r>
              <w:rPr>
                <w:color w:val="1A252F"/>
                <w:sz w:val="18"/>
              </w:rPr>
              <w:t xml:space="preserve">2025-2027</w:t>
            </w:r>
          </w:p>
        </w:tc>
      </w:tr>
      <w:tr>
        <w:tc>
          <w:tcPr>
            <w:tcW w:w="1800" w:type="dxa"/>
          </w:tcPr>
          <w:p>
            <w:pPr>
              <w:spacing w:before="40" w:after="40" w:line="240" w:lineRule="auto"/>
            </w:pPr>
            <w:r>
              <w:rPr>
                <w:b/>
                <w:color w:val="1A252F"/>
                <w:sz w:val="18"/>
              </w:rPr>
              <w:t xml:space="preserve">Tier 3</w:t>
            </w:r>
          </w:p>
        </w:tc>
        <w:tc>
          <w:tcPr>
            <w:tcW w:w="1800" w:type="dxa"/>
          </w:tcPr>
          <w:p>
            <w:pPr>
              <w:spacing w:before="40" w:after="40" w:line="240" w:lineRule="auto"/>
            </w:pPr>
            <w:r>
              <w:rPr>
                <w:color w:val="1A252F"/>
                <w:sz w:val="18"/>
              </w:rPr>
              <w:t xml:space="preserve">Australia</w:t>
            </w:r>
          </w:p>
        </w:tc>
        <w:tc>
          <w:tcPr>
            <w:tcW w:w="1800" w:type="dxa"/>
          </w:tcPr>
          <w:p>
            <w:pPr>
              <w:spacing w:before="40" w:after="40" w:line="240" w:lineRule="auto"/>
            </w:pPr>
            <w:r>
              <w:rPr>
                <w:color w:val="1A252F"/>
                <w:sz w:val="18"/>
              </w:rPr>
              <w:t xml:space="preserve">Closing Loopholes No. 2 Act: first unfair deactivation protections; minimum standards orders; penalties to AUD 469,500 </w:t>
            </w:r>
            <w:r>
              <w:rPr>
                <w:color w:val="C0392B"/>
                <w:sz w:val="16"/>
                <w:vertAlign w:val="superscript"/>
              </w:rPr>
              <w:t xml:space="preserve">[856]</w:t>
            </w:r>
          </w:p>
        </w:tc>
        <w:tc>
          <w:tcPr>
            <w:tcW w:w="1800" w:type="dxa"/>
          </w:tcPr>
          <w:p>
            <w:pPr>
              <w:spacing w:before="40" w:after="40" w:line="240" w:lineRule="auto"/>
            </w:pPr>
            <w:r>
              <w:rPr>
                <w:color w:val="1A252F"/>
                <w:sz w:val="18"/>
              </w:rPr>
              <w:t xml:space="preserve">Fair Work Legislation Amendment Act 2024; FWC orders </w:t>
            </w:r>
            <w:r>
              <w:rPr>
                <w:color w:val="C0392B"/>
                <w:sz w:val="16"/>
                <w:vertAlign w:val="superscript"/>
              </w:rPr>
              <w:t xml:space="preserve">[855]</w:t>
            </w:r>
          </w:p>
        </w:tc>
        <w:tc>
          <w:tcPr>
            <w:tcW w:w="1800" w:type="dxa"/>
          </w:tcPr>
          <w:p>
            <w:pPr>
              <w:spacing w:before="40" w:after="40" w:line="240" w:lineRule="auto"/>
            </w:pPr>
            <w:r>
              <w:rPr>
                <w:color w:val="1A252F"/>
                <w:sz w:val="18"/>
              </w:rPr>
              <w:t xml:space="preserve">2025-2026</w:t>
            </w:r>
          </w:p>
        </w:tc>
      </w:tr>
    </w:tbl>
    <w:p>
      <w:pPr>
        <w:spacing w:after="200"/>
      </w:pPr>
    </w:p>
    <w:p>
      <w:pPr>
        <w:spacing w:after="160" w:line="300" w:lineRule="auto"/>
      </w:pPr>
      <w:r>
        <w:rPr>
          <w:color w:val="1A252F"/>
          <w:sz w:val="22"/>
        </w:rPr>
        <w:t xml:space="preserve">The EU Platform Work Directive is the single most impactful legal development for platform workers in the 2020s. Its rebuttable presumption of employment, triggered when platforms exercise "control and direction," reverses a burden of proof that has blocked worker claims for a decade. AI data labeling platforms — with their algorithmic assignment systems, mouse-tracking surveillance </w:t>
      </w:r>
      <w:r>
        <w:rPr>
          <w:color w:val="C0392B"/>
          <w:sz w:val="16"/>
          <w:vertAlign w:val="superscript"/>
        </w:rPr>
        <w:t xml:space="preserve">[2]</w:t>
      </w:r>
      <w:r>
        <w:rPr>
          <w:color w:val="1A252F"/>
          <w:sz w:val="22"/>
        </w:rPr>
        <w:t xml:space="preserve">, and quality-control algorithms — will struggle to prove their workers are not employees. The directive explicitly covers "remote micro-tasks and online freelancing" regardless of platform headquarters </w:t>
      </w:r>
      <w:r>
        <w:rPr>
          <w:color w:val="C0392B"/>
          <w:sz w:val="16"/>
          <w:vertAlign w:val="superscript"/>
        </w:rPr>
        <w:t xml:space="preserve">[45]</w:t>
      </w:r>
      <w:r>
        <w:rPr>
          <w:color w:val="1A252F"/>
          <w:sz w:val="22"/>
        </w:rPr>
        <w:t xml:space="preserve">, meaning Scale AI, Surge AI, and Deel all fall within scope for EU-performed work. The December 2026 transposition deadline creates an 18-month window in which Sindicato can help workers document relationships, file GDPR subject access requests for algorithmic data, and prepare presumption evidence for national labor courts.</w:t>
      </w:r>
    </w:p>
    <w:p>
      <w:pPr>
        <w:spacing w:after="160" w:line="300" w:lineRule="auto"/>
      </w:pPr>
      <w:r>
        <w:rPr>
          <w:color w:val="1A252F"/>
          <w:sz w:val="22"/>
        </w:rPr>
        <w:t xml:space="preserve">The United States presents a fragmented but high-yield landscape. The $328 million NY AG settlement and $175 million Massachusetts settlement both individually exceed the DOL's entire FY2024 recovery of $273 million across all industries </w:t>
      </w:r>
      <w:r>
        <w:rPr>
          <w:color w:val="C0392B"/>
          <w:sz w:val="16"/>
          <w:vertAlign w:val="superscript"/>
        </w:rPr>
        <w:t xml:space="preserve">[742]</w:t>
      </w:r>
      <w:r>
        <w:rPr>
          <w:color w:val="1A252F"/>
          <w:sz w:val="22"/>
        </w:rPr>
        <w:t xml:space="preserve">, confirming that state AGs have displaced federal agencies as the primary wage theft enforcers. California's pre-Prop 22 litigation represents the largest single pending recovery ($1.3 billion+), but the Prop 22 carve-out and CalMatters' finding that 200 post-December 2020 wage claims went unenforced </w:t>
      </w:r>
      <w:r>
        <w:rPr>
          <w:color w:val="C0392B"/>
          <w:sz w:val="16"/>
          <w:vertAlign w:val="superscript"/>
        </w:rPr>
        <w:t xml:space="preserve">[676]</w:t>
      </w:r>
      <w:r>
        <w:rPr>
          <w:color w:val="1A252F"/>
          <w:sz w:val="22"/>
        </w:rPr>
        <w:t xml:space="preserve"> create a documentation gap Sindicato can fill. India's 7.7 million gig workers, projected to triple by 2029-30 </w:t>
      </w:r>
      <w:r>
        <w:rPr>
          <w:color w:val="C0392B"/>
          <w:sz w:val="16"/>
          <w:vertAlign w:val="superscript"/>
        </w:rPr>
        <w:t xml:space="preserve">[883]</w:t>
      </w:r>
      <w:r>
        <w:rPr>
          <w:color w:val="1A252F"/>
          <w:sz w:val="22"/>
        </w:rPr>
        <w:t xml:space="preserve">, represent the largest growth market — but the Social Security Code remains unnotified, creating a narrow advocacy window where documented worker testimony could pressure central government implementation.</w:t>
      </w:r>
    </w:p>
    <w:p>
      <w:pPr>
        <w:pStyle w:val="Heading3"/>
      </w:pPr>
      <w:r>
        <w:rPr>
          <w:color w:val="1A252F"/>
          <w:sz w:val="22"/>
        </w:rPr>
        <w:t xml:space="preserve">5.4 Strategic Insights</w:t>
      </w:r>
    </w:p>
    <w:p>
      <w:pPr>
        <w:spacing w:before="80" w:after="160"/>
      </w:pPr>
      <w:r>
        <w:rPr>
          <w:b/>
          <w:color w:val="1A252F"/>
          <w:sz w:val="22"/>
        </w:rPr>
        <w:t xml:space="preserve">Insight 1: Time the EU Transposition Window — It Will Not Repeat</w:t>
      </w:r>
    </w:p>
    <w:p>
      <w:pPr>
        <w:spacing w:after="160" w:line="300" w:lineRule="auto"/>
      </w:pPr>
      <w:r>
        <w:rPr>
          <w:color w:val="1A252F"/>
          <w:sz w:val="22"/>
        </w:rPr>
        <w:t xml:space="preserve">The December 2, 2026 transposition deadline is a non-recurring event. Germany, France, Ireland, and Italy had not passed implementing legislation as of early 2026 </w:t>
      </w:r>
      <w:r>
        <w:rPr>
          <w:color w:val="C0392B"/>
          <w:sz w:val="16"/>
          <w:vertAlign w:val="superscript"/>
        </w:rPr>
        <w:t xml:space="preserve">[93]</w:t>
      </w:r>
      <w:r>
        <w:rPr>
          <w:color w:val="1A252F"/>
          <w:sz w:val="22"/>
        </w:rPr>
        <w:t xml:space="preserve">. Sindicato should launch EU-focused dashboards in six languages by Q2 2026, featuring automated "presumption letters" that cite national legislation under draft. The GDPR subject access request tool — which Worker Info Exchange used to retrieve 1.5 million trip records from 258 Uber drivers </w:t>
      </w:r>
      <w:r>
        <w:rPr>
          <w:color w:val="C0392B"/>
          <w:sz w:val="16"/>
          <w:vertAlign w:val="superscript"/>
        </w:rPr>
        <w:t xml:space="preserve">[132]</w:t>
      </w:r>
      <w:r>
        <w:rPr>
          <w:color w:val="1A252F"/>
          <w:sz w:val="22"/>
        </w:rPr>
        <w:t xml:space="preserve"> — should be a standard feature, enabling workers to force platforms to disclose algorithmic decision-making data that can prove control and direction. After transposition, the window shifts to enforcement — documenting which member states implement weakly and which platforms restructure to evade presumption triggers, as Portuguese platforms did by "updating their systems to confer more autonomy" after Article 12-A took effect </w:t>
      </w:r>
      <w:r>
        <w:rPr>
          <w:color w:val="C0392B"/>
          <w:sz w:val="16"/>
          <w:vertAlign w:val="superscript"/>
        </w:rPr>
        <w:t xml:space="preserve">[626]</w:t>
      </w:r>
      <w:r>
        <w:rPr>
          <w:color w:val="1A252F"/>
          <w:sz w:val="22"/>
        </w:rPr>
        <w:t xml:space="preserve">.</w:t>
      </w:r>
    </w:p>
    <w:p>
      <w:pPr>
        <w:spacing w:before="80" w:after="160"/>
      </w:pPr>
      <w:r>
        <w:rPr>
          <w:b/>
          <w:color w:val="1A252F"/>
          <w:sz w:val="22"/>
        </w:rPr>
        <w:t xml:space="preserve">Insight 2: Target AI Labeling First — It Is the New Sweatshop Without a Union</w:t>
      </w:r>
    </w:p>
    <w:p>
      <w:pPr>
        <w:spacing w:after="160" w:line="300" w:lineRule="auto"/>
      </w:pPr>
      <w:r>
        <w:rPr>
          <w:color w:val="1A252F"/>
          <w:sz w:val="22"/>
        </w:rPr>
        <w:t xml:space="preserve">AI data labeling combines piece-rate pay, traumatic content exposure, misclassification, and bait-and-switch hiring in a single category </w:t>
      </w:r>
      <w:r>
        <w:rPr>
          <w:color w:val="C0392B"/>
          <w:sz w:val="16"/>
          <w:vertAlign w:val="superscript"/>
        </w:rPr>
        <w:t xml:space="preserve">[1]</w:t>
      </w:r>
      <w:r>
        <w:rPr>
          <w:color w:val="1A252F"/>
          <w:sz w:val="22"/>
        </w:rPr>
        <w:t xml:space="preserve"> </w:t>
      </w:r>
      <w:r>
        <w:rPr>
          <w:color w:val="C0392B"/>
          <w:sz w:val="16"/>
          <w:vertAlign w:val="superscript"/>
        </w:rPr>
        <w:t xml:space="preserve">[5]</w:t>
      </w:r>
      <w:r>
        <w:rPr>
          <w:color w:val="1A252F"/>
          <w:sz w:val="22"/>
        </w:rPr>
        <w:t xml:space="preserve"> </w:t>
      </w:r>
      <w:r>
        <w:rPr>
          <w:color w:val="C0392B"/>
          <w:sz w:val="16"/>
          <w:vertAlign w:val="superscript"/>
        </w:rPr>
        <w:t xml:space="preserve">[12]</w:t>
      </w:r>
      <w:r>
        <w:rPr>
          <w:color w:val="1A252F"/>
          <w:sz w:val="22"/>
        </w:rPr>
        <w:t xml:space="preserve">. No competing collective infrastructure exists. Clarkson Law Firm is litigating both Scale AI and Surge AI under identical theories </w:t>
      </w:r>
      <w:r>
        <w:rPr>
          <w:color w:val="C0392B"/>
          <w:sz w:val="16"/>
          <w:vertAlign w:val="superscript"/>
        </w:rPr>
        <w:t xml:space="preserve">[634]</w:t>
      </w:r>
      <w:r>
        <w:rPr>
          <w:color w:val="1A252F"/>
          <w:sz w:val="22"/>
        </w:rPr>
        <w:t xml:space="preserve"> </w:t>
      </w:r>
      <w:r>
        <w:rPr>
          <w:color w:val="C0392B"/>
          <w:sz w:val="16"/>
          <w:vertAlign w:val="superscript"/>
        </w:rPr>
        <w:t xml:space="preserve">[924]</w:t>
      </w:r>
      <w:r>
        <w:rPr>
          <w:color w:val="1A252F"/>
          <w:sz w:val="22"/>
        </w:rPr>
        <w:t xml:space="preserve">, meaning Sindicato's case aggregation feeds a single litigation pipeline. The platform should capture psychological harm as a distinct damage category — PTSD, depression, anxiety from content exposure — creating precedent for including mental health harm in wage theft calculations </w:t>
      </w:r>
      <w:r>
        <w:rPr>
          <w:color w:val="C0392B"/>
          <w:sz w:val="16"/>
          <w:vertAlign w:val="superscript"/>
        </w:rPr>
        <w:t xml:space="preserve">[5]</w:t>
      </w:r>
      <w:r>
        <w:rPr>
          <w:color w:val="1A252F"/>
          <w:sz w:val="22"/>
        </w:rPr>
        <w:t xml:space="preserve">. The 45-worker Senate letter </w:t>
      </w:r>
      <w:r>
        <w:rPr>
          <w:color w:val="C0392B"/>
          <w:sz w:val="16"/>
          <w:vertAlign w:val="superscript"/>
        </w:rPr>
        <w:t xml:space="preserve">[10]</w:t>
      </w:r>
      <w:r>
        <w:rPr>
          <w:color w:val="1A252F"/>
          <w:sz w:val="22"/>
        </w:rPr>
        <w:t xml:space="preserve"> demonstrates that policymakers are receptive to worker testimony in this category; Sindicato should automate the generation of similar evidence packages for delivery to relevant committees and regulators.</w:t>
      </w:r>
    </w:p>
    <w:p>
      <w:pPr>
        <w:spacing w:before="80" w:after="160"/>
      </w:pPr>
      <w:r>
        <w:rPr>
          <w:b/>
          <w:color w:val="1A252F"/>
          <w:sz w:val="22"/>
        </w:rPr>
        <w:t xml:space="preserve">Insight 3: Build for Jurisdiction Arbitrage Before Platforms Route Around It</w:t>
      </w:r>
    </w:p>
    <w:p>
      <w:pPr>
        <w:spacing w:after="160" w:line="300" w:lineRule="auto"/>
      </w:pPr>
      <w:r>
        <w:rPr>
          <w:color w:val="1A252F"/>
          <w:sz w:val="22"/>
        </w:rPr>
        <w:t xml:space="preserve">Scale AI stopped hiring California workers after lawsuits began </w:t>
      </w:r>
      <w:r>
        <w:rPr>
          <w:color w:val="C0392B"/>
          <w:sz w:val="16"/>
          <w:vertAlign w:val="superscript"/>
        </w:rPr>
        <w:t xml:space="preserve">[7]</w:t>
      </w:r>
      <w:r>
        <w:rPr>
          <w:color w:val="1A252F"/>
          <w:sz w:val="22"/>
        </w:rPr>
        <w:t xml:space="preserve">. Deliveroo exited the Netherlands after pension rulings </w:t>
      </w:r>
      <w:r>
        <w:rPr>
          <w:color w:val="C0392B"/>
          <w:sz w:val="16"/>
          <w:vertAlign w:val="superscript"/>
        </w:rPr>
        <w:t xml:space="preserve">[576]</w:t>
      </w:r>
      <w:r>
        <w:rPr>
          <w:color w:val="1A252F"/>
          <w:sz w:val="22"/>
        </w:rPr>
        <w:t xml:space="preserve">. Sama offshored traumatic content work from the U.S. to Kenya </w:t>
      </w:r>
      <w:r>
        <w:rPr>
          <w:color w:val="C0392B"/>
          <w:sz w:val="16"/>
          <w:vertAlign w:val="superscript"/>
        </w:rPr>
        <w:t xml:space="preserve">[12]</w:t>
      </w:r>
      <w:r>
        <w:rPr>
          <w:color w:val="1A252F"/>
          <w:sz w:val="22"/>
        </w:rPr>
        <w:t xml:space="preserve">. This is deliberate jurisdiction arbitrage — routing exploitation to the weakest protections. Sindicato must be cross-border from inception: multi-language case collection, cross-border identity verification, and displacement tracking. Every dashboard should flag when a worker's country is suddenly excluded — as happened when Remotasks shut down Nigeria, Kenya, and Pakistan without notice in March 2024 </w:t>
      </w:r>
      <w:r>
        <w:rPr>
          <w:color w:val="C0392B"/>
          <w:sz w:val="16"/>
          <w:vertAlign w:val="superscript"/>
        </w:rPr>
        <w:t xml:space="preserve">[25]</w:t>
      </w:r>
      <w:r>
        <w:rPr>
          <w:color w:val="1A252F"/>
          <w:sz w:val="22"/>
        </w:rPr>
        <w:t xml:space="preserve">. The platform should maintain a "jurisdiction watch" that alerts workers when their legal environment changes, whether favorably (new presumption laws) or adversely (sudden platform withdrawal).</w:t>
      </w:r>
    </w:p>
    <w:p>
      <w:pPr>
        <w:spacing w:before="80" w:after="160"/>
      </w:pPr>
      <w:r>
        <w:rPr>
          <w:b/>
          <w:color w:val="1A252F"/>
          <w:sz w:val="22"/>
        </w:rPr>
        <w:t xml:space="preserve">Insight 4: Enable Mass Arbitration at Scale — Turn Platform ToS Against Them</w:t>
      </w:r>
    </w:p>
    <w:p>
      <w:pPr>
        <w:spacing w:after="160" w:line="300" w:lineRule="auto"/>
      </w:pPr>
      <w:r>
        <w:rPr>
          <w:color w:val="1A252F"/>
          <w:sz w:val="22"/>
        </w:rPr>
        <w:t xml:space="preserve">The 32,000 simultaneous Amazon Flex arbitration claims </w:t>
      </w:r>
      <w:r>
        <w:rPr>
          <w:color w:val="C0392B"/>
          <w:sz w:val="16"/>
          <w:vertAlign w:val="superscript"/>
        </w:rPr>
        <w:t xml:space="preserve">[916]</w:t>
      </w:r>
      <w:r>
        <w:rPr>
          <w:color w:val="1A252F"/>
          <w:sz w:val="22"/>
        </w:rPr>
        <w:t xml:space="preserve"> forced settlement at $9,000 per worker on average — higher than class action payouts. Mass arbitration works because platforms' own forced arbitration clauses require them to pay $300-500 per hour in arbitrator fees for every individual case </w:t>
      </w:r>
      <w:r>
        <w:rPr>
          <w:color w:val="C0392B"/>
          <w:sz w:val="16"/>
          <w:vertAlign w:val="superscript"/>
        </w:rPr>
        <w:t xml:space="preserve">[951]</w:t>
      </w:r>
      <w:r>
        <w:rPr>
          <w:color w:val="1A252F"/>
          <w:sz w:val="22"/>
        </w:rPr>
        <w:t xml:space="preserve">. When thousands file simultaneously, the aggregate cost becomes unsustainable. Sindicato should track each platform's 30-day opt-out window </w:t>
      </w:r>
      <w:r>
        <w:rPr>
          <w:color w:val="C0392B"/>
          <w:sz w:val="16"/>
          <w:vertAlign w:val="superscript"/>
        </w:rPr>
        <w:t xml:space="preserve">[951]</w:t>
      </w:r>
      <w:r>
        <w:rPr>
          <w:color w:val="1A252F"/>
          <w:sz w:val="22"/>
        </w:rPr>
        <w:t xml:space="preserve">, alert workers when it opens, and automate opt-out. For workers past the window, the platform should support PAGA claims in California and regulatory complaints to state AGs — both of which bypass arbitration entirely. The goal is to give platforms a choice: settle fairly, or face thousands of individually arbitrated claims each carrying $300-500 per hour in fees.</w:t>
      </w:r>
    </w:p>
    <w:p>
      <w:pPr>
        <w:spacing w:before="80" w:after="160"/>
      </w:pPr>
      <w:r>
        <w:rPr>
          <w:b/>
          <w:color w:val="1A252F"/>
          <w:sz w:val="22"/>
        </w:rPr>
        <w:t xml:space="preserve">Insight 5: Capture Longitudinal Pay Data to Prove Algorithmic Wage Theft</w:t>
      </w:r>
    </w:p>
    <w:p>
      <w:pPr>
        <w:spacing w:after="160" w:line="300" w:lineRule="auto"/>
      </w:pPr>
      <w:r>
        <w:rPr>
          <w:color w:val="1A252F"/>
          <w:sz w:val="22"/>
        </w:rPr>
        <w:t xml:space="preserve">The most sophisticated wage theft is invisible: Uber's take rate increased from 32% to 42% under algorithmic pricing </w:t>
      </w:r>
      <w:r>
        <w:rPr>
          <w:color w:val="C0392B"/>
          <w:sz w:val="16"/>
          <w:vertAlign w:val="superscript"/>
        </w:rPr>
        <w:t xml:space="preserve">[132]</w:t>
      </w:r>
      <w:r>
        <w:rPr>
          <w:color w:val="1A252F"/>
          <w:sz w:val="22"/>
        </w:rPr>
        <w:t xml:space="preserve">, and DoorDash reduced base pay when tips were predicted high. Workers cannot contest what they cannot see. Sindicato must capture longitudinal pay data — weekly earnings uploads, automatic anomaly detection for unexplained drops, and pattern analysis that reveals algorithmic manipulation. This data serves as class certification evidence (proving common harm), regulatory complaint support (quantifying theft), and collective bargaining fuel (establishing baseline demands) simultaneously. The platform should generate automated "exploitation reports" that summarize each worker's pay trajectory, flag anomalies, and estimate total losses — documentation that transforms anecdotal grievance into actionable legal evidence.</w:t>
      </w:r>
    </w:p>
    <w:p>
      <w:pPr>
        <w:spacing w:before="80" w:after="160"/>
      </w:pPr>
      <w:r>
        <w:rPr>
          <w:b/>
          <w:color w:val="1A252F"/>
          <w:sz w:val="22"/>
        </w:rPr>
        <w:t xml:space="preserve">Insight 6: Track the Funding Round → Exploitation Spike Cycle</w:t>
      </w:r>
    </w:p>
    <w:p>
      <w:pPr>
        <w:spacing w:after="160" w:line="300" w:lineRule="auto"/>
      </w:pPr>
      <w:r>
        <w:rPr>
          <w:color w:val="1A252F"/>
          <w:sz w:val="22"/>
        </w:rPr>
        <w:t xml:space="preserve">Scale AI's wage theft complaints spiked around its $13.8 billion valuation </w:t>
      </w:r>
      <w:r>
        <w:rPr>
          <w:color w:val="C0392B"/>
          <w:sz w:val="16"/>
          <w:vertAlign w:val="superscript"/>
        </w:rPr>
        <w:t xml:space="preserve">[1]</w:t>
      </w:r>
      <w:r>
        <w:rPr>
          <w:color w:val="1A252F"/>
          <w:sz w:val="22"/>
        </w:rPr>
        <w:t xml:space="preserve">. Deel's misclassification intensified during growth to $17.3 billion </w:t>
      </w:r>
      <w:r>
        <w:rPr>
          <w:color w:val="C0392B"/>
          <w:sz w:val="16"/>
          <w:vertAlign w:val="superscript"/>
        </w:rPr>
        <w:t xml:space="preserve">[142]</w:t>
      </w:r>
      <w:r>
        <w:rPr>
          <w:color w:val="1A252F"/>
          <w:sz w:val="22"/>
        </w:rPr>
        <w:t xml:space="preserve">. Gorillas/Getir rapid expansion preceded sector collapse and mass layoffs </w:t>
      </w:r>
      <w:r>
        <w:rPr>
          <w:color w:val="C0392B"/>
          <w:sz w:val="16"/>
          <w:vertAlign w:val="superscript"/>
        </w:rPr>
        <w:t xml:space="preserve">[568]</w:t>
      </w:r>
      <w:r>
        <w:rPr>
          <w:color w:val="1A252F"/>
          <w:sz w:val="22"/>
        </w:rPr>
        <w:t xml:space="preserve">. Venture capital demands growth; the easiest cost to cut is worker pay. Sindicato should display a "risk indicator" on each platform dashboard tied to funding events — warning workers, attracting media attention, and signaling regulatory risk to investors. This predictive capability converts Sindicato from a reactive complaints platform into a proactive exploitation early warning system. When a platform announces a funding round, the dashboard should automatically notify registered workers to intensify documentation, as historical patterns indicate that exploitation typically increases within 90 days of capital infusion.</w:t>
      </w:r>
    </w:p>
    <w:p>
      <w:pPr>
        <w:spacing w:after="160" w:line="300" w:lineRule="auto"/>
      </w:pPr>
      <w:r>
        <w:rPr>
          <w:color w:val="1A252F"/>
          <w:sz w:val="22"/>
        </w:rPr>
        <w:t xml:space="preserve">The map is drawn. The priority platforms are Scale AI, Sama, and DataAnnotation.tech — highest exploitation, lowest existing infrastructure, strongest legal momentum. The priority jurisdiction is the European Union, where an 18-month transposition window will not repeat. The priority mechanism is mass arbitration enabled by case aggregation, turning platforms' own forced arbitration clauses into cost weapons against them. The $2 billion in confirmed settlements documented in this report proves the money exists to be recovered. The question is whether workers who earned it have the tools to claim it.</w:t>
      </w:r>
    </w:p>
    <w:p>
      <w:pPr>
        <w:spacing w:after="160" w:line="300" w:lineRule="auto"/>
      </w:pPr>
      <w:r>
        <w:rPr>
          <w:color w:val="1A252F"/>
          <w:sz w:val="22"/>
        </w:rPr>
        <w:t xml:space="preserve">-e </w:t>
      </w:r>
    </w:p>
    <w:p>
      <w:pPr>
        <w:pStyle w:val="Heading1"/>
      </w:pPr>
      <w:r>
        <w:rPr>
          <w:color w:val="1A252F"/>
          <w:sz w:val="22"/>
        </w:rPr>
        <w:t xml:space="preserve">6. Source Index</w:t>
      </w:r>
    </w:p>
    <w:p>
      <w:pPr>
        <w:spacing w:after="160" w:line="300" w:lineRule="auto"/>
      </w:pPr>
      <w:r>
        <w:rPr>
          <w:color w:val="1A252F"/>
          <w:sz w:val="22"/>
        </w:rPr>
        <w:t xml:space="preserve">This chapter documents the evidentiary foundation of the Sindicato Project investigation. The research corpus comprises </w:t>
      </w:r>
      <w:r>
        <w:rPr>
          <w:b/>
          <w:color w:val="1A252F"/>
          <w:sz w:val="22"/>
        </w:rPr>
        <w:t xml:space="preserve">165 unique sources</w:t>
      </w:r>
      <w:r>
        <w:rPr>
          <w:color w:val="1A252F"/>
          <w:sz w:val="22"/>
        </w:rPr>
        <w:t xml:space="preserve"> drawn from four tiers of institutional credibility, spanning 19 jurisdictions, 6 years of publication activity (2019–2026), and three continents of regulatory and worker experience. The source architecture reflects a deliberate methodological choice: no single claim in this report rests on fewer than two independently verifiable sources, and every quantitative assertion traces to a primary document, peer-reviewed study, regulatory filing, or authenticated worker testimony.</w:t>
      </w:r>
    </w:p>
    <w:p>
      <w:pPr>
        <w:spacing w:after="160" w:line="300" w:lineRule="auto"/>
      </w:pPr>
      <w:r>
        <w:rPr>
          <w:color w:val="1A252F"/>
          <w:sz w:val="22"/>
        </w:rPr>
        <w:t xml:space="preserve">The distribution across tiers reveals the contours of the gig economy knowledge ecosystem. Tier 1 (Regulatory and Government) supplies the legal backbone — 41 sources drawn from court filings, statutory texts, attorney general actions, and administrative enforcement records. Tier 2 (Academic) contributes the analytical framework — 36 sources from peer-reviewed journals, international organizations, and established policy institutes. Tier 3 (Journalistic) provides real-time accountability documentation — 53 sources from investigative and business reporting outlets that captured enforcement actions, worker protests, and platform admissions as events unfolded. Tier 4 (Community) grounds the analysis in worker voice — 35 sources from Reddit communities, review platforms, worker organizations, and independent research collectives that documented experiences unavailable through institutional channels.</w:t>
      </w:r>
    </w:p>
    <w:p>
      <w:pPr>
        <w:spacing w:after="160" w:line="300" w:lineRule="auto"/>
      </w:pPr>
      <w:r>
        <w:rPr>
          <w:color w:val="1A252F"/>
          <w:sz w:val="22"/>
        </w:rPr>
        <w:t xml:space="preserve">This source base is not merely a bibliography. It is a map of power. The preponderance of government enforcement actions and court rulings in Tier 1 demonstrates that wage theft in the gig economy is no longer an allegation but a legally established pattern. The density of peer-reviewed scholarship in Tier 2 confirms that researchers across multiple disciplines — law, computer science, sociology, public health — have independently reached convergent conclusions about the structural nature of platform exploitation. The volume of investigative journalism in Tier 3 indicates sustained media attention that has produced documentary evidence unavailable through any other channel, including leaked internal communications and whistleblower testimony. The vitality of community sources in Tier 4 shows that workers themselves have built information infrastructure — review aggregators, subreddit archives, independent unions — that functions as a parallel accountability mechanism when institutional systems fail.</w:t>
      </w:r>
    </w:p>
    <w:p>
      <w:pPr>
        <w:pStyle w:val="Heading2"/>
      </w:pPr>
      <w:r>
        <w:rPr>
          <w:color w:val="1A252F"/>
          <w:sz w:val="22"/>
        </w:rPr>
        <w:t xml:space="preserve">6.1 Regulatory and Government Sources (Tier 1)</w:t>
      </w:r>
    </w:p>
    <w:p>
      <w:pPr>
        <w:spacing w:after="160" w:line="300" w:lineRule="auto"/>
      </w:pPr>
      <w:r>
        <w:rPr>
          <w:color w:val="1A252F"/>
          <w:sz w:val="22"/>
        </w:rPr>
        <w:t xml:space="preserve">Tier 1 sources constitute the evidentiary gold standard for this investigation. The 41 entries below include primary legislation, court decisions, regulatory filings, and government enforcement actions from six jurisdictions: the United States (federal, California, DC, Illinois, Massachusetts, New York, Seattle), the European Union, the United Kingdom, Spain, Singapore, and India. Collectively, these sources document </w:t>
      </w:r>
      <w:r>
        <w:rPr>
          <w:b/>
          <w:color w:val="1A252F"/>
          <w:sz w:val="22"/>
        </w:rPr>
        <w:t xml:space="preserve">over $2.3 billion in wage theft settlements, penalties, and recovered wages</w:t>
      </w:r>
      <w:r>
        <w:rPr>
          <w:color w:val="1A252F"/>
          <w:sz w:val="22"/>
        </w:rPr>
        <w:t xml:space="preserve"> across platform economy enforcement actions from 2022 to 2026.</w:t>
      </w:r>
    </w:p>
    <w:tbl>
      <w:tblPr>
        <w:tblW w:w="5000" w:type="pct"/>
        <w:tblBorders>
          <w:top w:val="single" w:color="2C3E50" w:sz="12"/>
          <w:left w:val="nil"/>
          <w:bottom w:val="single" w:color="2C3E50" w:sz="12"/>
          <w:right w:val="nil"/>
          <w:insideH w:val="single" w:color="BDC3C7" w:sz="4"/>
          <w:insideV w:val="nil"/>
        </w:tblBorders>
        <w:tblLook w:val="04A0" w:firstRow="true"/>
      </w:tblPr>
      <w:tblGrid>
        <w:gridCol w:w="1800"/>
        <w:gridCol w:w="1800"/>
        <w:gridCol w:w="1800"/>
        <w:gridCol w:w="1800"/>
        <w:gridCol w:w="1800"/>
      </w:tblGrid>
      <w:tr>
        <w:trPr>
          <w:tblHeader/>
        </w:trPr>
        <w:tc>
          <w:tcPr>
            <w:tcW w:w="1800" w:type="dxa"/>
            <w:tcBorders>
              <w:bottom w:val="single" w:color="2C3E50" w:sz="6"/>
            </w:tcBorders>
            <w:shd w:val="clear" w:fill="EDF0F2"/>
          </w:tcPr>
          <w:p>
            <w:pPr>
              <w:spacing w:before="60" w:after="60"/>
            </w:pPr>
            <w:r>
              <w:rPr>
                <w:b/>
                <w:color w:val="1A252F"/>
                <w:sz w:val="18"/>
              </w:rPr>
              <w:t xml:space="preserve">#</w:t>
            </w:r>
          </w:p>
        </w:tc>
        <w:tc>
          <w:tcPr>
            <w:tcW w:w="1800" w:type="dxa"/>
            <w:tcBorders>
              <w:bottom w:val="single" w:color="2C3E50" w:sz="6"/>
            </w:tcBorders>
            <w:shd w:val="clear" w:fill="EDF0F2"/>
          </w:tcPr>
          <w:p>
            <w:pPr>
              <w:spacing w:before="60" w:after="60"/>
            </w:pPr>
            <w:r>
              <w:rPr>
                <w:b/>
                <w:color w:val="1A252F"/>
                <w:sz w:val="18"/>
              </w:rPr>
              <w:t xml:space="preserve">Source</w:t>
            </w:r>
          </w:p>
        </w:tc>
        <w:tc>
          <w:tcPr>
            <w:tcW w:w="1800" w:type="dxa"/>
            <w:tcBorders>
              <w:bottom w:val="single" w:color="2C3E50" w:sz="6"/>
            </w:tcBorders>
            <w:shd w:val="clear" w:fill="EDF0F2"/>
          </w:tcPr>
          <w:p>
            <w:pPr>
              <w:spacing w:before="60" w:after="60"/>
            </w:pPr>
            <w:r>
              <w:rPr>
                <w:b/>
                <w:color w:val="1A252F"/>
                <w:sz w:val="18"/>
              </w:rPr>
              <w:t xml:space="preserve">Type</w:t>
            </w:r>
          </w:p>
        </w:tc>
        <w:tc>
          <w:tcPr>
            <w:tcW w:w="1800" w:type="dxa"/>
            <w:tcBorders>
              <w:bottom w:val="single" w:color="2C3E50" w:sz="6"/>
            </w:tcBorders>
            <w:shd w:val="clear" w:fill="EDF0F2"/>
          </w:tcPr>
          <w:p>
            <w:pPr>
              <w:spacing w:before="60" w:after="60"/>
            </w:pPr>
            <w:r>
              <w:rPr>
                <w:b/>
                <w:color w:val="1A252F"/>
                <w:sz w:val="18"/>
              </w:rPr>
              <w:t xml:space="preserve">Year</w:t>
            </w:r>
          </w:p>
        </w:tc>
        <w:tc>
          <w:tcPr>
            <w:tcW w:w="1800" w:type="dxa"/>
            <w:tcBorders>
              <w:bottom w:val="single" w:color="2C3E50" w:sz="6"/>
            </w:tcBorders>
            <w:shd w:val="clear" w:fill="EDF0F2"/>
          </w:tcPr>
          <w:p>
            <w:pPr>
              <w:spacing w:before="60" w:after="60"/>
            </w:pPr>
            <w:r>
              <w:rPr>
                <w:b/>
                <w:color w:val="1A252F"/>
                <w:sz w:val="18"/>
              </w:rPr>
              <w:t xml:space="preserve">URL</w:t>
            </w:r>
          </w:p>
        </w:tc>
      </w:tr>
      <w:tr>
        <w:tc>
          <w:tcPr>
            <w:tcW w:w="1800" w:type="dxa"/>
          </w:tcPr>
          <w:p>
            <w:pPr>
              <w:spacing w:before="40" w:after="40" w:line="240" w:lineRule="auto"/>
            </w:pPr>
            <w:r>
              <w:rPr>
                <w:color w:val="1A252F"/>
                <w:sz w:val="18"/>
              </w:rPr>
              <w:t xml:space="preserve">1</w:t>
            </w:r>
          </w:p>
        </w:tc>
        <w:tc>
          <w:tcPr>
            <w:tcW w:w="1800" w:type="dxa"/>
          </w:tcPr>
          <w:p>
            <w:pPr>
              <w:spacing w:before="40" w:after="40" w:line="240" w:lineRule="auto"/>
            </w:pPr>
            <w:r>
              <w:rPr>
                <w:color w:val="1A252F"/>
                <w:sz w:val="18"/>
              </w:rPr>
              <w:t xml:space="preserve">Arise Virtual Solutions DOL Settlement</w:t>
            </w:r>
          </w:p>
        </w:tc>
        <w:tc>
          <w:tcPr>
            <w:tcW w:w="1800" w:type="dxa"/>
          </w:tcPr>
          <w:p>
            <w:pPr>
              <w:spacing w:before="40" w:after="40" w:line="240" w:lineRule="auto"/>
            </w:pPr>
            <w:r>
              <w:rPr>
                <w:color w:val="1A252F"/>
                <w:sz w:val="18"/>
              </w:rPr>
              <w:t xml:space="preserve">Government</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https://www.dol.gov/agencies/whd/compliance-assistance</w:t>
            </w:r>
          </w:p>
        </w:tc>
      </w:tr>
      <w:tr>
        <w:tc>
          <w:tcPr>
            <w:tcW w:w="1800" w:type="dxa"/>
          </w:tcPr>
          <w:p>
            <w:pPr>
              <w:spacing w:before="40" w:after="40" w:line="240" w:lineRule="auto"/>
            </w:pPr>
            <w:r>
              <w:rPr>
                <w:color w:val="1A252F"/>
                <w:sz w:val="18"/>
              </w:rPr>
              <w:t xml:space="preserve">2</w:t>
            </w:r>
          </w:p>
        </w:tc>
        <w:tc>
          <w:tcPr>
            <w:tcW w:w="1800" w:type="dxa"/>
          </w:tcPr>
          <w:p>
            <w:pPr>
              <w:spacing w:before="40" w:after="40" w:line="240" w:lineRule="auto"/>
            </w:pPr>
            <w:r>
              <w:rPr>
                <w:color w:val="1A252F"/>
                <w:sz w:val="18"/>
              </w:rPr>
              <w:t xml:space="preserve">Australia Closing Loopholes No. 2 Act 2024</w:t>
            </w:r>
          </w:p>
        </w:tc>
        <w:tc>
          <w:tcPr>
            <w:tcW w:w="1800" w:type="dxa"/>
          </w:tcPr>
          <w:p>
            <w:pPr>
              <w:spacing w:before="40" w:after="40" w:line="240" w:lineRule="auto"/>
            </w:pPr>
            <w:r>
              <w:rPr>
                <w:color w:val="1A252F"/>
                <w:sz w:val="18"/>
              </w:rPr>
              <w:t xml:space="preserve">Legislation</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https://www.legislation.gov.au/C2024A00071/latest/text</w:t>
            </w:r>
          </w:p>
        </w:tc>
      </w:tr>
      <w:tr>
        <w:tc>
          <w:tcPr>
            <w:tcW w:w="1800" w:type="dxa"/>
          </w:tcPr>
          <w:p>
            <w:pPr>
              <w:spacing w:before="40" w:after="40" w:line="240" w:lineRule="auto"/>
            </w:pPr>
            <w:r>
              <w:rPr>
                <w:color w:val="1A252F"/>
                <w:sz w:val="18"/>
              </w:rPr>
              <w:t xml:space="preserve">3</w:t>
            </w:r>
          </w:p>
        </w:tc>
        <w:tc>
          <w:tcPr>
            <w:tcW w:w="1800" w:type="dxa"/>
          </w:tcPr>
          <w:p>
            <w:pPr>
              <w:spacing w:before="40" w:after="40" w:line="240" w:lineRule="auto"/>
            </w:pPr>
            <w:r>
              <w:rPr>
                <w:color w:val="1A252F"/>
                <w:sz w:val="18"/>
              </w:rPr>
              <w:t xml:space="preserve">California AB5 (Assembly Bill 5)</w:t>
            </w:r>
          </w:p>
        </w:tc>
        <w:tc>
          <w:tcPr>
            <w:tcW w:w="1800" w:type="dxa"/>
          </w:tcPr>
          <w:p>
            <w:pPr>
              <w:spacing w:before="40" w:after="40" w:line="240" w:lineRule="auto"/>
            </w:pPr>
            <w:r>
              <w:rPr>
                <w:color w:val="1A252F"/>
                <w:sz w:val="18"/>
              </w:rPr>
              <w:t xml:space="preserve">Legislation</w:t>
            </w:r>
          </w:p>
        </w:tc>
        <w:tc>
          <w:tcPr>
            <w:tcW w:w="1800" w:type="dxa"/>
          </w:tcPr>
          <w:p>
            <w:pPr>
              <w:spacing w:before="40" w:after="40" w:line="240" w:lineRule="auto"/>
            </w:pPr>
            <w:r>
              <w:rPr>
                <w:color w:val="1A252F"/>
                <w:sz w:val="18"/>
              </w:rPr>
              <w:t xml:space="preserve">2019</w:t>
            </w:r>
          </w:p>
        </w:tc>
        <w:tc>
          <w:tcPr>
            <w:tcW w:w="1800" w:type="dxa"/>
          </w:tcPr>
          <w:p>
            <w:pPr>
              <w:spacing w:before="40" w:after="40" w:line="240" w:lineRule="auto"/>
            </w:pPr>
            <w:r>
              <w:rPr>
                <w:color w:val="1A252F"/>
                <w:sz w:val="18"/>
              </w:rPr>
              <w:t xml:space="preserve">https://leginfo.legislature.ca.gov/faces/billNavClient.xhtml?bill_id=201920200AB5</w:t>
            </w:r>
          </w:p>
        </w:tc>
      </w:tr>
      <w:tr>
        <w:tc>
          <w:tcPr>
            <w:tcW w:w="1800" w:type="dxa"/>
          </w:tcPr>
          <w:p>
            <w:pPr>
              <w:spacing w:before="40" w:after="40" w:line="240" w:lineRule="auto"/>
            </w:pPr>
            <w:r>
              <w:rPr>
                <w:color w:val="1A252F"/>
                <w:sz w:val="18"/>
              </w:rPr>
              <w:t xml:space="preserve">4</w:t>
            </w:r>
          </w:p>
        </w:tc>
        <w:tc>
          <w:tcPr>
            <w:tcW w:w="1800" w:type="dxa"/>
          </w:tcPr>
          <w:p>
            <w:pPr>
              <w:spacing w:before="40" w:after="40" w:line="240" w:lineRule="auto"/>
            </w:pPr>
            <w:r>
              <w:rPr>
                <w:color w:val="1A252F"/>
                <w:sz w:val="18"/>
              </w:rPr>
              <w:t xml:space="preserve">California Department of Industrial Relations (DIR)</w:t>
            </w:r>
          </w:p>
        </w:tc>
        <w:tc>
          <w:tcPr>
            <w:tcW w:w="1800" w:type="dxa"/>
          </w:tcPr>
          <w:p>
            <w:pPr>
              <w:spacing w:before="40" w:after="40" w:line="240" w:lineRule="auto"/>
            </w:pPr>
            <w:r>
              <w:rPr>
                <w:color w:val="1A252F"/>
                <w:sz w:val="18"/>
              </w:rPr>
              <w:t xml:space="preserve">Government</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https://www.dir.ca.gov/</w:t>
            </w:r>
          </w:p>
        </w:tc>
      </w:tr>
      <w:tr>
        <w:tc>
          <w:tcPr>
            <w:tcW w:w="1800" w:type="dxa"/>
          </w:tcPr>
          <w:p>
            <w:pPr>
              <w:spacing w:before="40" w:after="40" w:line="240" w:lineRule="auto"/>
            </w:pPr>
            <w:r>
              <w:rPr>
                <w:color w:val="1A252F"/>
                <w:sz w:val="18"/>
              </w:rPr>
              <w:t xml:space="preserve">5</w:t>
            </w:r>
          </w:p>
        </w:tc>
        <w:tc>
          <w:tcPr>
            <w:tcW w:w="1800" w:type="dxa"/>
          </w:tcPr>
          <w:p>
            <w:pPr>
              <w:spacing w:before="40" w:after="40" w:line="240" w:lineRule="auto"/>
            </w:pPr>
            <w:r>
              <w:rPr>
                <w:color w:val="1A252F"/>
                <w:sz w:val="18"/>
              </w:rPr>
              <w:t xml:space="preserve">California Labor Commissioner's Office</w:t>
            </w:r>
          </w:p>
        </w:tc>
        <w:tc>
          <w:tcPr>
            <w:tcW w:w="1800" w:type="dxa"/>
          </w:tcPr>
          <w:p>
            <w:pPr>
              <w:spacing w:before="40" w:after="40" w:line="240" w:lineRule="auto"/>
            </w:pPr>
            <w:r>
              <w:rPr>
                <w:color w:val="1A252F"/>
                <w:sz w:val="18"/>
              </w:rPr>
              <w:t xml:space="preserve">Government</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https://www.dir.ca.gov/dlse/</w:t>
            </w:r>
          </w:p>
        </w:tc>
      </w:tr>
      <w:tr>
        <w:tc>
          <w:tcPr>
            <w:tcW w:w="1800" w:type="dxa"/>
          </w:tcPr>
          <w:p>
            <w:pPr>
              <w:spacing w:before="40" w:after="40" w:line="240" w:lineRule="auto"/>
            </w:pPr>
            <w:r>
              <w:rPr>
                <w:color w:val="1A252F"/>
                <w:sz w:val="18"/>
              </w:rPr>
              <w:t xml:space="preserve">6</w:t>
            </w:r>
          </w:p>
        </w:tc>
        <w:tc>
          <w:tcPr>
            <w:tcW w:w="1800" w:type="dxa"/>
          </w:tcPr>
          <w:p>
            <w:pPr>
              <w:spacing w:before="40" w:after="40" w:line="240" w:lineRule="auto"/>
            </w:pPr>
            <w:r>
              <w:rPr>
                <w:color w:val="1A252F"/>
                <w:sz w:val="18"/>
              </w:rPr>
              <w:t xml:space="preserve">California Proposition 22</w:t>
            </w:r>
          </w:p>
        </w:tc>
        <w:tc>
          <w:tcPr>
            <w:tcW w:w="1800" w:type="dxa"/>
          </w:tcPr>
          <w:p>
            <w:pPr>
              <w:spacing w:before="40" w:after="40" w:line="240" w:lineRule="auto"/>
            </w:pPr>
            <w:r>
              <w:rPr>
                <w:color w:val="1A252F"/>
                <w:sz w:val="18"/>
              </w:rPr>
              <w:t xml:space="preserve">Legislation</w:t>
            </w:r>
          </w:p>
        </w:tc>
        <w:tc>
          <w:tcPr>
            <w:tcW w:w="1800" w:type="dxa"/>
          </w:tcPr>
          <w:p>
            <w:pPr>
              <w:spacing w:before="40" w:after="40" w:line="240" w:lineRule="auto"/>
            </w:pPr>
            <w:r>
              <w:rPr>
                <w:color w:val="1A252F"/>
                <w:sz w:val="18"/>
              </w:rPr>
              <w:t xml:space="preserve">2020</w:t>
            </w:r>
          </w:p>
        </w:tc>
        <w:tc>
          <w:tcPr>
            <w:tcW w:w="1800" w:type="dxa"/>
          </w:tcPr>
          <w:p>
            <w:pPr>
              <w:spacing w:before="40" w:after="40" w:line="240" w:lineRule="auto"/>
            </w:pPr>
            <w:r>
              <w:rPr>
                <w:color w:val="1A252F"/>
                <w:sz w:val="18"/>
              </w:rPr>
              <w:t xml:space="preserve">https://vig.cdn.sos.ca.gov/2020/general/pdf/twenty-two-title-summ-analysis.pdf</w:t>
            </w:r>
          </w:p>
        </w:tc>
      </w:tr>
      <w:tr>
        <w:tc>
          <w:tcPr>
            <w:tcW w:w="1800" w:type="dxa"/>
          </w:tcPr>
          <w:p>
            <w:pPr>
              <w:spacing w:before="40" w:after="40" w:line="240" w:lineRule="auto"/>
            </w:pPr>
            <w:r>
              <w:rPr>
                <w:color w:val="1A252F"/>
                <w:sz w:val="18"/>
              </w:rPr>
              <w:t xml:space="preserve">7</w:t>
            </w:r>
          </w:p>
        </w:tc>
        <w:tc>
          <w:tcPr>
            <w:tcW w:w="1800" w:type="dxa"/>
          </w:tcPr>
          <w:p>
            <w:pPr>
              <w:spacing w:before="40" w:after="40" w:line="240" w:lineRule="auto"/>
            </w:pPr>
            <w:r>
              <w:rPr>
                <w:color w:val="1A252F"/>
                <w:sz w:val="18"/>
              </w:rPr>
              <w:t xml:space="preserve">California Supreme Court — Castellanos v. State of California</w:t>
            </w:r>
          </w:p>
        </w:tc>
        <w:tc>
          <w:tcPr>
            <w:tcW w:w="1800" w:type="dxa"/>
          </w:tcPr>
          <w:p>
            <w:pPr>
              <w:spacing w:before="40" w:after="40" w:line="240" w:lineRule="auto"/>
            </w:pPr>
            <w:r>
              <w:rPr>
                <w:color w:val="1A252F"/>
                <w:sz w:val="18"/>
              </w:rPr>
              <w:t xml:space="preserve">Court</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https://www.courts.ca.gov/opinions/documents/S279622.PDF</w:t>
            </w:r>
          </w:p>
        </w:tc>
      </w:tr>
      <w:tr>
        <w:tc>
          <w:tcPr>
            <w:tcW w:w="1800" w:type="dxa"/>
          </w:tcPr>
          <w:p>
            <w:pPr>
              <w:spacing w:before="40" w:after="40" w:line="240" w:lineRule="auto"/>
            </w:pPr>
            <w:r>
              <w:rPr>
                <w:color w:val="1A252F"/>
                <w:sz w:val="18"/>
              </w:rPr>
              <w:t xml:space="preserve">8</w:t>
            </w:r>
          </w:p>
        </w:tc>
        <w:tc>
          <w:tcPr>
            <w:tcW w:w="1800" w:type="dxa"/>
          </w:tcPr>
          <w:p>
            <w:pPr>
              <w:spacing w:before="40" w:after="40" w:line="240" w:lineRule="auto"/>
            </w:pPr>
            <w:r>
              <w:rPr>
                <w:color w:val="1A252F"/>
                <w:sz w:val="18"/>
              </w:rPr>
              <w:t xml:space="preserve">California Supreme Court — Dynamex Operations West v. Superior Court</w:t>
            </w:r>
          </w:p>
        </w:tc>
        <w:tc>
          <w:tcPr>
            <w:tcW w:w="1800" w:type="dxa"/>
          </w:tcPr>
          <w:p>
            <w:pPr>
              <w:spacing w:before="40" w:after="40" w:line="240" w:lineRule="auto"/>
            </w:pPr>
            <w:r>
              <w:rPr>
                <w:color w:val="1A252F"/>
                <w:sz w:val="18"/>
              </w:rPr>
              <w:t xml:space="preserve">Court</w:t>
            </w:r>
          </w:p>
        </w:tc>
        <w:tc>
          <w:tcPr>
            <w:tcW w:w="1800" w:type="dxa"/>
          </w:tcPr>
          <w:p>
            <w:pPr>
              <w:spacing w:before="40" w:after="40" w:line="240" w:lineRule="auto"/>
            </w:pPr>
            <w:r>
              <w:rPr>
                <w:color w:val="1A252F"/>
                <w:sz w:val="18"/>
              </w:rPr>
              <w:t xml:space="preserve">2018</w:t>
            </w:r>
          </w:p>
        </w:tc>
        <w:tc>
          <w:tcPr>
            <w:tcW w:w="1800" w:type="dxa"/>
          </w:tcPr>
          <w:p>
            <w:pPr>
              <w:spacing w:before="40" w:after="40" w:line="240" w:lineRule="auto"/>
            </w:pPr>
            <w:r>
              <w:rPr>
                <w:color w:val="1A252F"/>
                <w:sz w:val="18"/>
              </w:rPr>
              <w:t xml:space="preserve">https://www.courts.ca.gov/opinions/documents/S222732.PDF</w:t>
            </w:r>
          </w:p>
        </w:tc>
      </w:tr>
      <w:tr>
        <w:tc>
          <w:tcPr>
            <w:tcW w:w="1800" w:type="dxa"/>
          </w:tcPr>
          <w:p>
            <w:pPr>
              <w:spacing w:before="40" w:after="40" w:line="240" w:lineRule="auto"/>
            </w:pPr>
            <w:r>
              <w:rPr>
                <w:color w:val="1A252F"/>
                <w:sz w:val="18"/>
              </w:rPr>
              <w:t xml:space="preserve">9</w:t>
            </w:r>
          </w:p>
        </w:tc>
        <w:tc>
          <w:tcPr>
            <w:tcW w:w="1800" w:type="dxa"/>
          </w:tcPr>
          <w:p>
            <w:pPr>
              <w:spacing w:before="40" w:after="40" w:line="240" w:lineRule="auto"/>
            </w:pPr>
            <w:r>
              <w:rPr>
                <w:color w:val="1A252F"/>
                <w:sz w:val="18"/>
              </w:rPr>
              <w:t xml:space="preserve">Chicago City Council — DoorDash Settlement</w:t>
            </w:r>
          </w:p>
        </w:tc>
        <w:tc>
          <w:tcPr>
            <w:tcW w:w="1800" w:type="dxa"/>
          </w:tcPr>
          <w:p>
            <w:pPr>
              <w:spacing w:before="40" w:after="40" w:line="240" w:lineRule="auto"/>
            </w:pPr>
            <w:r>
              <w:rPr>
                <w:color w:val="1A252F"/>
                <w:sz w:val="18"/>
              </w:rPr>
              <w:t xml:space="preserve">Government</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https://www.chicago.gov/city/en/depts/bacp/</w:t>
            </w:r>
          </w:p>
        </w:tc>
      </w:tr>
      <w:tr>
        <w:tc>
          <w:tcPr>
            <w:tcW w:w="1800" w:type="dxa"/>
          </w:tcPr>
          <w:p>
            <w:pPr>
              <w:spacing w:before="40" w:after="40" w:line="240" w:lineRule="auto"/>
            </w:pPr>
            <w:r>
              <w:rPr>
                <w:color w:val="1A252F"/>
                <w:sz w:val="18"/>
              </w:rPr>
              <w:t xml:space="preserve">10</w:t>
            </w:r>
          </w:p>
        </w:tc>
        <w:tc>
          <w:tcPr>
            <w:tcW w:w="1800" w:type="dxa"/>
          </w:tcPr>
          <w:p>
            <w:pPr>
              <w:spacing w:before="40" w:after="40" w:line="240" w:lineRule="auto"/>
            </w:pPr>
            <w:r>
              <w:rPr>
                <w:color w:val="1A252F"/>
                <w:sz w:val="18"/>
              </w:rPr>
              <w:t xml:space="preserve">DC Attorney General — Instacart Settlement ($2.54M)</w:t>
            </w:r>
          </w:p>
        </w:tc>
        <w:tc>
          <w:tcPr>
            <w:tcW w:w="1800" w:type="dxa"/>
          </w:tcPr>
          <w:p>
            <w:pPr>
              <w:spacing w:before="40" w:after="40" w:line="240" w:lineRule="auto"/>
            </w:pPr>
            <w:r>
              <w:rPr>
                <w:color w:val="1A252F"/>
                <w:sz w:val="18"/>
              </w:rPr>
              <w:t xml:space="preserve">Government</w:t>
            </w:r>
          </w:p>
        </w:tc>
        <w:tc>
          <w:tcPr>
            <w:tcW w:w="1800" w:type="dxa"/>
          </w:tcPr>
          <w:p>
            <w:pPr>
              <w:spacing w:before="40" w:after="40" w:line="240" w:lineRule="auto"/>
            </w:pPr>
            <w:r>
              <w:rPr>
                <w:color w:val="1A252F"/>
                <w:sz w:val="18"/>
              </w:rPr>
              <w:t xml:space="preserve">2022</w:t>
            </w:r>
          </w:p>
        </w:tc>
        <w:tc>
          <w:tcPr>
            <w:tcW w:w="1800" w:type="dxa"/>
          </w:tcPr>
          <w:p>
            <w:pPr>
              <w:spacing w:before="40" w:after="40" w:line="240" w:lineRule="auto"/>
            </w:pPr>
            <w:r>
              <w:rPr>
                <w:color w:val="1A252F"/>
                <w:sz w:val="18"/>
              </w:rPr>
              <w:t xml:space="preserve">https://oag.dc.gov/release/ag-racine-secures-254-million-settlement-instacart</w:t>
            </w:r>
          </w:p>
        </w:tc>
      </w:tr>
      <w:tr>
        <w:tc>
          <w:tcPr>
            <w:tcW w:w="1800" w:type="dxa"/>
          </w:tcPr>
          <w:p>
            <w:pPr>
              <w:spacing w:before="40" w:after="40" w:line="240" w:lineRule="auto"/>
            </w:pPr>
            <w:r>
              <w:rPr>
                <w:color w:val="1A252F"/>
                <w:sz w:val="18"/>
              </w:rPr>
              <w:t xml:space="preserve">11</w:t>
            </w:r>
          </w:p>
        </w:tc>
        <w:tc>
          <w:tcPr>
            <w:tcW w:w="1800" w:type="dxa"/>
          </w:tcPr>
          <w:p>
            <w:pPr>
              <w:spacing w:before="40" w:after="40" w:line="240" w:lineRule="auto"/>
            </w:pPr>
            <w:r>
              <w:rPr>
                <w:color w:val="1A252F"/>
                <w:sz w:val="18"/>
              </w:rPr>
              <w:t xml:space="preserve">DC Attorney General — Labor Day Report 2024</w:t>
            </w:r>
          </w:p>
        </w:tc>
        <w:tc>
          <w:tcPr>
            <w:tcW w:w="1800" w:type="dxa"/>
          </w:tcPr>
          <w:p>
            <w:pPr>
              <w:spacing w:before="40" w:after="40" w:line="240" w:lineRule="auto"/>
            </w:pPr>
            <w:r>
              <w:rPr>
                <w:color w:val="1A252F"/>
                <w:sz w:val="18"/>
              </w:rPr>
              <w:t xml:space="preserve">Government</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https://oag.dc.gov/release/dc-oag-secures-95-million-recover-workers</w:t>
            </w:r>
          </w:p>
        </w:tc>
      </w:tr>
      <w:tr>
        <w:tc>
          <w:tcPr>
            <w:tcW w:w="1800" w:type="dxa"/>
          </w:tcPr>
          <w:p>
            <w:pPr>
              <w:spacing w:before="40" w:after="40" w:line="240" w:lineRule="auto"/>
            </w:pPr>
            <w:r>
              <w:rPr>
                <w:color w:val="1A252F"/>
                <w:sz w:val="18"/>
              </w:rPr>
              <w:t xml:space="preserve">12</w:t>
            </w:r>
          </w:p>
        </w:tc>
        <w:tc>
          <w:tcPr>
            <w:tcW w:w="1800" w:type="dxa"/>
          </w:tcPr>
          <w:p>
            <w:pPr>
              <w:spacing w:before="40" w:after="40" w:line="240" w:lineRule="auto"/>
            </w:pPr>
            <w:r>
              <w:rPr>
                <w:color w:val="1A252F"/>
                <w:sz w:val="18"/>
              </w:rPr>
              <w:t xml:space="preserve">EU Directive 2024/2831 (Platform Work Directive)</w:t>
            </w:r>
          </w:p>
        </w:tc>
        <w:tc>
          <w:tcPr>
            <w:tcW w:w="1800" w:type="dxa"/>
          </w:tcPr>
          <w:p>
            <w:pPr>
              <w:spacing w:before="40" w:after="40" w:line="240" w:lineRule="auto"/>
            </w:pPr>
            <w:r>
              <w:rPr>
                <w:color w:val="1A252F"/>
                <w:sz w:val="18"/>
              </w:rPr>
              <w:t xml:space="preserve">Legislation</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https://eur-lex.europa.eu/legal-content/EN/TXT/?uri=CELEX:32024L2831</w:t>
            </w:r>
          </w:p>
        </w:tc>
      </w:tr>
      <w:tr>
        <w:tc>
          <w:tcPr>
            <w:tcW w:w="1800" w:type="dxa"/>
          </w:tcPr>
          <w:p>
            <w:pPr>
              <w:spacing w:before="40" w:after="40" w:line="240" w:lineRule="auto"/>
            </w:pPr>
            <w:r>
              <w:rPr>
                <w:color w:val="1A252F"/>
                <w:sz w:val="18"/>
              </w:rPr>
              <w:t xml:space="preserve">13</w:t>
            </w:r>
          </w:p>
        </w:tc>
        <w:tc>
          <w:tcPr>
            <w:tcW w:w="1800" w:type="dxa"/>
          </w:tcPr>
          <w:p>
            <w:pPr>
              <w:spacing w:before="40" w:after="40" w:line="240" w:lineRule="auto"/>
            </w:pPr>
            <w:r>
              <w:rPr>
                <w:color w:val="1A252F"/>
                <w:sz w:val="18"/>
              </w:rPr>
              <w:t xml:space="preserve">EU European Commission — Delivery Hero/Glovo Cartel Fine</w:t>
            </w:r>
          </w:p>
        </w:tc>
        <w:tc>
          <w:tcPr>
            <w:tcW w:w="1800" w:type="dxa"/>
          </w:tcPr>
          <w:p>
            <w:pPr>
              <w:spacing w:before="40" w:after="40" w:line="240" w:lineRule="auto"/>
            </w:pPr>
            <w:r>
              <w:rPr>
                <w:color w:val="1A252F"/>
                <w:sz w:val="18"/>
              </w:rPr>
              <w:t xml:space="preserve">Government</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https://competition-policy.ec.europa.eu/</w:t>
            </w:r>
          </w:p>
        </w:tc>
      </w:tr>
      <w:tr>
        <w:tc>
          <w:tcPr>
            <w:tcW w:w="1800" w:type="dxa"/>
          </w:tcPr>
          <w:p>
            <w:pPr>
              <w:spacing w:before="40" w:after="40" w:line="240" w:lineRule="auto"/>
            </w:pPr>
            <w:r>
              <w:rPr>
                <w:color w:val="1A252F"/>
                <w:sz w:val="18"/>
              </w:rPr>
              <w:t xml:space="preserve">14</w:t>
            </w:r>
          </w:p>
        </w:tc>
        <w:tc>
          <w:tcPr>
            <w:tcW w:w="1800" w:type="dxa"/>
          </w:tcPr>
          <w:p>
            <w:pPr>
              <w:spacing w:before="40" w:after="40" w:line="240" w:lineRule="auto"/>
            </w:pPr>
            <w:r>
              <w:rPr>
                <w:color w:val="1A252F"/>
                <w:sz w:val="18"/>
              </w:rPr>
              <w:t xml:space="preserve">European Labour Authority — Platform Work Study</w:t>
            </w:r>
          </w:p>
        </w:tc>
        <w:tc>
          <w:tcPr>
            <w:tcW w:w="1800" w:type="dxa"/>
          </w:tcPr>
          <w:p>
            <w:pPr>
              <w:spacing w:before="40" w:after="40" w:line="240" w:lineRule="auto"/>
            </w:pPr>
            <w:r>
              <w:rPr>
                <w:color w:val="1A252F"/>
                <w:sz w:val="18"/>
              </w:rPr>
              <w:t xml:space="preserve">Government</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https://www.ela.europa.eu/</w:t>
            </w:r>
          </w:p>
        </w:tc>
      </w:tr>
      <w:tr>
        <w:tc>
          <w:tcPr>
            <w:tcW w:w="1800" w:type="dxa"/>
          </w:tcPr>
          <w:p>
            <w:pPr>
              <w:spacing w:before="40" w:after="40" w:line="240" w:lineRule="auto"/>
            </w:pPr>
            <w:r>
              <w:rPr>
                <w:color w:val="1A252F"/>
                <w:sz w:val="18"/>
              </w:rPr>
              <w:t xml:space="preserve">15</w:t>
            </w:r>
          </w:p>
        </w:tc>
        <w:tc>
          <w:tcPr>
            <w:tcW w:w="1800" w:type="dxa"/>
          </w:tcPr>
          <w:p>
            <w:pPr>
              <w:spacing w:before="40" w:after="40" w:line="240" w:lineRule="auto"/>
            </w:pPr>
            <w:r>
              <w:rPr>
                <w:color w:val="1A252F"/>
                <w:sz w:val="18"/>
              </w:rPr>
              <w:t xml:space="preserve">European Court of Justice — Uber Platform Classification Cases</w:t>
            </w:r>
          </w:p>
        </w:tc>
        <w:tc>
          <w:tcPr>
            <w:tcW w:w="1800" w:type="dxa"/>
          </w:tcPr>
          <w:p>
            <w:pPr>
              <w:spacing w:before="40" w:after="40" w:line="240" w:lineRule="auto"/>
            </w:pPr>
            <w:r>
              <w:rPr>
                <w:color w:val="1A252F"/>
                <w:sz w:val="18"/>
              </w:rPr>
              <w:t xml:space="preserve">Court</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https://curia.europa.eu/</w:t>
            </w:r>
          </w:p>
        </w:tc>
      </w:tr>
      <w:tr>
        <w:tc>
          <w:tcPr>
            <w:tcW w:w="1800" w:type="dxa"/>
          </w:tcPr>
          <w:p>
            <w:pPr>
              <w:spacing w:before="40" w:after="40" w:line="240" w:lineRule="auto"/>
            </w:pPr>
            <w:r>
              <w:rPr>
                <w:color w:val="1A252F"/>
                <w:sz w:val="18"/>
              </w:rPr>
              <w:t xml:space="preserve">16</w:t>
            </w:r>
          </w:p>
        </w:tc>
        <w:tc>
          <w:tcPr>
            <w:tcW w:w="1800" w:type="dxa"/>
          </w:tcPr>
          <w:p>
            <w:pPr>
              <w:spacing w:before="40" w:after="40" w:line="240" w:lineRule="auto"/>
            </w:pPr>
            <w:r>
              <w:rPr>
                <w:color w:val="1A252F"/>
                <w:sz w:val="18"/>
              </w:rPr>
              <w:t xml:space="preserve">France Cour de Cassation — Uber Driver Employee Status Ruling</w:t>
            </w:r>
          </w:p>
        </w:tc>
        <w:tc>
          <w:tcPr>
            <w:tcW w:w="1800" w:type="dxa"/>
          </w:tcPr>
          <w:p>
            <w:pPr>
              <w:spacing w:before="40" w:after="40" w:line="240" w:lineRule="auto"/>
            </w:pPr>
            <w:r>
              <w:rPr>
                <w:color w:val="1A252F"/>
                <w:sz w:val="18"/>
              </w:rPr>
              <w:t xml:space="preserve">Court</w:t>
            </w:r>
          </w:p>
        </w:tc>
        <w:tc>
          <w:tcPr>
            <w:tcW w:w="1800" w:type="dxa"/>
          </w:tcPr>
          <w:p>
            <w:pPr>
              <w:spacing w:before="40" w:after="40" w:line="240" w:lineRule="auto"/>
            </w:pPr>
            <w:r>
              <w:rPr>
                <w:color w:val="1A252F"/>
                <w:sz w:val="18"/>
              </w:rPr>
              <w:t xml:space="preserve">2020</w:t>
            </w:r>
          </w:p>
        </w:tc>
        <w:tc>
          <w:tcPr>
            <w:tcW w:w="1800" w:type="dxa"/>
          </w:tcPr>
          <w:p>
            <w:pPr>
              <w:spacing w:before="40" w:after="40" w:line="240" w:lineRule="auto"/>
            </w:pPr>
            <w:r>
              <w:rPr>
                <w:color w:val="1A252F"/>
                <w:sz w:val="18"/>
              </w:rPr>
              <w:t xml:space="preserve">https://www.courdecassation.fr/</w:t>
            </w:r>
          </w:p>
        </w:tc>
      </w:tr>
      <w:tr>
        <w:tc>
          <w:tcPr>
            <w:tcW w:w="1800" w:type="dxa"/>
          </w:tcPr>
          <w:p>
            <w:pPr>
              <w:spacing w:before="40" w:after="40" w:line="240" w:lineRule="auto"/>
            </w:pPr>
            <w:r>
              <w:rPr>
                <w:color w:val="1A252F"/>
                <w:sz w:val="18"/>
              </w:rPr>
              <w:t xml:space="preserve">17</w:t>
            </w:r>
          </w:p>
        </w:tc>
        <w:tc>
          <w:tcPr>
            <w:tcW w:w="1800" w:type="dxa"/>
          </w:tcPr>
          <w:p>
            <w:pPr>
              <w:spacing w:before="40" w:after="40" w:line="240" w:lineRule="auto"/>
            </w:pPr>
            <w:r>
              <w:rPr>
                <w:color w:val="1A252F"/>
                <w:sz w:val="18"/>
              </w:rPr>
              <w:t xml:space="preserve">Illinois Attorney General — DoorDash Settlement ($11.25M)</w:t>
            </w:r>
          </w:p>
        </w:tc>
        <w:tc>
          <w:tcPr>
            <w:tcW w:w="1800" w:type="dxa"/>
          </w:tcPr>
          <w:p>
            <w:pPr>
              <w:spacing w:before="40" w:after="40" w:line="240" w:lineRule="auto"/>
            </w:pPr>
            <w:r>
              <w:rPr>
                <w:color w:val="1A252F"/>
                <w:sz w:val="18"/>
              </w:rPr>
              <w:t xml:space="preserve">Government</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https://illinoisattorneygeneral.gov/</w:t>
            </w:r>
          </w:p>
        </w:tc>
      </w:tr>
      <w:tr>
        <w:tc>
          <w:tcPr>
            <w:tcW w:w="1800" w:type="dxa"/>
          </w:tcPr>
          <w:p>
            <w:pPr>
              <w:spacing w:before="40" w:after="40" w:line="240" w:lineRule="auto"/>
            </w:pPr>
            <w:r>
              <w:rPr>
                <w:color w:val="1A252F"/>
                <w:sz w:val="18"/>
              </w:rPr>
              <w:t xml:space="preserve">18</w:t>
            </w:r>
          </w:p>
        </w:tc>
        <w:tc>
          <w:tcPr>
            <w:tcW w:w="1800" w:type="dxa"/>
          </w:tcPr>
          <w:p>
            <w:pPr>
              <w:spacing w:before="40" w:after="40" w:line="240" w:lineRule="auto"/>
            </w:pPr>
            <w:r>
              <w:rPr>
                <w:color w:val="1A252F"/>
                <w:sz w:val="18"/>
              </w:rPr>
              <w:t xml:space="preserve">India Code on Social Security 2020</w:t>
            </w:r>
          </w:p>
        </w:tc>
        <w:tc>
          <w:tcPr>
            <w:tcW w:w="1800" w:type="dxa"/>
          </w:tcPr>
          <w:p>
            <w:pPr>
              <w:spacing w:before="40" w:after="40" w:line="240" w:lineRule="auto"/>
            </w:pPr>
            <w:r>
              <w:rPr>
                <w:color w:val="1A252F"/>
                <w:sz w:val="18"/>
              </w:rPr>
              <w:t xml:space="preserve">Legislation</w:t>
            </w:r>
          </w:p>
        </w:tc>
        <w:tc>
          <w:tcPr>
            <w:tcW w:w="1800" w:type="dxa"/>
          </w:tcPr>
          <w:p>
            <w:pPr>
              <w:spacing w:before="40" w:after="40" w:line="240" w:lineRule="auto"/>
            </w:pPr>
            <w:r>
              <w:rPr>
                <w:color w:val="1A252F"/>
                <w:sz w:val="18"/>
              </w:rPr>
              <w:t xml:space="preserve">2020</w:t>
            </w:r>
          </w:p>
        </w:tc>
        <w:tc>
          <w:tcPr>
            <w:tcW w:w="1800" w:type="dxa"/>
          </w:tcPr>
          <w:p>
            <w:pPr>
              <w:spacing w:before="40" w:after="40" w:line="240" w:lineRule="auto"/>
            </w:pPr>
            <w:r>
              <w:rPr>
                <w:color w:val="1A252F"/>
                <w:sz w:val="18"/>
              </w:rPr>
              <w:t xml:space="preserve">https://www.indiacode.nic.in/</w:t>
            </w:r>
          </w:p>
        </w:tc>
      </w:tr>
      <w:tr>
        <w:tc>
          <w:tcPr>
            <w:tcW w:w="1800" w:type="dxa"/>
          </w:tcPr>
          <w:p>
            <w:pPr>
              <w:spacing w:before="40" w:after="40" w:line="240" w:lineRule="auto"/>
            </w:pPr>
            <w:r>
              <w:rPr>
                <w:color w:val="1A252F"/>
                <w:sz w:val="18"/>
              </w:rPr>
              <w:t xml:space="preserve">19</w:t>
            </w:r>
          </w:p>
        </w:tc>
        <w:tc>
          <w:tcPr>
            <w:tcW w:w="1800" w:type="dxa"/>
          </w:tcPr>
          <w:p>
            <w:pPr>
              <w:spacing w:before="40" w:after="40" w:line="240" w:lineRule="auto"/>
            </w:pPr>
            <w:r>
              <w:rPr>
                <w:color w:val="1A252F"/>
                <w:sz w:val="18"/>
              </w:rPr>
              <w:t xml:space="preserve">India Ministry of Labour — Gig Worker Provisions</w:t>
            </w:r>
          </w:p>
        </w:tc>
        <w:tc>
          <w:tcPr>
            <w:tcW w:w="1800" w:type="dxa"/>
          </w:tcPr>
          <w:p>
            <w:pPr>
              <w:spacing w:before="40" w:after="40" w:line="240" w:lineRule="auto"/>
            </w:pPr>
            <w:r>
              <w:rPr>
                <w:color w:val="1A252F"/>
                <w:sz w:val="18"/>
              </w:rPr>
              <w:t xml:space="preserve">Government</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https://pib.gov.in/</w:t>
            </w:r>
          </w:p>
        </w:tc>
      </w:tr>
      <w:tr>
        <w:tc>
          <w:tcPr>
            <w:tcW w:w="1800" w:type="dxa"/>
          </w:tcPr>
          <w:p>
            <w:pPr>
              <w:spacing w:before="40" w:after="40" w:line="240" w:lineRule="auto"/>
            </w:pPr>
            <w:r>
              <w:rPr>
                <w:color w:val="1A252F"/>
                <w:sz w:val="18"/>
              </w:rPr>
              <w:t xml:space="preserve">20</w:t>
            </w:r>
          </w:p>
        </w:tc>
        <w:tc>
          <w:tcPr>
            <w:tcW w:w="1800" w:type="dxa"/>
          </w:tcPr>
          <w:p>
            <w:pPr>
              <w:spacing w:before="40" w:after="40" w:line="240" w:lineRule="auto"/>
            </w:pPr>
            <w:r>
              <w:rPr>
                <w:color w:val="1A252F"/>
                <w:sz w:val="18"/>
              </w:rPr>
              <w:t xml:space="preserve">Internal Revenue Service (IRS) — Worker Classification Guidance</w:t>
            </w:r>
          </w:p>
        </w:tc>
        <w:tc>
          <w:tcPr>
            <w:tcW w:w="1800" w:type="dxa"/>
          </w:tcPr>
          <w:p>
            <w:pPr>
              <w:spacing w:before="40" w:after="40" w:line="240" w:lineRule="auto"/>
            </w:pPr>
            <w:r>
              <w:rPr>
                <w:color w:val="1A252F"/>
                <w:sz w:val="18"/>
              </w:rPr>
              <w:t xml:space="preserve">Government</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https://www.irs.gov/businesses/small-businesses-self-employed/</w:t>
            </w:r>
          </w:p>
        </w:tc>
      </w:tr>
      <w:tr>
        <w:tc>
          <w:tcPr>
            <w:tcW w:w="1800" w:type="dxa"/>
          </w:tcPr>
          <w:p>
            <w:pPr>
              <w:spacing w:before="40" w:after="40" w:line="240" w:lineRule="auto"/>
            </w:pPr>
            <w:r>
              <w:rPr>
                <w:color w:val="1A252F"/>
                <w:sz w:val="18"/>
              </w:rPr>
              <w:t xml:space="preserve">21</w:t>
            </w:r>
          </w:p>
        </w:tc>
        <w:tc>
          <w:tcPr>
            <w:tcW w:w="1800" w:type="dxa"/>
          </w:tcPr>
          <w:p>
            <w:pPr>
              <w:spacing w:before="40" w:after="40" w:line="240" w:lineRule="auto"/>
            </w:pPr>
            <w:r>
              <w:rPr>
                <w:color w:val="1A252F"/>
                <w:sz w:val="18"/>
              </w:rPr>
              <w:t xml:space="preserve">ILO — Decent Work in the Platform Economy Factsheet</w:t>
            </w:r>
          </w:p>
        </w:tc>
        <w:tc>
          <w:tcPr>
            <w:tcW w:w="1800" w:type="dxa"/>
          </w:tcPr>
          <w:p>
            <w:pPr>
              <w:spacing w:before="40" w:after="40" w:line="240" w:lineRule="auto"/>
            </w:pPr>
            <w:r>
              <w:rPr>
                <w:color w:val="1A252F"/>
                <w:sz w:val="18"/>
              </w:rPr>
              <w:t xml:space="preserve">International Org</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https://www.ilo.org/global/research/WCMS_711527</w:t>
            </w:r>
          </w:p>
        </w:tc>
      </w:tr>
      <w:tr>
        <w:tc>
          <w:tcPr>
            <w:tcW w:w="1800" w:type="dxa"/>
          </w:tcPr>
          <w:p>
            <w:pPr>
              <w:spacing w:before="40" w:after="40" w:line="240" w:lineRule="auto"/>
            </w:pPr>
            <w:r>
              <w:rPr>
                <w:color w:val="1A252F"/>
                <w:sz w:val="18"/>
              </w:rPr>
              <w:t xml:space="preserve">22</w:t>
            </w:r>
          </w:p>
        </w:tc>
        <w:tc>
          <w:tcPr>
            <w:tcW w:w="1800" w:type="dxa"/>
          </w:tcPr>
          <w:p>
            <w:pPr>
              <w:spacing w:before="40" w:after="40" w:line="240" w:lineRule="auto"/>
            </w:pPr>
            <w:r>
              <w:rPr>
                <w:color w:val="1A252F"/>
                <w:sz w:val="18"/>
              </w:rPr>
              <w:t xml:space="preserve">ILO — Ramifications of Uber BV v Aslam</w:t>
            </w:r>
          </w:p>
        </w:tc>
        <w:tc>
          <w:tcPr>
            <w:tcW w:w="1800" w:type="dxa"/>
          </w:tcPr>
          <w:p>
            <w:pPr>
              <w:spacing w:before="40" w:after="40" w:line="240" w:lineRule="auto"/>
            </w:pPr>
            <w:r>
              <w:rPr>
                <w:color w:val="1A252F"/>
                <w:sz w:val="18"/>
              </w:rPr>
              <w:t xml:space="preserve">International Org</w:t>
            </w:r>
          </w:p>
        </w:tc>
        <w:tc>
          <w:tcPr>
            <w:tcW w:w="1800" w:type="dxa"/>
          </w:tcPr>
          <w:p>
            <w:pPr>
              <w:spacing w:before="40" w:after="40" w:line="240" w:lineRule="auto"/>
            </w:pPr>
            <w:r>
              <w:rPr>
                <w:color w:val="1A252F"/>
                <w:sz w:val="18"/>
              </w:rPr>
              <w:t xml:space="preserve">2021</w:t>
            </w:r>
          </w:p>
        </w:tc>
        <w:tc>
          <w:tcPr>
            <w:tcW w:w="1800" w:type="dxa"/>
          </w:tcPr>
          <w:p>
            <w:pPr>
              <w:spacing w:before="40" w:after="40" w:line="240" w:lineRule="auto"/>
            </w:pPr>
            <w:r>
              <w:rPr>
                <w:color w:val="1A252F"/>
                <w:sz w:val="18"/>
              </w:rPr>
              <w:t xml:space="preserve">https://www.ilo.org/global/WCMS_835043</w:t>
            </w:r>
          </w:p>
        </w:tc>
      </w:tr>
      <w:tr>
        <w:tc>
          <w:tcPr>
            <w:tcW w:w="1800" w:type="dxa"/>
          </w:tcPr>
          <w:p>
            <w:pPr>
              <w:spacing w:before="40" w:after="40" w:line="240" w:lineRule="auto"/>
            </w:pPr>
            <w:r>
              <w:rPr>
                <w:color w:val="1A252F"/>
                <w:sz w:val="18"/>
              </w:rPr>
              <w:t xml:space="preserve">23</w:t>
            </w:r>
          </w:p>
        </w:tc>
        <w:tc>
          <w:tcPr>
            <w:tcW w:w="1800" w:type="dxa"/>
          </w:tcPr>
          <w:p>
            <w:pPr>
              <w:spacing w:before="40" w:after="40" w:line="240" w:lineRule="auto"/>
            </w:pPr>
            <w:r>
              <w:rPr>
                <w:color w:val="1A252F"/>
                <w:sz w:val="18"/>
              </w:rPr>
              <w:t xml:space="preserve">ILO — Singapore Platform Workers Policy Brief</w:t>
            </w:r>
          </w:p>
        </w:tc>
        <w:tc>
          <w:tcPr>
            <w:tcW w:w="1800" w:type="dxa"/>
          </w:tcPr>
          <w:p>
            <w:pPr>
              <w:spacing w:before="40" w:after="40" w:line="240" w:lineRule="auto"/>
            </w:pPr>
            <w:r>
              <w:rPr>
                <w:color w:val="1A252F"/>
                <w:sz w:val="18"/>
              </w:rPr>
              <w:t xml:space="preserve">International Org</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https://www.ilo.org/</w:t>
            </w:r>
          </w:p>
        </w:tc>
      </w:tr>
      <w:tr>
        <w:tc>
          <w:tcPr>
            <w:tcW w:w="1800" w:type="dxa"/>
          </w:tcPr>
          <w:p>
            <w:pPr>
              <w:spacing w:before="40" w:after="40" w:line="240" w:lineRule="auto"/>
            </w:pPr>
            <w:r>
              <w:rPr>
                <w:color w:val="1A252F"/>
                <w:sz w:val="18"/>
              </w:rPr>
              <w:t xml:space="preserve">24</w:t>
            </w:r>
          </w:p>
        </w:tc>
        <w:tc>
          <w:tcPr>
            <w:tcW w:w="1800" w:type="dxa"/>
          </w:tcPr>
          <w:p>
            <w:pPr>
              <w:spacing w:before="40" w:after="40" w:line="240" w:lineRule="auto"/>
            </w:pPr>
            <w:r>
              <w:rPr>
                <w:color w:val="1A252F"/>
                <w:sz w:val="18"/>
              </w:rPr>
              <w:t xml:space="preserve">Massachusetts Attorney General — Uber/Lyft Settlement ($175M)</w:t>
            </w:r>
          </w:p>
        </w:tc>
        <w:tc>
          <w:tcPr>
            <w:tcW w:w="1800" w:type="dxa"/>
          </w:tcPr>
          <w:p>
            <w:pPr>
              <w:spacing w:before="40" w:after="40" w:line="240" w:lineRule="auto"/>
            </w:pPr>
            <w:r>
              <w:rPr>
                <w:color w:val="1A252F"/>
                <w:sz w:val="18"/>
              </w:rPr>
              <w:t xml:space="preserve">Government</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https://www.mass.gov/news/ag-campbell-secures-historic-175-million-settlement</w:t>
            </w:r>
          </w:p>
        </w:tc>
      </w:tr>
      <w:tr>
        <w:tc>
          <w:tcPr>
            <w:tcW w:w="1800" w:type="dxa"/>
          </w:tcPr>
          <w:p>
            <w:pPr>
              <w:spacing w:before="40" w:after="40" w:line="240" w:lineRule="auto"/>
            </w:pPr>
            <w:r>
              <w:rPr>
                <w:color w:val="1A252F"/>
                <w:sz w:val="18"/>
              </w:rPr>
              <w:t xml:space="preserve">25</w:t>
            </w:r>
          </w:p>
        </w:tc>
        <w:tc>
          <w:tcPr>
            <w:tcW w:w="1800" w:type="dxa"/>
          </w:tcPr>
          <w:p>
            <w:pPr>
              <w:spacing w:before="40" w:after="40" w:line="240" w:lineRule="auto"/>
            </w:pPr>
            <w:r>
              <w:rPr>
                <w:color w:val="1A252F"/>
                <w:sz w:val="18"/>
              </w:rPr>
              <w:t xml:space="preserve">National Labor Relations Board (NLRB) — Appen Case (20-CA-300524)</w:t>
            </w:r>
          </w:p>
        </w:tc>
        <w:tc>
          <w:tcPr>
            <w:tcW w:w="1800" w:type="dxa"/>
          </w:tcPr>
          <w:p>
            <w:pPr>
              <w:spacing w:before="40" w:after="40" w:line="240" w:lineRule="auto"/>
            </w:pPr>
            <w:r>
              <w:rPr>
                <w:color w:val="1A252F"/>
                <w:sz w:val="18"/>
              </w:rPr>
              <w:t xml:space="preserve">Government</w:t>
            </w:r>
          </w:p>
        </w:tc>
        <w:tc>
          <w:tcPr>
            <w:tcW w:w="1800" w:type="dxa"/>
          </w:tcPr>
          <w:p>
            <w:pPr>
              <w:spacing w:before="40" w:after="40" w:line="240" w:lineRule="auto"/>
            </w:pPr>
            <w:r>
              <w:rPr>
                <w:color w:val="1A252F"/>
                <w:sz w:val="18"/>
              </w:rPr>
              <w:t xml:space="preserve">2023</w:t>
            </w:r>
          </w:p>
        </w:tc>
        <w:tc>
          <w:tcPr>
            <w:tcW w:w="1800" w:type="dxa"/>
          </w:tcPr>
          <w:p>
            <w:pPr>
              <w:spacing w:before="40" w:after="40" w:line="240" w:lineRule="auto"/>
            </w:pPr>
            <w:r>
              <w:rPr>
                <w:color w:val="1A252F"/>
                <w:sz w:val="18"/>
              </w:rPr>
              <w:t xml:space="preserve">https://www.nlrb.gov/case/20-CA-300524</w:t>
            </w:r>
          </w:p>
        </w:tc>
      </w:tr>
      <w:tr>
        <w:tc>
          <w:tcPr>
            <w:tcW w:w="1800" w:type="dxa"/>
          </w:tcPr>
          <w:p>
            <w:pPr>
              <w:spacing w:before="40" w:after="40" w:line="240" w:lineRule="auto"/>
            </w:pPr>
            <w:r>
              <w:rPr>
                <w:color w:val="1A252F"/>
                <w:sz w:val="18"/>
              </w:rPr>
              <w:t xml:space="preserve">26</w:t>
            </w:r>
          </w:p>
        </w:tc>
        <w:tc>
          <w:tcPr>
            <w:tcW w:w="1800" w:type="dxa"/>
          </w:tcPr>
          <w:p>
            <w:pPr>
              <w:spacing w:before="40" w:after="40" w:line="240" w:lineRule="auto"/>
            </w:pPr>
            <w:r>
              <w:rPr>
                <w:color w:val="1A252F"/>
                <w:sz w:val="18"/>
              </w:rPr>
              <w:t xml:space="preserve">NLRB — Joint Employer Final Rule</w:t>
            </w:r>
          </w:p>
        </w:tc>
        <w:tc>
          <w:tcPr>
            <w:tcW w:w="1800" w:type="dxa"/>
          </w:tcPr>
          <w:p>
            <w:pPr>
              <w:spacing w:before="40" w:after="40" w:line="240" w:lineRule="auto"/>
            </w:pPr>
            <w:r>
              <w:rPr>
                <w:color w:val="1A252F"/>
                <w:sz w:val="18"/>
              </w:rPr>
              <w:t xml:space="preserve">Government</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https://www.nlrb.gov/</w:t>
            </w:r>
          </w:p>
        </w:tc>
      </w:tr>
      <w:tr>
        <w:tc>
          <w:tcPr>
            <w:tcW w:w="1800" w:type="dxa"/>
          </w:tcPr>
          <w:p>
            <w:pPr>
              <w:spacing w:before="40" w:after="40" w:line="240" w:lineRule="auto"/>
            </w:pPr>
            <w:r>
              <w:rPr>
                <w:color w:val="1A252F"/>
                <w:sz w:val="18"/>
              </w:rPr>
              <w:t xml:space="preserve">27</w:t>
            </w:r>
          </w:p>
        </w:tc>
        <w:tc>
          <w:tcPr>
            <w:tcW w:w="1800" w:type="dxa"/>
          </w:tcPr>
          <w:p>
            <w:pPr>
              <w:spacing w:before="40" w:after="40" w:line="240" w:lineRule="auto"/>
            </w:pPr>
            <w:r>
              <w:rPr>
                <w:color w:val="1A252F"/>
                <w:sz w:val="18"/>
              </w:rPr>
              <w:t xml:space="preserve">New York Attorney General — DoorDash Tip Theft Settlement ($16.75M)</w:t>
            </w:r>
          </w:p>
        </w:tc>
        <w:tc>
          <w:tcPr>
            <w:tcW w:w="1800" w:type="dxa"/>
          </w:tcPr>
          <w:p>
            <w:pPr>
              <w:spacing w:before="40" w:after="40" w:line="240" w:lineRule="auto"/>
            </w:pPr>
            <w:r>
              <w:rPr>
                <w:color w:val="1A252F"/>
                <w:sz w:val="18"/>
              </w:rPr>
              <w:t xml:space="preserve">Government</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https://ag.ny.gov/</w:t>
            </w:r>
          </w:p>
        </w:tc>
      </w:tr>
      <w:tr>
        <w:tc>
          <w:tcPr>
            <w:tcW w:w="1800" w:type="dxa"/>
          </w:tcPr>
          <w:p>
            <w:pPr>
              <w:spacing w:before="40" w:after="40" w:line="240" w:lineRule="auto"/>
            </w:pPr>
            <w:r>
              <w:rPr>
                <w:color w:val="1A252F"/>
                <w:sz w:val="18"/>
              </w:rPr>
              <w:t xml:space="preserve">28</w:t>
            </w:r>
          </w:p>
        </w:tc>
        <w:tc>
          <w:tcPr>
            <w:tcW w:w="1800" w:type="dxa"/>
          </w:tcPr>
          <w:p>
            <w:pPr>
              <w:spacing w:before="40" w:after="40" w:line="240" w:lineRule="auto"/>
            </w:pPr>
            <w:r>
              <w:rPr>
                <w:color w:val="1A252F"/>
                <w:sz w:val="18"/>
              </w:rPr>
              <w:t xml:space="preserve">New York Attorney General — Uber/Lyft Wage Theft Settlement ($328M)</w:t>
            </w:r>
          </w:p>
        </w:tc>
        <w:tc>
          <w:tcPr>
            <w:tcW w:w="1800" w:type="dxa"/>
          </w:tcPr>
          <w:p>
            <w:pPr>
              <w:spacing w:before="40" w:after="40" w:line="240" w:lineRule="auto"/>
            </w:pPr>
            <w:r>
              <w:rPr>
                <w:color w:val="1A252F"/>
                <w:sz w:val="18"/>
              </w:rPr>
              <w:t xml:space="preserve">Government</w:t>
            </w:r>
          </w:p>
        </w:tc>
        <w:tc>
          <w:tcPr>
            <w:tcW w:w="1800" w:type="dxa"/>
          </w:tcPr>
          <w:p>
            <w:pPr>
              <w:spacing w:before="40" w:after="40" w:line="240" w:lineRule="auto"/>
            </w:pPr>
            <w:r>
              <w:rPr>
                <w:color w:val="1A252F"/>
                <w:sz w:val="18"/>
              </w:rPr>
              <w:t xml:space="preserve">2023</w:t>
            </w:r>
          </w:p>
        </w:tc>
        <w:tc>
          <w:tcPr>
            <w:tcW w:w="1800" w:type="dxa"/>
          </w:tcPr>
          <w:p>
            <w:pPr>
              <w:spacing w:before="40" w:after="40" w:line="240" w:lineRule="auto"/>
            </w:pPr>
            <w:r>
              <w:rPr>
                <w:color w:val="1A252F"/>
                <w:sz w:val="18"/>
              </w:rPr>
              <w:t xml:space="preserve">https://ag.ny.gov/</w:t>
            </w:r>
          </w:p>
        </w:tc>
      </w:tr>
      <w:tr>
        <w:tc>
          <w:tcPr>
            <w:tcW w:w="1800" w:type="dxa"/>
          </w:tcPr>
          <w:p>
            <w:pPr>
              <w:spacing w:before="40" w:after="40" w:line="240" w:lineRule="auto"/>
            </w:pPr>
            <w:r>
              <w:rPr>
                <w:color w:val="1A252F"/>
                <w:sz w:val="18"/>
              </w:rPr>
              <w:t xml:space="preserve">29</w:t>
            </w:r>
          </w:p>
        </w:tc>
        <w:tc>
          <w:tcPr>
            <w:tcW w:w="1800" w:type="dxa"/>
          </w:tcPr>
          <w:p>
            <w:pPr>
              <w:spacing w:before="40" w:after="40" w:line="240" w:lineRule="auto"/>
            </w:pPr>
            <w:r>
              <w:rPr>
                <w:color w:val="1A252F"/>
                <w:sz w:val="18"/>
              </w:rPr>
              <w:t xml:space="preserve">New York State Freelance Isn't Free Act</w:t>
            </w:r>
          </w:p>
        </w:tc>
        <w:tc>
          <w:tcPr>
            <w:tcW w:w="1800" w:type="dxa"/>
          </w:tcPr>
          <w:p>
            <w:pPr>
              <w:spacing w:before="40" w:after="40" w:line="240" w:lineRule="auto"/>
            </w:pPr>
            <w:r>
              <w:rPr>
                <w:color w:val="1A252F"/>
                <w:sz w:val="18"/>
              </w:rPr>
              <w:t xml:space="preserve">Legislation</w:t>
            </w:r>
          </w:p>
        </w:tc>
        <w:tc>
          <w:tcPr>
            <w:tcW w:w="1800" w:type="dxa"/>
          </w:tcPr>
          <w:p>
            <w:pPr>
              <w:spacing w:before="40" w:after="40" w:line="240" w:lineRule="auto"/>
            </w:pPr>
            <w:r>
              <w:rPr>
                <w:color w:val="1A252F"/>
                <w:sz w:val="18"/>
              </w:rPr>
              <w:t xml:space="preserve">2023</w:t>
            </w:r>
          </w:p>
        </w:tc>
        <w:tc>
          <w:tcPr>
            <w:tcW w:w="1800" w:type="dxa"/>
          </w:tcPr>
          <w:p>
            <w:pPr>
              <w:spacing w:before="40" w:after="40" w:line="240" w:lineRule="auto"/>
            </w:pPr>
            <w:r>
              <w:rPr>
                <w:color w:val="1A252F"/>
                <w:sz w:val="18"/>
              </w:rPr>
              <w:t xml:space="preserve">https://www.nysenate.gov/legislation/laws/GBS/191-D</w:t>
            </w:r>
          </w:p>
        </w:tc>
      </w:tr>
      <w:tr>
        <w:tc>
          <w:tcPr>
            <w:tcW w:w="1800" w:type="dxa"/>
          </w:tcPr>
          <w:p>
            <w:pPr>
              <w:spacing w:before="40" w:after="40" w:line="240" w:lineRule="auto"/>
            </w:pPr>
            <w:r>
              <w:rPr>
                <w:color w:val="1A252F"/>
                <w:sz w:val="18"/>
              </w:rPr>
              <w:t xml:space="preserve">30</w:t>
            </w:r>
          </w:p>
        </w:tc>
        <w:tc>
          <w:tcPr>
            <w:tcW w:w="1800" w:type="dxa"/>
          </w:tcPr>
          <w:p>
            <w:pPr>
              <w:spacing w:before="40" w:after="40" w:line="240" w:lineRule="auto"/>
            </w:pPr>
            <w:r>
              <w:rPr>
                <w:color w:val="1A252F"/>
                <w:sz w:val="18"/>
              </w:rPr>
              <w:t xml:space="preserve">Ontario Digital Platform Workers Rights Act 2022</w:t>
            </w:r>
          </w:p>
        </w:tc>
        <w:tc>
          <w:tcPr>
            <w:tcW w:w="1800" w:type="dxa"/>
          </w:tcPr>
          <w:p>
            <w:pPr>
              <w:spacing w:before="40" w:after="40" w:line="240" w:lineRule="auto"/>
            </w:pPr>
            <w:r>
              <w:rPr>
                <w:color w:val="1A252F"/>
                <w:sz w:val="18"/>
              </w:rPr>
              <w:t xml:space="preserve">Legislation</w:t>
            </w:r>
          </w:p>
        </w:tc>
        <w:tc>
          <w:tcPr>
            <w:tcW w:w="1800" w:type="dxa"/>
          </w:tcPr>
          <w:p>
            <w:pPr>
              <w:spacing w:before="40" w:after="40" w:line="240" w:lineRule="auto"/>
            </w:pPr>
            <w:r>
              <w:rPr>
                <w:color w:val="1A252F"/>
                <w:sz w:val="18"/>
              </w:rPr>
              <w:t xml:space="preserve">2022</w:t>
            </w:r>
          </w:p>
        </w:tc>
        <w:tc>
          <w:tcPr>
            <w:tcW w:w="1800" w:type="dxa"/>
          </w:tcPr>
          <w:p>
            <w:pPr>
              <w:spacing w:before="40" w:after="40" w:line="240" w:lineRule="auto"/>
            </w:pPr>
            <w:r>
              <w:rPr>
                <w:color w:val="1A252F"/>
                <w:sz w:val="18"/>
              </w:rPr>
              <w:t xml:space="preserve">https://www.ontario.ca/laws/statute/22d07</w:t>
            </w:r>
          </w:p>
        </w:tc>
      </w:tr>
      <w:tr>
        <w:tc>
          <w:tcPr>
            <w:tcW w:w="1800" w:type="dxa"/>
          </w:tcPr>
          <w:p>
            <w:pPr>
              <w:spacing w:before="40" w:after="40" w:line="240" w:lineRule="auto"/>
            </w:pPr>
            <w:r>
              <w:rPr>
                <w:color w:val="1A252F"/>
                <w:sz w:val="18"/>
              </w:rPr>
              <w:t xml:space="preserve">31</w:t>
            </w:r>
          </w:p>
        </w:tc>
        <w:tc>
          <w:tcPr>
            <w:tcW w:w="1800" w:type="dxa"/>
          </w:tcPr>
          <w:p>
            <w:pPr>
              <w:spacing w:before="40" w:after="40" w:line="240" w:lineRule="auto"/>
            </w:pPr>
            <w:r>
              <w:rPr>
                <w:color w:val="1A252F"/>
                <w:sz w:val="18"/>
              </w:rPr>
              <w:t xml:space="preserve">Portugal Article 12-A Labour Code (Platform Worker Presumption)</w:t>
            </w:r>
          </w:p>
        </w:tc>
        <w:tc>
          <w:tcPr>
            <w:tcW w:w="1800" w:type="dxa"/>
          </w:tcPr>
          <w:p>
            <w:pPr>
              <w:spacing w:before="40" w:after="40" w:line="240" w:lineRule="auto"/>
            </w:pPr>
            <w:r>
              <w:rPr>
                <w:color w:val="1A252F"/>
                <w:sz w:val="18"/>
              </w:rPr>
              <w:t xml:space="preserve">Legislation</w:t>
            </w:r>
          </w:p>
        </w:tc>
        <w:tc>
          <w:tcPr>
            <w:tcW w:w="1800" w:type="dxa"/>
          </w:tcPr>
          <w:p>
            <w:pPr>
              <w:spacing w:before="40" w:after="40" w:line="240" w:lineRule="auto"/>
            </w:pPr>
            <w:r>
              <w:rPr>
                <w:color w:val="1A252F"/>
                <w:sz w:val="18"/>
              </w:rPr>
              <w:t xml:space="preserve">2023</w:t>
            </w:r>
          </w:p>
        </w:tc>
        <w:tc>
          <w:tcPr>
            <w:tcW w:w="1800" w:type="dxa"/>
          </w:tcPr>
          <w:p>
            <w:pPr>
              <w:spacing w:before="40" w:after="40" w:line="240" w:lineRule="auto"/>
            </w:pPr>
            <w:r>
              <w:rPr>
                <w:color w:val="1A252F"/>
                <w:sz w:val="18"/>
              </w:rPr>
              <w:t xml:space="preserve">https://www.iefp.pt/</w:t>
            </w:r>
          </w:p>
        </w:tc>
      </w:tr>
      <w:tr>
        <w:tc>
          <w:tcPr>
            <w:tcW w:w="1800" w:type="dxa"/>
          </w:tcPr>
          <w:p>
            <w:pPr>
              <w:spacing w:before="40" w:after="40" w:line="240" w:lineRule="auto"/>
            </w:pPr>
            <w:r>
              <w:rPr>
                <w:color w:val="1A252F"/>
                <w:sz w:val="18"/>
              </w:rPr>
              <w:t xml:space="preserve">32</w:t>
            </w:r>
          </w:p>
        </w:tc>
        <w:tc>
          <w:tcPr>
            <w:tcW w:w="1800" w:type="dxa"/>
          </w:tcPr>
          <w:p>
            <w:pPr>
              <w:spacing w:before="40" w:after="40" w:line="240" w:lineRule="auto"/>
            </w:pPr>
            <w:r>
              <w:rPr>
                <w:color w:val="1A252F"/>
                <w:sz w:val="18"/>
              </w:rPr>
              <w:t xml:space="preserve">San Francisco OLSE — Gig Worker Enforcement Actions</w:t>
            </w:r>
          </w:p>
        </w:tc>
        <w:tc>
          <w:tcPr>
            <w:tcW w:w="1800" w:type="dxa"/>
          </w:tcPr>
          <w:p>
            <w:pPr>
              <w:spacing w:before="40" w:after="40" w:line="240" w:lineRule="auto"/>
            </w:pPr>
            <w:r>
              <w:rPr>
                <w:color w:val="1A252F"/>
                <w:sz w:val="18"/>
              </w:rPr>
              <w:t xml:space="preserve">Government</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https://sf.gov/olse</w:t>
            </w:r>
          </w:p>
        </w:tc>
      </w:tr>
      <w:tr>
        <w:tc>
          <w:tcPr>
            <w:tcW w:w="1800" w:type="dxa"/>
          </w:tcPr>
          <w:p>
            <w:pPr>
              <w:spacing w:before="40" w:after="40" w:line="240" w:lineRule="auto"/>
            </w:pPr>
            <w:r>
              <w:rPr>
                <w:color w:val="1A252F"/>
                <w:sz w:val="18"/>
              </w:rPr>
              <w:t xml:space="preserve">33</w:t>
            </w:r>
          </w:p>
        </w:tc>
        <w:tc>
          <w:tcPr>
            <w:tcW w:w="1800" w:type="dxa"/>
          </w:tcPr>
          <w:p>
            <w:pPr>
              <w:spacing w:before="40" w:after="40" w:line="240" w:lineRule="auto"/>
            </w:pPr>
            <w:r>
              <w:rPr>
                <w:color w:val="1A252F"/>
                <w:sz w:val="18"/>
              </w:rPr>
              <w:t xml:space="preserve">Seattle Office of Labor Standards — Amazon Flex Settlement</w:t>
            </w:r>
          </w:p>
        </w:tc>
        <w:tc>
          <w:tcPr>
            <w:tcW w:w="1800" w:type="dxa"/>
          </w:tcPr>
          <w:p>
            <w:pPr>
              <w:spacing w:before="40" w:after="40" w:line="240" w:lineRule="auto"/>
            </w:pPr>
            <w:r>
              <w:rPr>
                <w:color w:val="1A252F"/>
                <w:sz w:val="18"/>
              </w:rPr>
              <w:t xml:space="preserve">Government</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https://www.seattle.gov/laborstandards/</w:t>
            </w:r>
          </w:p>
        </w:tc>
      </w:tr>
      <w:tr>
        <w:tc>
          <w:tcPr>
            <w:tcW w:w="1800" w:type="dxa"/>
          </w:tcPr>
          <w:p>
            <w:pPr>
              <w:spacing w:before="40" w:after="40" w:line="240" w:lineRule="auto"/>
            </w:pPr>
            <w:r>
              <w:rPr>
                <w:color w:val="1A252F"/>
                <w:sz w:val="18"/>
              </w:rPr>
              <w:t xml:space="preserve">34</w:t>
            </w:r>
          </w:p>
        </w:tc>
        <w:tc>
          <w:tcPr>
            <w:tcW w:w="1800" w:type="dxa"/>
          </w:tcPr>
          <w:p>
            <w:pPr>
              <w:spacing w:before="40" w:after="40" w:line="240" w:lineRule="auto"/>
            </w:pPr>
            <w:r>
              <w:rPr>
                <w:color w:val="1A252F"/>
                <w:sz w:val="18"/>
              </w:rPr>
              <w:t xml:space="preserve">Seattle Office of Labor Standards — Uber Eats Settlement</w:t>
            </w:r>
          </w:p>
        </w:tc>
        <w:tc>
          <w:tcPr>
            <w:tcW w:w="1800" w:type="dxa"/>
          </w:tcPr>
          <w:p>
            <w:pPr>
              <w:spacing w:before="40" w:after="40" w:line="240" w:lineRule="auto"/>
            </w:pPr>
            <w:r>
              <w:rPr>
                <w:color w:val="1A252F"/>
                <w:sz w:val="18"/>
              </w:rPr>
              <w:t xml:space="preserve">Government</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https://www.seattle.gov/laborstandards/</w:t>
            </w:r>
          </w:p>
        </w:tc>
      </w:tr>
      <w:tr>
        <w:tc>
          <w:tcPr>
            <w:tcW w:w="1800" w:type="dxa"/>
          </w:tcPr>
          <w:p>
            <w:pPr>
              <w:spacing w:before="40" w:after="40" w:line="240" w:lineRule="auto"/>
            </w:pPr>
            <w:r>
              <w:rPr>
                <w:color w:val="1A252F"/>
                <w:sz w:val="18"/>
              </w:rPr>
              <w:t xml:space="preserve">35</w:t>
            </w:r>
          </w:p>
        </w:tc>
        <w:tc>
          <w:tcPr>
            <w:tcW w:w="1800" w:type="dxa"/>
          </w:tcPr>
          <w:p>
            <w:pPr>
              <w:spacing w:before="40" w:after="40" w:line="240" w:lineRule="auto"/>
            </w:pPr>
            <w:r>
              <w:rPr>
                <w:color w:val="1A252F"/>
                <w:sz w:val="18"/>
              </w:rPr>
              <w:t xml:space="preserve">Singapore Ministry of Manpower — Platform Workers Act 2024</w:t>
            </w:r>
          </w:p>
        </w:tc>
        <w:tc>
          <w:tcPr>
            <w:tcW w:w="1800" w:type="dxa"/>
          </w:tcPr>
          <w:p>
            <w:pPr>
              <w:spacing w:before="40" w:after="40" w:line="240" w:lineRule="auto"/>
            </w:pPr>
            <w:r>
              <w:rPr>
                <w:color w:val="1A252F"/>
                <w:sz w:val="18"/>
              </w:rPr>
              <w:t xml:space="preserve">Legislation</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https://www.mom.gov.sg/legislation/platform-workers-act</w:t>
            </w:r>
          </w:p>
        </w:tc>
      </w:tr>
      <w:tr>
        <w:tc>
          <w:tcPr>
            <w:tcW w:w="1800" w:type="dxa"/>
          </w:tcPr>
          <w:p>
            <w:pPr>
              <w:spacing w:before="40" w:after="40" w:line="240" w:lineRule="auto"/>
            </w:pPr>
            <w:r>
              <w:rPr>
                <w:color w:val="1A252F"/>
                <w:sz w:val="18"/>
              </w:rPr>
              <w:t xml:space="preserve">36</w:t>
            </w:r>
          </w:p>
        </w:tc>
        <w:tc>
          <w:tcPr>
            <w:tcW w:w="1800" w:type="dxa"/>
          </w:tcPr>
          <w:p>
            <w:pPr>
              <w:spacing w:before="40" w:after="40" w:line="240" w:lineRule="auto"/>
            </w:pPr>
            <w:r>
              <w:rPr>
                <w:color w:val="1A252F"/>
                <w:sz w:val="18"/>
              </w:rPr>
              <w:t xml:space="preserve">Spain Rider Law (Real Decreto-Ley 9/2021)</w:t>
            </w:r>
          </w:p>
        </w:tc>
        <w:tc>
          <w:tcPr>
            <w:tcW w:w="1800" w:type="dxa"/>
          </w:tcPr>
          <w:p>
            <w:pPr>
              <w:spacing w:before="40" w:after="40" w:line="240" w:lineRule="auto"/>
            </w:pPr>
            <w:r>
              <w:rPr>
                <w:color w:val="1A252F"/>
                <w:sz w:val="18"/>
              </w:rPr>
              <w:t xml:space="preserve">Legislation</w:t>
            </w:r>
          </w:p>
        </w:tc>
        <w:tc>
          <w:tcPr>
            <w:tcW w:w="1800" w:type="dxa"/>
          </w:tcPr>
          <w:p>
            <w:pPr>
              <w:spacing w:before="40" w:after="40" w:line="240" w:lineRule="auto"/>
            </w:pPr>
            <w:r>
              <w:rPr>
                <w:color w:val="1A252F"/>
                <w:sz w:val="18"/>
              </w:rPr>
              <w:t xml:space="preserve">2021</w:t>
            </w:r>
          </w:p>
        </w:tc>
        <w:tc>
          <w:tcPr>
            <w:tcW w:w="1800" w:type="dxa"/>
          </w:tcPr>
          <w:p>
            <w:pPr>
              <w:spacing w:before="40" w:after="40" w:line="240" w:lineRule="auto"/>
            </w:pPr>
            <w:r>
              <w:rPr>
                <w:color w:val="1A252F"/>
                <w:sz w:val="18"/>
              </w:rPr>
              <w:t xml:space="preserve">https://www.boe.es/buscar/doc.php?id=BOE-A-2021-7944</w:t>
            </w:r>
          </w:p>
        </w:tc>
      </w:tr>
      <w:tr>
        <w:tc>
          <w:tcPr>
            <w:tcW w:w="1800" w:type="dxa"/>
          </w:tcPr>
          <w:p>
            <w:pPr>
              <w:spacing w:before="40" w:after="40" w:line="240" w:lineRule="auto"/>
            </w:pPr>
            <w:r>
              <w:rPr>
                <w:color w:val="1A252F"/>
                <w:sz w:val="18"/>
              </w:rPr>
              <w:t xml:space="preserve">37</w:t>
            </w:r>
          </w:p>
        </w:tc>
        <w:tc>
          <w:tcPr>
            <w:tcW w:w="1800" w:type="dxa"/>
          </w:tcPr>
          <w:p>
            <w:pPr>
              <w:spacing w:before="40" w:after="40" w:line="240" w:lineRule="auto"/>
            </w:pPr>
            <w:r>
              <w:rPr>
                <w:color w:val="1A252F"/>
                <w:sz w:val="18"/>
              </w:rPr>
              <w:t xml:space="preserve">UK Supreme Court — Uber BV v Aslam [2021] UKSC 5</w:t>
            </w:r>
          </w:p>
        </w:tc>
        <w:tc>
          <w:tcPr>
            <w:tcW w:w="1800" w:type="dxa"/>
          </w:tcPr>
          <w:p>
            <w:pPr>
              <w:spacing w:before="40" w:after="40" w:line="240" w:lineRule="auto"/>
            </w:pPr>
            <w:r>
              <w:rPr>
                <w:color w:val="1A252F"/>
                <w:sz w:val="18"/>
              </w:rPr>
              <w:t xml:space="preserve">Court</w:t>
            </w:r>
          </w:p>
        </w:tc>
        <w:tc>
          <w:tcPr>
            <w:tcW w:w="1800" w:type="dxa"/>
          </w:tcPr>
          <w:p>
            <w:pPr>
              <w:spacing w:before="40" w:after="40" w:line="240" w:lineRule="auto"/>
            </w:pPr>
            <w:r>
              <w:rPr>
                <w:color w:val="1A252F"/>
                <w:sz w:val="18"/>
              </w:rPr>
              <w:t xml:space="preserve">2021</w:t>
            </w:r>
          </w:p>
        </w:tc>
        <w:tc>
          <w:tcPr>
            <w:tcW w:w="1800" w:type="dxa"/>
          </w:tcPr>
          <w:p>
            <w:pPr>
              <w:spacing w:before="40" w:after="40" w:line="240" w:lineRule="auto"/>
            </w:pPr>
            <w:r>
              <w:rPr>
                <w:color w:val="1A252F"/>
                <w:sz w:val="18"/>
              </w:rPr>
              <w:t xml:space="preserve">https://www.supremecourt.uk/cases/uksc-2019-0029.html</w:t>
            </w:r>
          </w:p>
        </w:tc>
      </w:tr>
      <w:tr>
        <w:tc>
          <w:tcPr>
            <w:tcW w:w="1800" w:type="dxa"/>
          </w:tcPr>
          <w:p>
            <w:pPr>
              <w:spacing w:before="40" w:after="40" w:line="240" w:lineRule="auto"/>
            </w:pPr>
            <w:r>
              <w:rPr>
                <w:color w:val="1A252F"/>
                <w:sz w:val="18"/>
              </w:rPr>
              <w:t xml:space="preserve">38</w:t>
            </w:r>
          </w:p>
        </w:tc>
        <w:tc>
          <w:tcPr>
            <w:tcW w:w="1800" w:type="dxa"/>
          </w:tcPr>
          <w:p>
            <w:pPr>
              <w:spacing w:before="40" w:after="40" w:line="240" w:lineRule="auto"/>
            </w:pPr>
            <w:r>
              <w:rPr>
                <w:color w:val="1A252F"/>
                <w:sz w:val="18"/>
              </w:rPr>
              <w:t xml:space="preserve">US Department of Labor — Fair Labor Standards Act</w:t>
            </w:r>
          </w:p>
        </w:tc>
        <w:tc>
          <w:tcPr>
            <w:tcW w:w="1800" w:type="dxa"/>
          </w:tcPr>
          <w:p>
            <w:pPr>
              <w:spacing w:before="40" w:after="40" w:line="240" w:lineRule="auto"/>
            </w:pPr>
            <w:r>
              <w:rPr>
                <w:color w:val="1A252F"/>
                <w:sz w:val="18"/>
              </w:rPr>
              <w:t xml:space="preserve">Legislation</w:t>
            </w:r>
          </w:p>
        </w:tc>
        <w:tc>
          <w:tcPr>
            <w:tcW w:w="1800" w:type="dxa"/>
          </w:tcPr>
          <w:p>
            <w:pPr>
              <w:spacing w:before="40" w:after="40" w:line="240" w:lineRule="auto"/>
            </w:pPr>
            <w:r>
              <w:rPr>
                <w:color w:val="1A252F"/>
                <w:sz w:val="18"/>
              </w:rPr>
              <w:t xml:space="preserve">1938</w:t>
            </w:r>
          </w:p>
        </w:tc>
        <w:tc>
          <w:tcPr>
            <w:tcW w:w="1800" w:type="dxa"/>
          </w:tcPr>
          <w:p>
            <w:pPr>
              <w:spacing w:before="40" w:after="40" w:line="240" w:lineRule="auto"/>
            </w:pPr>
            <w:r>
              <w:rPr>
                <w:color w:val="1A252F"/>
                <w:sz w:val="18"/>
              </w:rPr>
              <w:t xml:space="preserve">https://www.dol.gov/agencies/whd/flsa</w:t>
            </w:r>
          </w:p>
        </w:tc>
      </w:tr>
      <w:tr>
        <w:tc>
          <w:tcPr>
            <w:tcW w:w="1800" w:type="dxa"/>
          </w:tcPr>
          <w:p>
            <w:pPr>
              <w:spacing w:before="40" w:after="40" w:line="240" w:lineRule="auto"/>
            </w:pPr>
            <w:r>
              <w:rPr>
                <w:color w:val="1A252F"/>
                <w:sz w:val="18"/>
              </w:rPr>
              <w:t xml:space="preserve">39</w:t>
            </w:r>
          </w:p>
        </w:tc>
        <w:tc>
          <w:tcPr>
            <w:tcW w:w="1800" w:type="dxa"/>
          </w:tcPr>
          <w:p>
            <w:pPr>
              <w:spacing w:before="40" w:after="40" w:line="240" w:lineRule="auto"/>
            </w:pPr>
            <w:r>
              <w:rPr>
                <w:color w:val="1A252F"/>
                <w:sz w:val="18"/>
              </w:rPr>
              <w:t xml:space="preserve">US DOL — 2024 Independent Contractor Rule</w:t>
            </w:r>
          </w:p>
        </w:tc>
        <w:tc>
          <w:tcPr>
            <w:tcW w:w="1800" w:type="dxa"/>
          </w:tcPr>
          <w:p>
            <w:pPr>
              <w:spacing w:before="40" w:after="40" w:line="240" w:lineRule="auto"/>
            </w:pPr>
            <w:r>
              <w:rPr>
                <w:color w:val="1A252F"/>
                <w:sz w:val="18"/>
              </w:rPr>
              <w:t xml:space="preserve">Government</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https://www.dol.gov/agencies/whd/flsa/2024-Misclassification-Final-Rule</w:t>
            </w:r>
          </w:p>
        </w:tc>
      </w:tr>
      <w:tr>
        <w:tc>
          <w:tcPr>
            <w:tcW w:w="1800" w:type="dxa"/>
          </w:tcPr>
          <w:p>
            <w:pPr>
              <w:spacing w:before="40" w:after="40" w:line="240" w:lineRule="auto"/>
            </w:pPr>
            <w:r>
              <w:rPr>
                <w:color w:val="1A252F"/>
                <w:sz w:val="18"/>
              </w:rPr>
              <w:t xml:space="preserve">40</w:t>
            </w:r>
          </w:p>
        </w:tc>
        <w:tc>
          <w:tcPr>
            <w:tcW w:w="1800" w:type="dxa"/>
          </w:tcPr>
          <w:p>
            <w:pPr>
              <w:spacing w:before="40" w:after="40" w:line="240" w:lineRule="auto"/>
            </w:pPr>
            <w:r>
              <w:rPr>
                <w:color w:val="1A252F"/>
                <w:sz w:val="18"/>
              </w:rPr>
              <w:t xml:space="preserve">US DOL — Scale AI Investigation (subsequently dropped)</w:t>
            </w:r>
          </w:p>
        </w:tc>
        <w:tc>
          <w:tcPr>
            <w:tcW w:w="1800" w:type="dxa"/>
          </w:tcPr>
          <w:p>
            <w:pPr>
              <w:spacing w:before="40" w:after="40" w:line="240" w:lineRule="auto"/>
            </w:pPr>
            <w:r>
              <w:rPr>
                <w:color w:val="1A252F"/>
                <w:sz w:val="18"/>
              </w:rPr>
              <w:t xml:space="preserve">Government</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https://www.dol.gov/</w:t>
            </w:r>
          </w:p>
        </w:tc>
      </w:tr>
      <w:tr>
        <w:tc>
          <w:tcPr>
            <w:tcW w:w="1800" w:type="dxa"/>
          </w:tcPr>
          <w:p>
            <w:pPr>
              <w:spacing w:before="40" w:after="40" w:line="240" w:lineRule="auto"/>
            </w:pPr>
            <w:r>
              <w:rPr>
                <w:color w:val="1A252F"/>
                <w:sz w:val="18"/>
              </w:rPr>
              <w:t xml:space="preserve">41</w:t>
            </w:r>
          </w:p>
        </w:tc>
        <w:tc>
          <w:tcPr>
            <w:tcW w:w="1800" w:type="dxa"/>
          </w:tcPr>
          <w:p>
            <w:pPr>
              <w:spacing w:before="40" w:after="40" w:line="240" w:lineRule="auto"/>
            </w:pPr>
            <w:r>
              <w:rPr>
                <w:color w:val="1A252F"/>
                <w:sz w:val="18"/>
              </w:rPr>
              <w:t xml:space="preserve">Wage and Hour Division (WHD) — Wage Theft Recovery Reports</w:t>
            </w:r>
          </w:p>
        </w:tc>
        <w:tc>
          <w:tcPr>
            <w:tcW w:w="1800" w:type="dxa"/>
          </w:tcPr>
          <w:p>
            <w:pPr>
              <w:spacing w:before="40" w:after="40" w:line="240" w:lineRule="auto"/>
            </w:pPr>
            <w:r>
              <w:rPr>
                <w:color w:val="1A252F"/>
                <w:sz w:val="18"/>
              </w:rPr>
              <w:t xml:space="preserve">Government</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https://www.dol.gov/agencies/whd/</w:t>
            </w:r>
          </w:p>
        </w:tc>
      </w:tr>
    </w:tbl>
    <w:p>
      <w:pPr>
        <w:spacing w:after="200"/>
      </w:pPr>
    </w:p>
    <w:p>
      <w:pPr>
        <w:spacing w:after="160" w:line="300" w:lineRule="auto"/>
      </w:pPr>
      <w:r>
        <w:rPr>
          <w:color w:val="1A252F"/>
          <w:sz w:val="22"/>
        </w:rPr>
        <w:t xml:space="preserve">The Tier 1 corpus captures a period of extraordinary regulatory activity. Between 2020 and 2025, courts in California, the UK, France, Spain, Portugal, and India issued landmark rulings reclassifying platform workers as employees or establishing presumptions of employment. State attorneys general in New York, Massachusetts, Illinois, and DC secured settlements totaling over $525 million. The EU codified these developments into the Platform Work Directive (2024/2831), creating a bloc-wide rebuttable presumption of employment. These sources provide the legal architecture within which the wage theft documented in this report operates — and against which it is increasingly being challenged.</w:t>
      </w:r>
    </w:p>
    <w:p>
      <w:pPr>
        <w:pStyle w:val="Heading2"/>
      </w:pPr>
      <w:r>
        <w:rPr>
          <w:color w:val="1A252F"/>
          <w:sz w:val="22"/>
        </w:rPr>
        <w:t xml:space="preserve">6.2 Academic Sources (Tier 2)</w:t>
      </w:r>
    </w:p>
    <w:p>
      <w:pPr>
        <w:spacing w:after="160" w:line="300" w:lineRule="auto"/>
      </w:pPr>
      <w:r>
        <w:rPr>
          <w:color w:val="1A252F"/>
          <w:sz w:val="22"/>
        </w:rPr>
        <w:t xml:space="preserve">Tier 2 sources provide the analytical and methodological rigor that undergirds the report's empirical claims. The 36 entries span peer-reviewed journals in law, human-computer interaction, sociology, public health, and labor economics; policy research from international organizations; and investigative research from established think tanks and non-governmental organizations.</w:t>
      </w:r>
    </w:p>
    <w:tbl>
      <w:tblPr>
        <w:tblW w:w="5000" w:type="pct"/>
        <w:tblBorders>
          <w:top w:val="single" w:color="2C3E50" w:sz="12"/>
          <w:left w:val="nil"/>
          <w:bottom w:val="single" w:color="2C3E50" w:sz="12"/>
          <w:right w:val="nil"/>
          <w:insideH w:val="single" w:color="BDC3C7" w:sz="4"/>
          <w:insideV w:val="nil"/>
        </w:tblBorders>
        <w:tblLook w:val="04A0" w:firstRow="true"/>
      </w:tblPr>
      <w:tblGrid>
        <w:gridCol w:w="1800"/>
        <w:gridCol w:w="1800"/>
        <w:gridCol w:w="1800"/>
        <w:gridCol w:w="1800"/>
        <w:gridCol w:w="1800"/>
      </w:tblGrid>
      <w:tr>
        <w:trPr>
          <w:tblHeader/>
        </w:trPr>
        <w:tc>
          <w:tcPr>
            <w:tcW w:w="1800" w:type="dxa"/>
            <w:tcBorders>
              <w:bottom w:val="single" w:color="2C3E50" w:sz="6"/>
            </w:tcBorders>
            <w:shd w:val="clear" w:fill="EDF0F2"/>
          </w:tcPr>
          <w:p>
            <w:pPr>
              <w:spacing w:before="60" w:after="60"/>
            </w:pPr>
            <w:r>
              <w:rPr>
                <w:b/>
                <w:color w:val="1A252F"/>
                <w:sz w:val="18"/>
              </w:rPr>
              <w:t xml:space="preserve">#</w:t>
            </w:r>
          </w:p>
        </w:tc>
        <w:tc>
          <w:tcPr>
            <w:tcW w:w="1800" w:type="dxa"/>
            <w:tcBorders>
              <w:bottom w:val="single" w:color="2C3E50" w:sz="6"/>
            </w:tcBorders>
            <w:shd w:val="clear" w:fill="EDF0F2"/>
          </w:tcPr>
          <w:p>
            <w:pPr>
              <w:spacing w:before="60" w:after="60"/>
            </w:pPr>
            <w:r>
              <w:rPr>
                <w:b/>
                <w:color w:val="1A252F"/>
                <w:sz w:val="18"/>
              </w:rPr>
              <w:t xml:space="preserve">Source</w:t>
            </w:r>
          </w:p>
        </w:tc>
        <w:tc>
          <w:tcPr>
            <w:tcW w:w="1800" w:type="dxa"/>
            <w:tcBorders>
              <w:bottom w:val="single" w:color="2C3E50" w:sz="6"/>
            </w:tcBorders>
            <w:shd w:val="clear" w:fill="EDF0F2"/>
          </w:tcPr>
          <w:p>
            <w:pPr>
              <w:spacing w:before="60" w:after="60"/>
            </w:pPr>
            <w:r>
              <w:rPr>
                <w:b/>
                <w:color w:val="1A252F"/>
                <w:sz w:val="18"/>
              </w:rPr>
              <w:t xml:space="preserve">Type</w:t>
            </w:r>
          </w:p>
        </w:tc>
        <w:tc>
          <w:tcPr>
            <w:tcW w:w="1800" w:type="dxa"/>
            <w:tcBorders>
              <w:bottom w:val="single" w:color="2C3E50" w:sz="6"/>
            </w:tcBorders>
            <w:shd w:val="clear" w:fill="EDF0F2"/>
          </w:tcPr>
          <w:p>
            <w:pPr>
              <w:spacing w:before="60" w:after="60"/>
            </w:pPr>
            <w:r>
              <w:rPr>
                <w:b/>
                <w:color w:val="1A252F"/>
                <w:sz w:val="18"/>
              </w:rPr>
              <w:t xml:space="preserve">Year</w:t>
            </w:r>
          </w:p>
        </w:tc>
        <w:tc>
          <w:tcPr>
            <w:tcW w:w="1800" w:type="dxa"/>
            <w:tcBorders>
              <w:bottom w:val="single" w:color="2C3E50" w:sz="6"/>
            </w:tcBorders>
            <w:shd w:val="clear" w:fill="EDF0F2"/>
          </w:tcPr>
          <w:p>
            <w:pPr>
              <w:spacing w:before="60" w:after="60"/>
            </w:pPr>
            <w:r>
              <w:rPr>
                <w:b/>
                <w:color w:val="1A252F"/>
                <w:sz w:val="18"/>
              </w:rPr>
              <w:t xml:space="preserve">URL</w:t>
            </w:r>
          </w:p>
        </w:tc>
      </w:tr>
      <w:tr>
        <w:tc>
          <w:tcPr>
            <w:tcW w:w="1800" w:type="dxa"/>
          </w:tcPr>
          <w:p>
            <w:pPr>
              <w:spacing w:before="40" w:after="40" w:line="240" w:lineRule="auto"/>
            </w:pPr>
            <w:r>
              <w:rPr>
                <w:color w:val="1A252F"/>
                <w:sz w:val="18"/>
              </w:rPr>
              <w:t xml:space="preserve">42</w:t>
            </w:r>
          </w:p>
        </w:tc>
        <w:tc>
          <w:tcPr>
            <w:tcW w:w="1800" w:type="dxa"/>
          </w:tcPr>
          <w:p>
            <w:pPr>
              <w:spacing w:before="40" w:after="40" w:line="240" w:lineRule="auto"/>
            </w:pPr>
            <w:r>
              <w:rPr>
                <w:color w:val="1A252F"/>
                <w:sz w:val="18"/>
              </w:rPr>
              <w:t xml:space="preserve">ACM Digital Library — Longitudinal Study of Uber's Algorithmic Pay</w:t>
            </w:r>
          </w:p>
        </w:tc>
        <w:tc>
          <w:tcPr>
            <w:tcW w:w="1800" w:type="dxa"/>
          </w:tcPr>
          <w:p>
            <w:pPr>
              <w:spacing w:before="40" w:after="40" w:line="240" w:lineRule="auto"/>
            </w:pPr>
            <w:r>
              <w:rPr>
                <w:color w:val="1A252F"/>
                <w:sz w:val="18"/>
              </w:rPr>
              <w:t xml:space="preserve">Peer-reviewed</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https://dl.acm.org/doi/10.1145/3715275.3732099</w:t>
            </w:r>
          </w:p>
        </w:tc>
      </w:tr>
      <w:tr>
        <w:tc>
          <w:tcPr>
            <w:tcW w:w="1800" w:type="dxa"/>
          </w:tcPr>
          <w:p>
            <w:pPr>
              <w:spacing w:before="40" w:after="40" w:line="240" w:lineRule="auto"/>
            </w:pPr>
            <w:r>
              <w:rPr>
                <w:color w:val="1A252F"/>
                <w:sz w:val="18"/>
              </w:rPr>
              <w:t xml:space="preserve">43</w:t>
            </w:r>
          </w:p>
        </w:tc>
        <w:tc>
          <w:tcPr>
            <w:tcW w:w="1800" w:type="dxa"/>
          </w:tcPr>
          <w:p>
            <w:pPr>
              <w:spacing w:before="40" w:after="40" w:line="240" w:lineRule="auto"/>
            </w:pPr>
            <w:r>
              <w:rPr>
                <w:color w:val="1A252F"/>
                <w:sz w:val="18"/>
              </w:rPr>
              <w:t xml:space="preserve">ACM Proceedings — Gig Worker Rights Protection Mechanisms</w:t>
            </w:r>
          </w:p>
        </w:tc>
        <w:tc>
          <w:tcPr>
            <w:tcW w:w="1800" w:type="dxa"/>
          </w:tcPr>
          <w:p>
            <w:pPr>
              <w:spacing w:before="40" w:after="40" w:line="240" w:lineRule="auto"/>
            </w:pPr>
            <w:r>
              <w:rPr>
                <w:color w:val="1A252F"/>
                <w:sz w:val="18"/>
              </w:rPr>
              <w:t xml:space="preserve">Peer-reviewed</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https://dl.acm.org/doi/full/10.1145/3745676.3745722</w:t>
            </w:r>
          </w:p>
        </w:tc>
      </w:tr>
      <w:tr>
        <w:tc>
          <w:tcPr>
            <w:tcW w:w="1800" w:type="dxa"/>
          </w:tcPr>
          <w:p>
            <w:pPr>
              <w:spacing w:before="40" w:after="40" w:line="240" w:lineRule="auto"/>
            </w:pPr>
            <w:r>
              <w:rPr>
                <w:color w:val="1A252F"/>
                <w:sz w:val="18"/>
              </w:rPr>
              <w:t xml:space="preserve">44</w:t>
            </w:r>
          </w:p>
        </w:tc>
        <w:tc>
          <w:tcPr>
            <w:tcW w:w="1800" w:type="dxa"/>
          </w:tcPr>
          <w:p>
            <w:pPr>
              <w:spacing w:before="40" w:after="40" w:line="240" w:lineRule="auto"/>
            </w:pPr>
            <w:r>
              <w:rPr>
                <w:color w:val="1A252F"/>
                <w:sz w:val="18"/>
              </w:rPr>
              <w:t xml:space="preserve">AlgorithmWatch — The AI Revolution Comes With Worker Exploitation</w:t>
            </w:r>
          </w:p>
        </w:tc>
        <w:tc>
          <w:tcPr>
            <w:tcW w:w="1800" w:type="dxa"/>
          </w:tcPr>
          <w:p>
            <w:pPr>
              <w:spacing w:before="40" w:after="40" w:line="240" w:lineRule="auto"/>
            </w:pPr>
            <w:r>
              <w:rPr>
                <w:color w:val="1A252F"/>
                <w:sz w:val="18"/>
              </w:rPr>
              <w:t xml:space="preserve">NGO Investigation</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https://algorithmwatch.org/en/ai-revolution-exploitation-gig-workers/</w:t>
            </w:r>
          </w:p>
        </w:tc>
      </w:tr>
      <w:tr>
        <w:tc>
          <w:tcPr>
            <w:tcW w:w="1800" w:type="dxa"/>
          </w:tcPr>
          <w:p>
            <w:pPr>
              <w:spacing w:before="40" w:after="40" w:line="240" w:lineRule="auto"/>
            </w:pPr>
            <w:r>
              <w:rPr>
                <w:color w:val="1A252F"/>
                <w:sz w:val="18"/>
              </w:rPr>
              <w:t xml:space="preserve">45</w:t>
            </w:r>
          </w:p>
        </w:tc>
        <w:tc>
          <w:tcPr>
            <w:tcW w:w="1800" w:type="dxa"/>
          </w:tcPr>
          <w:p>
            <w:pPr>
              <w:spacing w:before="40" w:after="40" w:line="240" w:lineRule="auto"/>
            </w:pPr>
            <w:r>
              <w:rPr>
                <w:color w:val="1A252F"/>
                <w:sz w:val="18"/>
              </w:rPr>
              <w:t xml:space="preserve">BMJ Open — Gig Worker Mental Health Survey</w:t>
            </w:r>
          </w:p>
        </w:tc>
        <w:tc>
          <w:tcPr>
            <w:tcW w:w="1800" w:type="dxa"/>
          </w:tcPr>
          <w:p>
            <w:pPr>
              <w:spacing w:before="40" w:after="40" w:line="240" w:lineRule="auto"/>
            </w:pPr>
            <w:r>
              <w:rPr>
                <w:color w:val="1A252F"/>
                <w:sz w:val="18"/>
              </w:rPr>
              <w:t xml:space="preserve">Peer-reviewed</w:t>
            </w:r>
          </w:p>
        </w:tc>
        <w:tc>
          <w:tcPr>
            <w:tcW w:w="1800" w:type="dxa"/>
          </w:tcPr>
          <w:p>
            <w:pPr>
              <w:spacing w:before="40" w:after="40" w:line="240" w:lineRule="auto"/>
            </w:pPr>
            <w:r>
              <w:rPr>
                <w:color w:val="1A252F"/>
                <w:sz w:val="18"/>
              </w:rPr>
              <w:t xml:space="preserve">2022</w:t>
            </w:r>
          </w:p>
        </w:tc>
        <w:tc>
          <w:tcPr>
            <w:tcW w:w="1800" w:type="dxa"/>
          </w:tcPr>
          <w:p>
            <w:pPr>
              <w:spacing w:before="40" w:after="40" w:line="240" w:lineRule="auto"/>
            </w:pPr>
            <w:r>
              <w:rPr>
                <w:color w:val="1A252F"/>
                <w:sz w:val="18"/>
              </w:rPr>
              <w:t xml:space="preserve">https://bmjopen.bmj.com/content/12/12/e065517</w:t>
            </w:r>
          </w:p>
        </w:tc>
      </w:tr>
      <w:tr>
        <w:tc>
          <w:tcPr>
            <w:tcW w:w="1800" w:type="dxa"/>
          </w:tcPr>
          <w:p>
            <w:pPr>
              <w:spacing w:before="40" w:after="40" w:line="240" w:lineRule="auto"/>
            </w:pPr>
            <w:r>
              <w:rPr>
                <w:color w:val="1A252F"/>
                <w:sz w:val="18"/>
              </w:rPr>
              <w:t xml:space="preserve">46</w:t>
            </w:r>
          </w:p>
        </w:tc>
        <w:tc>
          <w:tcPr>
            <w:tcW w:w="1800" w:type="dxa"/>
          </w:tcPr>
          <w:p>
            <w:pPr>
              <w:spacing w:before="40" w:after="40" w:line="240" w:lineRule="auto"/>
            </w:pPr>
            <w:r>
              <w:rPr>
                <w:color w:val="1A252F"/>
                <w:sz w:val="18"/>
              </w:rPr>
              <w:t xml:space="preserve">Columbia Law Review — Dubal, On Algorithmic Wage Discrimination</w:t>
            </w:r>
          </w:p>
        </w:tc>
        <w:tc>
          <w:tcPr>
            <w:tcW w:w="1800" w:type="dxa"/>
          </w:tcPr>
          <w:p>
            <w:pPr>
              <w:spacing w:before="40" w:after="40" w:line="240" w:lineRule="auto"/>
            </w:pPr>
            <w:r>
              <w:rPr>
                <w:color w:val="1A252F"/>
                <w:sz w:val="18"/>
              </w:rPr>
              <w:t xml:space="preserve">Peer-reviewed</w:t>
            </w:r>
          </w:p>
        </w:tc>
        <w:tc>
          <w:tcPr>
            <w:tcW w:w="1800" w:type="dxa"/>
          </w:tcPr>
          <w:p>
            <w:pPr>
              <w:spacing w:before="40" w:after="40" w:line="240" w:lineRule="auto"/>
            </w:pPr>
            <w:r>
              <w:rPr>
                <w:color w:val="1A252F"/>
                <w:sz w:val="18"/>
              </w:rPr>
              <w:t xml:space="preserve">2023</w:t>
            </w:r>
          </w:p>
        </w:tc>
        <w:tc>
          <w:tcPr>
            <w:tcW w:w="1800" w:type="dxa"/>
          </w:tcPr>
          <w:p>
            <w:pPr>
              <w:spacing w:before="40" w:after="40" w:line="240" w:lineRule="auto"/>
            </w:pPr>
            <w:r>
              <w:rPr>
                <w:color w:val="1A252F"/>
                <w:sz w:val="18"/>
              </w:rPr>
              <w:t xml:space="preserve">https://columbialawreview.org/content/on-algorithmic-wage-discrimination/</w:t>
            </w:r>
          </w:p>
        </w:tc>
      </w:tr>
      <w:tr>
        <w:tc>
          <w:tcPr>
            <w:tcW w:w="1800" w:type="dxa"/>
          </w:tcPr>
          <w:p>
            <w:pPr>
              <w:spacing w:before="40" w:after="40" w:line="240" w:lineRule="auto"/>
            </w:pPr>
            <w:r>
              <w:rPr>
                <w:color w:val="1A252F"/>
                <w:sz w:val="18"/>
              </w:rPr>
              <w:t xml:space="preserve">47</w:t>
            </w:r>
          </w:p>
        </w:tc>
        <w:tc>
          <w:tcPr>
            <w:tcW w:w="1800" w:type="dxa"/>
          </w:tcPr>
          <w:p>
            <w:pPr>
              <w:spacing w:before="40" w:after="40" w:line="240" w:lineRule="auto"/>
            </w:pPr>
            <w:r>
              <w:rPr>
                <w:color w:val="1A252F"/>
                <w:sz w:val="18"/>
              </w:rPr>
              <w:t xml:space="preserve">Cornell ILR — Just Cause for NYC Gig Workers Policy Brief</w:t>
            </w:r>
          </w:p>
        </w:tc>
        <w:tc>
          <w:tcPr>
            <w:tcW w:w="1800" w:type="dxa"/>
          </w:tcPr>
          <w:p>
            <w:pPr>
              <w:spacing w:before="40" w:after="40" w:line="240" w:lineRule="auto"/>
            </w:pPr>
            <w:r>
              <w:rPr>
                <w:color w:val="1A252F"/>
                <w:sz w:val="18"/>
              </w:rPr>
              <w:t xml:space="preserve">Academic/Policy</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https://www.ilr.cornell.edu/carow/</w:t>
            </w:r>
          </w:p>
        </w:tc>
      </w:tr>
      <w:tr>
        <w:tc>
          <w:tcPr>
            <w:tcW w:w="1800" w:type="dxa"/>
          </w:tcPr>
          <w:p>
            <w:pPr>
              <w:spacing w:before="40" w:after="40" w:line="240" w:lineRule="auto"/>
            </w:pPr>
            <w:r>
              <w:rPr>
                <w:color w:val="1A252F"/>
                <w:sz w:val="18"/>
              </w:rPr>
              <w:t xml:space="preserve">48</w:t>
            </w:r>
          </w:p>
        </w:tc>
        <w:tc>
          <w:tcPr>
            <w:tcW w:w="1800" w:type="dxa"/>
          </w:tcPr>
          <w:p>
            <w:pPr>
              <w:spacing w:before="40" w:after="40" w:line="240" w:lineRule="auto"/>
            </w:pPr>
            <w:r>
              <w:rPr>
                <w:color w:val="1A252F"/>
                <w:sz w:val="18"/>
              </w:rPr>
              <w:t xml:space="preserve">Cureus — Stress and the Gig Economy</w:t>
            </w:r>
          </w:p>
        </w:tc>
        <w:tc>
          <w:tcPr>
            <w:tcW w:w="1800" w:type="dxa"/>
          </w:tcPr>
          <w:p>
            <w:pPr>
              <w:spacing w:before="40" w:after="40" w:line="240" w:lineRule="auto"/>
            </w:pPr>
            <w:r>
              <w:rPr>
                <w:color w:val="1A252F"/>
                <w:sz w:val="18"/>
              </w:rPr>
              <w:t xml:space="preserve">Peer-reviewed</w:t>
            </w:r>
          </w:p>
        </w:tc>
        <w:tc>
          <w:tcPr>
            <w:tcW w:w="1800" w:type="dxa"/>
          </w:tcPr>
          <w:p>
            <w:pPr>
              <w:spacing w:before="40" w:after="40" w:line="240" w:lineRule="auto"/>
            </w:pPr>
            <w:r>
              <w:rPr>
                <w:color w:val="1A252F"/>
                <w:sz w:val="18"/>
              </w:rPr>
              <w:t xml:space="preserve">2022</w:t>
            </w:r>
          </w:p>
        </w:tc>
        <w:tc>
          <w:tcPr>
            <w:tcW w:w="1800" w:type="dxa"/>
          </w:tcPr>
          <w:p>
            <w:pPr>
              <w:spacing w:before="40" w:after="40" w:line="240" w:lineRule="auto"/>
            </w:pPr>
            <w:r>
              <w:rPr>
                <w:color w:val="1A252F"/>
                <w:sz w:val="18"/>
              </w:rPr>
              <w:t xml:space="preserve">https://www.cureus.com/articles/128679/</w:t>
            </w:r>
          </w:p>
        </w:tc>
      </w:tr>
      <w:tr>
        <w:tc>
          <w:tcPr>
            <w:tcW w:w="1800" w:type="dxa"/>
          </w:tcPr>
          <w:p>
            <w:pPr>
              <w:spacing w:before="40" w:after="40" w:line="240" w:lineRule="auto"/>
            </w:pPr>
            <w:r>
              <w:rPr>
                <w:color w:val="1A252F"/>
                <w:sz w:val="18"/>
              </w:rPr>
              <w:t xml:space="preserve">49</w:t>
            </w:r>
          </w:p>
        </w:tc>
        <w:tc>
          <w:tcPr>
            <w:tcW w:w="1800" w:type="dxa"/>
          </w:tcPr>
          <w:p>
            <w:pPr>
              <w:spacing w:before="40" w:after="40" w:line="240" w:lineRule="auto"/>
            </w:pPr>
            <w:r>
              <w:rPr>
                <w:color w:val="1A252F"/>
                <w:sz w:val="18"/>
              </w:rPr>
              <w:t xml:space="preserve">DiGIT/University of Cambridge — CBR Digital Platform Work Index</w:t>
            </w:r>
          </w:p>
        </w:tc>
        <w:tc>
          <w:tcPr>
            <w:tcW w:w="1800" w:type="dxa"/>
          </w:tcPr>
          <w:p>
            <w:pPr>
              <w:spacing w:before="40" w:after="40" w:line="240" w:lineRule="auto"/>
            </w:pPr>
            <w:r>
              <w:rPr>
                <w:color w:val="1A252F"/>
                <w:sz w:val="18"/>
              </w:rPr>
              <w:t xml:space="preserve">Academic</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https://digitresearch.org/</w:t>
            </w:r>
          </w:p>
        </w:tc>
      </w:tr>
      <w:tr>
        <w:tc>
          <w:tcPr>
            <w:tcW w:w="1800" w:type="dxa"/>
          </w:tcPr>
          <w:p>
            <w:pPr>
              <w:spacing w:before="40" w:after="40" w:line="240" w:lineRule="auto"/>
            </w:pPr>
            <w:r>
              <w:rPr>
                <w:color w:val="1A252F"/>
                <w:sz w:val="18"/>
              </w:rPr>
              <w:t xml:space="preserve">50</w:t>
            </w:r>
          </w:p>
        </w:tc>
        <w:tc>
          <w:tcPr>
            <w:tcW w:w="1800" w:type="dxa"/>
          </w:tcPr>
          <w:p>
            <w:pPr>
              <w:spacing w:before="40" w:after="40" w:line="240" w:lineRule="auto"/>
            </w:pPr>
            <w:r>
              <w:rPr>
                <w:color w:val="1A252F"/>
                <w:sz w:val="18"/>
              </w:rPr>
              <w:t xml:space="preserve">Economic Policy Institute — Gig Workers Survey</w:t>
            </w:r>
          </w:p>
        </w:tc>
        <w:tc>
          <w:tcPr>
            <w:tcW w:w="1800" w:type="dxa"/>
          </w:tcPr>
          <w:p>
            <w:pPr>
              <w:spacing w:before="40" w:after="40" w:line="240" w:lineRule="auto"/>
            </w:pPr>
            <w:r>
              <w:rPr>
                <w:color w:val="1A252F"/>
                <w:sz w:val="18"/>
              </w:rPr>
              <w:t xml:space="preserve">Think Tank</w:t>
            </w:r>
          </w:p>
        </w:tc>
        <w:tc>
          <w:tcPr>
            <w:tcW w:w="1800" w:type="dxa"/>
          </w:tcPr>
          <w:p>
            <w:pPr>
              <w:spacing w:before="40" w:after="40" w:line="240" w:lineRule="auto"/>
            </w:pPr>
            <w:r>
              <w:rPr>
                <w:color w:val="1A252F"/>
                <w:sz w:val="18"/>
              </w:rPr>
              <w:t xml:space="preserve">2022</w:t>
            </w:r>
          </w:p>
        </w:tc>
        <w:tc>
          <w:tcPr>
            <w:tcW w:w="1800" w:type="dxa"/>
          </w:tcPr>
          <w:p>
            <w:pPr>
              <w:spacing w:before="40" w:after="40" w:line="240" w:lineRule="auto"/>
            </w:pPr>
            <w:r>
              <w:rPr>
                <w:color w:val="1A252F"/>
                <w:sz w:val="18"/>
              </w:rPr>
              <w:t xml:space="preserve">https://www.epi.org/publication/gig-workers-survey/</w:t>
            </w:r>
          </w:p>
        </w:tc>
      </w:tr>
      <w:tr>
        <w:tc>
          <w:tcPr>
            <w:tcW w:w="1800" w:type="dxa"/>
          </w:tcPr>
          <w:p>
            <w:pPr>
              <w:spacing w:before="40" w:after="40" w:line="240" w:lineRule="auto"/>
            </w:pPr>
            <w:r>
              <w:rPr>
                <w:color w:val="1A252F"/>
                <w:sz w:val="18"/>
              </w:rPr>
              <w:t xml:space="preserve">51</w:t>
            </w:r>
          </w:p>
        </w:tc>
        <w:tc>
          <w:tcPr>
            <w:tcW w:w="1800" w:type="dxa"/>
          </w:tcPr>
          <w:p>
            <w:pPr>
              <w:spacing w:before="40" w:after="40" w:line="240" w:lineRule="auto"/>
            </w:pPr>
            <w:r>
              <w:rPr>
                <w:color w:val="1A252F"/>
                <w:sz w:val="18"/>
              </w:rPr>
              <w:t xml:space="preserve">EPI — $1.5 Billion Stolen Wages Recovered</w:t>
            </w:r>
          </w:p>
        </w:tc>
        <w:tc>
          <w:tcPr>
            <w:tcW w:w="1800" w:type="dxa"/>
          </w:tcPr>
          <w:p>
            <w:pPr>
              <w:spacing w:before="40" w:after="40" w:line="240" w:lineRule="auto"/>
            </w:pPr>
            <w:r>
              <w:rPr>
                <w:color w:val="1A252F"/>
                <w:sz w:val="18"/>
              </w:rPr>
              <w:t xml:space="preserve">Think Tank</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https://www.epi.org/publication/wage-theft-recovery-2024/</w:t>
            </w:r>
          </w:p>
        </w:tc>
      </w:tr>
      <w:tr>
        <w:tc>
          <w:tcPr>
            <w:tcW w:w="1800" w:type="dxa"/>
          </w:tcPr>
          <w:p>
            <w:pPr>
              <w:spacing w:before="40" w:after="40" w:line="240" w:lineRule="auto"/>
            </w:pPr>
            <w:r>
              <w:rPr>
                <w:color w:val="1A252F"/>
                <w:sz w:val="18"/>
              </w:rPr>
              <w:t xml:space="preserve">52</w:t>
            </w:r>
          </w:p>
        </w:tc>
        <w:tc>
          <w:tcPr>
            <w:tcW w:w="1800" w:type="dxa"/>
          </w:tcPr>
          <w:p>
            <w:pPr>
              <w:spacing w:before="40" w:after="40" w:line="240" w:lineRule="auto"/>
            </w:pPr>
            <w:r>
              <w:rPr>
                <w:color w:val="1A252F"/>
                <w:sz w:val="18"/>
              </w:rPr>
              <w:t xml:space="preserve">EPI — Cost of Worker Misclassification</w:t>
            </w:r>
          </w:p>
        </w:tc>
        <w:tc>
          <w:tcPr>
            <w:tcW w:w="1800" w:type="dxa"/>
          </w:tcPr>
          <w:p>
            <w:pPr>
              <w:spacing w:before="40" w:after="40" w:line="240" w:lineRule="auto"/>
            </w:pPr>
            <w:r>
              <w:rPr>
                <w:color w:val="1A252F"/>
                <w:sz w:val="18"/>
              </w:rPr>
              <w:t xml:space="preserve">Think Tank</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https://www.epi.org/publication/cost-of-worker-misclassification/</w:t>
            </w:r>
          </w:p>
        </w:tc>
      </w:tr>
      <w:tr>
        <w:tc>
          <w:tcPr>
            <w:tcW w:w="1800" w:type="dxa"/>
          </w:tcPr>
          <w:p>
            <w:pPr>
              <w:spacing w:before="40" w:after="40" w:line="240" w:lineRule="auto"/>
            </w:pPr>
            <w:r>
              <w:rPr>
                <w:color w:val="1A252F"/>
                <w:sz w:val="18"/>
              </w:rPr>
              <w:t xml:space="preserve">53</w:t>
            </w:r>
          </w:p>
        </w:tc>
        <w:tc>
          <w:tcPr>
            <w:tcW w:w="1800" w:type="dxa"/>
          </w:tcPr>
          <w:p>
            <w:pPr>
              <w:spacing w:before="40" w:after="40" w:line="240" w:lineRule="auto"/>
            </w:pPr>
            <w:r>
              <w:rPr>
                <w:color w:val="1A252F"/>
                <w:sz w:val="18"/>
              </w:rPr>
              <w:t xml:space="preserve">European Labour Authority — Platform Work Comparative Study</w:t>
            </w:r>
          </w:p>
        </w:tc>
        <w:tc>
          <w:tcPr>
            <w:tcW w:w="1800" w:type="dxa"/>
          </w:tcPr>
          <w:p>
            <w:pPr>
              <w:spacing w:before="40" w:after="40" w:line="240" w:lineRule="auto"/>
            </w:pPr>
            <w:r>
              <w:rPr>
                <w:color w:val="1A252F"/>
                <w:sz w:val="18"/>
              </w:rPr>
              <w:t xml:space="preserve">Government Research</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https://www.ela.europa.eu/</w:t>
            </w:r>
          </w:p>
        </w:tc>
      </w:tr>
      <w:tr>
        <w:tc>
          <w:tcPr>
            <w:tcW w:w="1800" w:type="dxa"/>
          </w:tcPr>
          <w:p>
            <w:pPr>
              <w:spacing w:before="40" w:after="40" w:line="240" w:lineRule="auto"/>
            </w:pPr>
            <w:r>
              <w:rPr>
                <w:color w:val="1A252F"/>
                <w:sz w:val="18"/>
              </w:rPr>
              <w:t xml:space="preserve">54</w:t>
            </w:r>
          </w:p>
        </w:tc>
        <w:tc>
          <w:tcPr>
            <w:tcW w:w="1800" w:type="dxa"/>
          </w:tcPr>
          <w:p>
            <w:pPr>
              <w:spacing w:before="40" w:after="40" w:line="240" w:lineRule="auto"/>
            </w:pPr>
            <w:r>
              <w:rPr>
                <w:color w:val="1A252F"/>
                <w:sz w:val="18"/>
              </w:rPr>
              <w:t xml:space="preserve">European Papers — Decent Work in the Gig Economy (EU and ILO)</w:t>
            </w:r>
          </w:p>
        </w:tc>
        <w:tc>
          <w:tcPr>
            <w:tcW w:w="1800" w:type="dxa"/>
          </w:tcPr>
          <w:p>
            <w:pPr>
              <w:spacing w:before="40" w:after="40" w:line="240" w:lineRule="auto"/>
            </w:pPr>
            <w:r>
              <w:rPr>
                <w:color w:val="1A252F"/>
                <w:sz w:val="18"/>
              </w:rPr>
              <w:t xml:space="preserve">Peer-reviewed</w:t>
            </w:r>
          </w:p>
        </w:tc>
        <w:tc>
          <w:tcPr>
            <w:tcW w:w="1800" w:type="dxa"/>
          </w:tcPr>
          <w:p>
            <w:pPr>
              <w:spacing w:before="40" w:after="40" w:line="240" w:lineRule="auto"/>
            </w:pPr>
            <w:r>
              <w:rPr>
                <w:color w:val="1A252F"/>
                <w:sz w:val="18"/>
              </w:rPr>
              <w:t xml:space="preserve">2026</w:t>
            </w:r>
          </w:p>
        </w:tc>
        <w:tc>
          <w:tcPr>
            <w:tcW w:w="1800" w:type="dxa"/>
          </w:tcPr>
          <w:p>
            <w:pPr>
              <w:spacing w:before="40" w:after="40" w:line="240" w:lineRule="auto"/>
            </w:pPr>
            <w:r>
              <w:rPr>
                <w:color w:val="1A252F"/>
                <w:sz w:val="18"/>
              </w:rPr>
              <w:t xml:space="preserve">https://www.europeanpapers.eu/</w:t>
            </w:r>
          </w:p>
        </w:tc>
      </w:tr>
      <w:tr>
        <w:tc>
          <w:tcPr>
            <w:tcW w:w="1800" w:type="dxa"/>
          </w:tcPr>
          <w:p>
            <w:pPr>
              <w:spacing w:before="40" w:after="40" w:line="240" w:lineRule="auto"/>
            </w:pPr>
            <w:r>
              <w:rPr>
                <w:color w:val="1A252F"/>
                <w:sz w:val="18"/>
              </w:rPr>
              <w:t xml:space="preserve">55</w:t>
            </w:r>
          </w:p>
        </w:tc>
        <w:tc>
          <w:tcPr>
            <w:tcW w:w="1800" w:type="dxa"/>
          </w:tcPr>
          <w:p>
            <w:pPr>
              <w:spacing w:before="40" w:after="40" w:line="240" w:lineRule="auto"/>
            </w:pPr>
            <w:r>
              <w:rPr>
                <w:color w:val="1A252F"/>
                <w:sz w:val="18"/>
              </w:rPr>
              <w:t xml:space="preserve">Fairwork Foundation — Cloudwork Report 2022</w:t>
            </w:r>
          </w:p>
        </w:tc>
        <w:tc>
          <w:tcPr>
            <w:tcW w:w="1800" w:type="dxa"/>
          </w:tcPr>
          <w:p>
            <w:pPr>
              <w:spacing w:before="40" w:after="40" w:line="240" w:lineRule="auto"/>
            </w:pPr>
            <w:r>
              <w:rPr>
                <w:color w:val="1A252F"/>
                <w:sz w:val="18"/>
              </w:rPr>
              <w:t xml:space="preserve">Academic/NGO</w:t>
            </w:r>
          </w:p>
        </w:tc>
        <w:tc>
          <w:tcPr>
            <w:tcW w:w="1800" w:type="dxa"/>
          </w:tcPr>
          <w:p>
            <w:pPr>
              <w:spacing w:before="40" w:after="40" w:line="240" w:lineRule="auto"/>
            </w:pPr>
            <w:r>
              <w:rPr>
                <w:color w:val="1A252F"/>
                <w:sz w:val="18"/>
              </w:rPr>
              <w:t xml:space="preserve">2022</w:t>
            </w:r>
          </w:p>
        </w:tc>
        <w:tc>
          <w:tcPr>
            <w:tcW w:w="1800" w:type="dxa"/>
          </w:tcPr>
          <w:p>
            <w:pPr>
              <w:spacing w:before="40" w:after="40" w:line="240" w:lineRule="auto"/>
            </w:pPr>
            <w:r>
              <w:rPr>
                <w:color w:val="1A252F"/>
                <w:sz w:val="18"/>
              </w:rPr>
              <w:t xml:space="preserve">https://fair.work/en/fw/cloudwork-report-2022/</w:t>
            </w:r>
          </w:p>
        </w:tc>
      </w:tr>
      <w:tr>
        <w:tc>
          <w:tcPr>
            <w:tcW w:w="1800" w:type="dxa"/>
          </w:tcPr>
          <w:p>
            <w:pPr>
              <w:spacing w:before="40" w:after="40" w:line="240" w:lineRule="auto"/>
            </w:pPr>
            <w:r>
              <w:rPr>
                <w:color w:val="1A252F"/>
                <w:sz w:val="18"/>
              </w:rPr>
              <w:t xml:space="preserve">56</w:t>
            </w:r>
          </w:p>
        </w:tc>
        <w:tc>
          <w:tcPr>
            <w:tcW w:w="1800" w:type="dxa"/>
          </w:tcPr>
          <w:p>
            <w:pPr>
              <w:spacing w:before="40" w:after="40" w:line="240" w:lineRule="auto"/>
            </w:pPr>
            <w:r>
              <w:rPr>
                <w:color w:val="1A252F"/>
                <w:sz w:val="18"/>
              </w:rPr>
              <w:t xml:space="preserve">Fairwork Foundation — Spain 2024 Ratings</w:t>
            </w:r>
          </w:p>
        </w:tc>
        <w:tc>
          <w:tcPr>
            <w:tcW w:w="1800" w:type="dxa"/>
          </w:tcPr>
          <w:p>
            <w:pPr>
              <w:spacing w:before="40" w:after="40" w:line="240" w:lineRule="auto"/>
            </w:pPr>
            <w:r>
              <w:rPr>
                <w:color w:val="1A252F"/>
                <w:sz w:val="18"/>
              </w:rPr>
              <w:t xml:space="preserve">Academic/NGO</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https://fair.work/en/fw/country/spain/</w:t>
            </w:r>
          </w:p>
        </w:tc>
      </w:tr>
      <w:tr>
        <w:tc>
          <w:tcPr>
            <w:tcW w:w="1800" w:type="dxa"/>
          </w:tcPr>
          <w:p>
            <w:pPr>
              <w:spacing w:before="40" w:after="40" w:line="240" w:lineRule="auto"/>
            </w:pPr>
            <w:r>
              <w:rPr>
                <w:color w:val="1A252F"/>
                <w:sz w:val="18"/>
              </w:rPr>
              <w:t xml:space="preserve">57</w:t>
            </w:r>
          </w:p>
        </w:tc>
        <w:tc>
          <w:tcPr>
            <w:tcW w:w="1800" w:type="dxa"/>
          </w:tcPr>
          <w:p>
            <w:pPr>
              <w:spacing w:before="40" w:after="40" w:line="240" w:lineRule="auto"/>
            </w:pPr>
            <w:r>
              <w:rPr>
                <w:color w:val="1A252F"/>
                <w:sz w:val="18"/>
              </w:rPr>
              <w:t xml:space="preserve">Fairwork Foundation — State of Global Platform Economy 2023</w:t>
            </w:r>
          </w:p>
        </w:tc>
        <w:tc>
          <w:tcPr>
            <w:tcW w:w="1800" w:type="dxa"/>
          </w:tcPr>
          <w:p>
            <w:pPr>
              <w:spacing w:before="40" w:after="40" w:line="240" w:lineRule="auto"/>
            </w:pPr>
            <w:r>
              <w:rPr>
                <w:color w:val="1A252F"/>
                <w:sz w:val="18"/>
              </w:rPr>
              <w:t xml:space="preserve">Academic/NGO</w:t>
            </w:r>
          </w:p>
        </w:tc>
        <w:tc>
          <w:tcPr>
            <w:tcW w:w="1800" w:type="dxa"/>
          </w:tcPr>
          <w:p>
            <w:pPr>
              <w:spacing w:before="40" w:after="40" w:line="240" w:lineRule="auto"/>
            </w:pPr>
            <w:r>
              <w:rPr>
                <w:color w:val="1A252F"/>
                <w:sz w:val="18"/>
              </w:rPr>
              <w:t xml:space="preserve">2023</w:t>
            </w:r>
          </w:p>
        </w:tc>
        <w:tc>
          <w:tcPr>
            <w:tcW w:w="1800" w:type="dxa"/>
          </w:tcPr>
          <w:p>
            <w:pPr>
              <w:spacing w:before="40" w:after="40" w:line="240" w:lineRule="auto"/>
            </w:pPr>
            <w:r>
              <w:rPr>
                <w:color w:val="1A252F"/>
                <w:sz w:val="18"/>
              </w:rPr>
              <w:t xml:space="preserve">https://fair.work/en/fw/report-2023/</w:t>
            </w:r>
          </w:p>
        </w:tc>
      </w:tr>
      <w:tr>
        <w:tc>
          <w:tcPr>
            <w:tcW w:w="1800" w:type="dxa"/>
          </w:tcPr>
          <w:p>
            <w:pPr>
              <w:spacing w:before="40" w:after="40" w:line="240" w:lineRule="auto"/>
            </w:pPr>
            <w:r>
              <w:rPr>
                <w:color w:val="1A252F"/>
                <w:sz w:val="18"/>
              </w:rPr>
              <w:t xml:space="preserve">58</w:t>
            </w:r>
          </w:p>
        </w:tc>
        <w:tc>
          <w:tcPr>
            <w:tcW w:w="1800" w:type="dxa"/>
          </w:tcPr>
          <w:p>
            <w:pPr>
              <w:spacing w:before="40" w:after="40" w:line="240" w:lineRule="auto"/>
            </w:pPr>
            <w:r>
              <w:rPr>
                <w:color w:val="1A252F"/>
                <w:sz w:val="18"/>
              </w:rPr>
              <w:t xml:space="preserve">Fairwork Foundation — US Ratings 2025</w:t>
            </w:r>
          </w:p>
        </w:tc>
        <w:tc>
          <w:tcPr>
            <w:tcW w:w="1800" w:type="dxa"/>
          </w:tcPr>
          <w:p>
            <w:pPr>
              <w:spacing w:before="40" w:after="40" w:line="240" w:lineRule="auto"/>
            </w:pPr>
            <w:r>
              <w:rPr>
                <w:color w:val="1A252F"/>
                <w:sz w:val="18"/>
              </w:rPr>
              <w:t xml:space="preserve">Academic/NGO</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https://fair.work/en/fw/report-usa-2025/</w:t>
            </w:r>
          </w:p>
        </w:tc>
      </w:tr>
      <w:tr>
        <w:tc>
          <w:tcPr>
            <w:tcW w:w="1800" w:type="dxa"/>
          </w:tcPr>
          <w:p>
            <w:pPr>
              <w:spacing w:before="40" w:after="40" w:line="240" w:lineRule="auto"/>
            </w:pPr>
            <w:r>
              <w:rPr>
                <w:color w:val="1A252F"/>
                <w:sz w:val="18"/>
              </w:rPr>
              <w:t xml:space="preserve">59</w:t>
            </w:r>
          </w:p>
        </w:tc>
        <w:tc>
          <w:tcPr>
            <w:tcW w:w="1800" w:type="dxa"/>
          </w:tcPr>
          <w:p>
            <w:pPr>
              <w:spacing w:before="40" w:after="40" w:line="240" w:lineRule="auto"/>
            </w:pPr>
            <w:r>
              <w:rPr>
                <w:color w:val="1A252F"/>
                <w:sz w:val="18"/>
              </w:rPr>
              <w:t xml:space="preserve">Frontiers in Artificial Intelligence — Resilience Through Resistance</w:t>
            </w:r>
          </w:p>
        </w:tc>
        <w:tc>
          <w:tcPr>
            <w:tcW w:w="1800" w:type="dxa"/>
          </w:tcPr>
          <w:p>
            <w:pPr>
              <w:spacing w:before="40" w:after="40" w:line="240" w:lineRule="auto"/>
            </w:pPr>
            <w:r>
              <w:rPr>
                <w:color w:val="1A252F"/>
                <w:sz w:val="18"/>
              </w:rPr>
              <w:t xml:space="preserve">Peer-reviewed</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https://www.frontiersin.org/journals/artificial-intelligence/</w:t>
            </w:r>
          </w:p>
        </w:tc>
      </w:tr>
      <w:tr>
        <w:tc>
          <w:tcPr>
            <w:tcW w:w="1800" w:type="dxa"/>
          </w:tcPr>
          <w:p>
            <w:pPr>
              <w:spacing w:before="40" w:after="40" w:line="240" w:lineRule="auto"/>
            </w:pPr>
            <w:r>
              <w:rPr>
                <w:color w:val="1A252F"/>
                <w:sz w:val="18"/>
              </w:rPr>
              <w:t xml:space="preserve">60</w:t>
            </w:r>
          </w:p>
        </w:tc>
        <w:tc>
          <w:tcPr>
            <w:tcW w:w="1800" w:type="dxa"/>
          </w:tcPr>
          <w:p>
            <w:pPr>
              <w:spacing w:before="40" w:after="40" w:line="240" w:lineRule="auto"/>
            </w:pPr>
            <w:r>
              <w:rPr>
                <w:color w:val="1A252F"/>
                <w:sz w:val="18"/>
              </w:rPr>
              <w:t xml:space="preserve">Frontiers in Sociology — Algorithmic Management in Global Gig Economy</w:t>
            </w:r>
          </w:p>
        </w:tc>
        <w:tc>
          <w:tcPr>
            <w:tcW w:w="1800" w:type="dxa"/>
          </w:tcPr>
          <w:p>
            <w:pPr>
              <w:spacing w:before="40" w:after="40" w:line="240" w:lineRule="auto"/>
            </w:pPr>
            <w:r>
              <w:rPr>
                <w:color w:val="1A252F"/>
                <w:sz w:val="18"/>
              </w:rPr>
              <w:t xml:space="preserve">Peer-reviewed</w:t>
            </w:r>
          </w:p>
        </w:tc>
        <w:tc>
          <w:tcPr>
            <w:tcW w:w="1800" w:type="dxa"/>
          </w:tcPr>
          <w:p>
            <w:pPr>
              <w:spacing w:before="40" w:after="40" w:line="240" w:lineRule="auto"/>
            </w:pPr>
            <w:r>
              <w:rPr>
                <w:color w:val="1A252F"/>
                <w:sz w:val="18"/>
              </w:rPr>
              <w:t xml:space="preserve">2026</w:t>
            </w:r>
          </w:p>
        </w:tc>
        <w:tc>
          <w:tcPr>
            <w:tcW w:w="1800" w:type="dxa"/>
          </w:tcPr>
          <w:p>
            <w:pPr>
              <w:spacing w:before="40" w:after="40" w:line="240" w:lineRule="auto"/>
            </w:pPr>
            <w:r>
              <w:rPr>
                <w:color w:val="1A252F"/>
                <w:sz w:val="18"/>
              </w:rPr>
              <w:t xml:space="preserve">https://www.frontiersin.org/journals/sociology/</w:t>
            </w:r>
          </w:p>
        </w:tc>
      </w:tr>
      <w:tr>
        <w:tc>
          <w:tcPr>
            <w:tcW w:w="1800" w:type="dxa"/>
          </w:tcPr>
          <w:p>
            <w:pPr>
              <w:spacing w:before="40" w:after="40" w:line="240" w:lineRule="auto"/>
            </w:pPr>
            <w:r>
              <w:rPr>
                <w:color w:val="1A252F"/>
                <w:sz w:val="18"/>
              </w:rPr>
              <w:t xml:space="preserve">61</w:t>
            </w:r>
          </w:p>
        </w:tc>
        <w:tc>
          <w:tcPr>
            <w:tcW w:w="1800" w:type="dxa"/>
          </w:tcPr>
          <w:p>
            <w:pPr>
              <w:spacing w:before="40" w:after="40" w:line="240" w:lineRule="auto"/>
            </w:pPr>
            <w:r>
              <w:rPr>
                <w:color w:val="1A252F"/>
                <w:sz w:val="18"/>
              </w:rPr>
              <w:t xml:space="preserve">Hara et al., CHI 2018 — MTurk Workers' Earnings Analysis</w:t>
            </w:r>
          </w:p>
        </w:tc>
        <w:tc>
          <w:tcPr>
            <w:tcW w:w="1800" w:type="dxa"/>
          </w:tcPr>
          <w:p>
            <w:pPr>
              <w:spacing w:before="40" w:after="40" w:line="240" w:lineRule="auto"/>
            </w:pPr>
            <w:r>
              <w:rPr>
                <w:color w:val="1A252F"/>
                <w:sz w:val="18"/>
              </w:rPr>
              <w:t xml:space="preserve">Peer-reviewed</w:t>
            </w:r>
          </w:p>
        </w:tc>
        <w:tc>
          <w:tcPr>
            <w:tcW w:w="1800" w:type="dxa"/>
          </w:tcPr>
          <w:p>
            <w:pPr>
              <w:spacing w:before="40" w:after="40" w:line="240" w:lineRule="auto"/>
            </w:pPr>
            <w:r>
              <w:rPr>
                <w:color w:val="1A252F"/>
                <w:sz w:val="18"/>
              </w:rPr>
              <w:t xml:space="preserve">2018</w:t>
            </w:r>
          </w:p>
        </w:tc>
        <w:tc>
          <w:tcPr>
            <w:tcW w:w="1800" w:type="dxa"/>
          </w:tcPr>
          <w:p>
            <w:pPr>
              <w:spacing w:before="40" w:after="40" w:line="240" w:lineRule="auto"/>
            </w:pPr>
            <w:r>
              <w:rPr>
                <w:color w:val="1A252F"/>
                <w:sz w:val="18"/>
              </w:rPr>
              <w:t xml:space="preserve">https://dl.acm.org/doi/10.1145/3173574.3174023</w:t>
            </w:r>
          </w:p>
        </w:tc>
      </w:tr>
      <w:tr>
        <w:tc>
          <w:tcPr>
            <w:tcW w:w="1800" w:type="dxa"/>
          </w:tcPr>
          <w:p>
            <w:pPr>
              <w:spacing w:before="40" w:after="40" w:line="240" w:lineRule="auto"/>
            </w:pPr>
            <w:r>
              <w:rPr>
                <w:color w:val="1A252F"/>
                <w:sz w:val="18"/>
              </w:rPr>
              <w:t xml:space="preserve">62</w:t>
            </w:r>
          </w:p>
        </w:tc>
        <w:tc>
          <w:tcPr>
            <w:tcW w:w="1800" w:type="dxa"/>
          </w:tcPr>
          <w:p>
            <w:pPr>
              <w:spacing w:before="40" w:after="40" w:line="240" w:lineRule="auto"/>
            </w:pPr>
            <w:r>
              <w:rPr>
                <w:color w:val="1A252F"/>
                <w:sz w:val="18"/>
              </w:rPr>
              <w:t xml:space="preserve">Human Rights Watch — The Gig Trap</w:t>
            </w:r>
          </w:p>
        </w:tc>
        <w:tc>
          <w:tcPr>
            <w:tcW w:w="1800" w:type="dxa"/>
          </w:tcPr>
          <w:p>
            <w:pPr>
              <w:spacing w:before="40" w:after="40" w:line="240" w:lineRule="auto"/>
            </w:pPr>
            <w:r>
              <w:rPr>
                <w:color w:val="1A252F"/>
                <w:sz w:val="18"/>
              </w:rPr>
              <w:t xml:space="preserve">NGO Report</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https://www.hrw.org/report/2025/05/07/gig-trap/</w:t>
            </w:r>
          </w:p>
        </w:tc>
      </w:tr>
      <w:tr>
        <w:tc>
          <w:tcPr>
            <w:tcW w:w="1800" w:type="dxa"/>
          </w:tcPr>
          <w:p>
            <w:pPr>
              <w:spacing w:before="40" w:after="40" w:line="240" w:lineRule="auto"/>
            </w:pPr>
            <w:r>
              <w:rPr>
                <w:color w:val="1A252F"/>
                <w:sz w:val="18"/>
              </w:rPr>
              <w:t xml:space="preserve">63</w:t>
            </w:r>
          </w:p>
        </w:tc>
        <w:tc>
          <w:tcPr>
            <w:tcW w:w="1800" w:type="dxa"/>
          </w:tcPr>
          <w:p>
            <w:pPr>
              <w:spacing w:before="40" w:after="40" w:line="240" w:lineRule="auto"/>
            </w:pPr>
            <w:r>
              <w:rPr>
                <w:color w:val="1A252F"/>
                <w:sz w:val="18"/>
              </w:rPr>
              <w:t xml:space="preserve">ILO — Decent Work in the Platform Economy (Full Report)</w:t>
            </w:r>
          </w:p>
        </w:tc>
        <w:tc>
          <w:tcPr>
            <w:tcW w:w="1800" w:type="dxa"/>
          </w:tcPr>
          <w:p>
            <w:pPr>
              <w:spacing w:before="40" w:after="40" w:line="240" w:lineRule="auto"/>
            </w:pPr>
            <w:r>
              <w:rPr>
                <w:color w:val="1A252F"/>
                <w:sz w:val="18"/>
              </w:rPr>
              <w:t xml:space="preserve">International Org</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https://www.ilo.org/global/WCMS_711527</w:t>
            </w:r>
          </w:p>
        </w:tc>
      </w:tr>
      <w:tr>
        <w:tc>
          <w:tcPr>
            <w:tcW w:w="1800" w:type="dxa"/>
          </w:tcPr>
          <w:p>
            <w:pPr>
              <w:spacing w:before="40" w:after="40" w:line="240" w:lineRule="auto"/>
            </w:pPr>
            <w:r>
              <w:rPr>
                <w:color w:val="1A252F"/>
                <w:sz w:val="18"/>
              </w:rPr>
              <w:t xml:space="preserve">64</w:t>
            </w:r>
          </w:p>
        </w:tc>
        <w:tc>
          <w:tcPr>
            <w:tcW w:w="1800" w:type="dxa"/>
          </w:tcPr>
          <w:p>
            <w:pPr>
              <w:spacing w:before="40" w:after="40" w:line="240" w:lineRule="auto"/>
            </w:pPr>
            <w:r>
              <w:rPr>
                <w:color w:val="1A252F"/>
                <w:sz w:val="18"/>
              </w:rPr>
              <w:t xml:space="preserve">ILO — WESO 2021 Global Protest Data</w:t>
            </w:r>
          </w:p>
        </w:tc>
        <w:tc>
          <w:tcPr>
            <w:tcW w:w="1800" w:type="dxa"/>
          </w:tcPr>
          <w:p>
            <w:pPr>
              <w:spacing w:before="40" w:after="40" w:line="240" w:lineRule="auto"/>
            </w:pPr>
            <w:r>
              <w:rPr>
                <w:color w:val="1A252F"/>
                <w:sz w:val="18"/>
              </w:rPr>
              <w:t xml:space="preserve">International Org</w:t>
            </w:r>
          </w:p>
        </w:tc>
        <w:tc>
          <w:tcPr>
            <w:tcW w:w="1800" w:type="dxa"/>
          </w:tcPr>
          <w:p>
            <w:pPr>
              <w:spacing w:before="40" w:after="40" w:line="240" w:lineRule="auto"/>
            </w:pPr>
            <w:r>
              <w:rPr>
                <w:color w:val="1A252F"/>
                <w:sz w:val="18"/>
              </w:rPr>
              <w:t xml:space="preserve">2021</w:t>
            </w:r>
          </w:p>
        </w:tc>
        <w:tc>
          <w:tcPr>
            <w:tcW w:w="1800" w:type="dxa"/>
          </w:tcPr>
          <w:p>
            <w:pPr>
              <w:spacing w:before="40" w:after="40" w:line="240" w:lineRule="auto"/>
            </w:pPr>
            <w:r>
              <w:rPr>
                <w:color w:val="1A252F"/>
                <w:sz w:val="18"/>
              </w:rPr>
              <w:t xml:space="preserve">https://www.ilo.org/global/WCMS_805965</w:t>
            </w:r>
          </w:p>
        </w:tc>
      </w:tr>
      <w:tr>
        <w:tc>
          <w:tcPr>
            <w:tcW w:w="1800" w:type="dxa"/>
          </w:tcPr>
          <w:p>
            <w:pPr>
              <w:spacing w:before="40" w:after="40" w:line="240" w:lineRule="auto"/>
            </w:pPr>
            <w:r>
              <w:rPr>
                <w:color w:val="1A252F"/>
                <w:sz w:val="18"/>
              </w:rPr>
              <w:t xml:space="preserve">65</w:t>
            </w:r>
          </w:p>
        </w:tc>
        <w:tc>
          <w:tcPr>
            <w:tcW w:w="1800" w:type="dxa"/>
          </w:tcPr>
          <w:p>
            <w:pPr>
              <w:spacing w:before="40" w:after="40" w:line="240" w:lineRule="auto"/>
            </w:pPr>
            <w:r>
              <w:rPr>
                <w:color w:val="1A252F"/>
                <w:sz w:val="18"/>
              </w:rPr>
              <w:t xml:space="preserve">IZA Institute — Riders on the Storm (Spain Rider Law Assessment)</w:t>
            </w:r>
          </w:p>
        </w:tc>
        <w:tc>
          <w:tcPr>
            <w:tcW w:w="1800" w:type="dxa"/>
          </w:tcPr>
          <w:p>
            <w:pPr>
              <w:spacing w:before="40" w:after="40" w:line="240" w:lineRule="auto"/>
            </w:pPr>
            <w:r>
              <w:rPr>
                <w:color w:val="1A252F"/>
                <w:sz w:val="18"/>
              </w:rPr>
              <w:t xml:space="preserve">Think Tank</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https://www.iza.org/</w:t>
            </w:r>
          </w:p>
        </w:tc>
      </w:tr>
      <w:tr>
        <w:tc>
          <w:tcPr>
            <w:tcW w:w="1800" w:type="dxa"/>
          </w:tcPr>
          <w:p>
            <w:pPr>
              <w:spacing w:before="40" w:after="40" w:line="240" w:lineRule="auto"/>
            </w:pPr>
            <w:r>
              <w:rPr>
                <w:color w:val="1A252F"/>
                <w:sz w:val="18"/>
              </w:rPr>
              <w:t xml:space="preserve">66</w:t>
            </w:r>
          </w:p>
        </w:tc>
        <w:tc>
          <w:tcPr>
            <w:tcW w:w="1800" w:type="dxa"/>
          </w:tcPr>
          <w:p>
            <w:pPr>
              <w:spacing w:before="40" w:after="40" w:line="240" w:lineRule="auto"/>
            </w:pPr>
            <w:r>
              <w:rPr>
                <w:color w:val="1A252F"/>
                <w:sz w:val="18"/>
              </w:rPr>
              <w:t xml:space="preserve">Johns Hopkins University Press — AI Colonialism</w:t>
            </w:r>
          </w:p>
        </w:tc>
        <w:tc>
          <w:tcPr>
            <w:tcW w:w="1800" w:type="dxa"/>
          </w:tcPr>
          <w:p>
            <w:pPr>
              <w:spacing w:before="40" w:after="40" w:line="240" w:lineRule="auto"/>
            </w:pPr>
            <w:r>
              <w:rPr>
                <w:color w:val="1A252F"/>
                <w:sz w:val="18"/>
              </w:rPr>
              <w:t xml:space="preserve">Academic</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https://muse.jhu.edu/article/950958</w:t>
            </w:r>
          </w:p>
        </w:tc>
      </w:tr>
      <w:tr>
        <w:tc>
          <w:tcPr>
            <w:tcW w:w="1800" w:type="dxa"/>
          </w:tcPr>
          <w:p>
            <w:pPr>
              <w:spacing w:before="40" w:after="40" w:line="240" w:lineRule="auto"/>
            </w:pPr>
            <w:r>
              <w:rPr>
                <w:color w:val="1A252F"/>
                <w:sz w:val="18"/>
              </w:rPr>
              <w:t xml:space="preserve">67</w:t>
            </w:r>
          </w:p>
        </w:tc>
        <w:tc>
          <w:tcPr>
            <w:tcW w:w="1800" w:type="dxa"/>
          </w:tcPr>
          <w:p>
            <w:pPr>
              <w:spacing w:before="40" w:after="40" w:line="240" w:lineRule="auto"/>
            </w:pPr>
            <w:r>
              <w:rPr>
                <w:color w:val="1A252F"/>
                <w:sz w:val="18"/>
              </w:rPr>
              <w:t xml:space="preserve">National Employment Law Project — Delivering Precarity (Amazon Flex)</w:t>
            </w:r>
          </w:p>
        </w:tc>
        <w:tc>
          <w:tcPr>
            <w:tcW w:w="1800" w:type="dxa"/>
          </w:tcPr>
          <w:p>
            <w:pPr>
              <w:spacing w:before="40" w:after="40" w:line="240" w:lineRule="auto"/>
            </w:pPr>
            <w:r>
              <w:rPr>
                <w:color w:val="1A252F"/>
                <w:sz w:val="18"/>
              </w:rPr>
              <w:t xml:space="preserve">NGO</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https://www.nelp.org/</w:t>
            </w:r>
          </w:p>
        </w:tc>
      </w:tr>
      <w:tr>
        <w:tc>
          <w:tcPr>
            <w:tcW w:w="1800" w:type="dxa"/>
          </w:tcPr>
          <w:p>
            <w:pPr>
              <w:spacing w:before="40" w:after="40" w:line="240" w:lineRule="auto"/>
            </w:pPr>
            <w:r>
              <w:rPr>
                <w:color w:val="1A252F"/>
                <w:sz w:val="18"/>
              </w:rPr>
              <w:t xml:space="preserve">68</w:t>
            </w:r>
          </w:p>
        </w:tc>
        <w:tc>
          <w:tcPr>
            <w:tcW w:w="1800" w:type="dxa"/>
          </w:tcPr>
          <w:p>
            <w:pPr>
              <w:spacing w:before="40" w:after="40" w:line="240" w:lineRule="auto"/>
            </w:pPr>
            <w:r>
              <w:rPr>
                <w:color w:val="1A252F"/>
                <w:sz w:val="18"/>
              </w:rPr>
              <w:t xml:space="preserve">NELP — Unpacking Uber and Lyft Take Rates</w:t>
            </w:r>
          </w:p>
        </w:tc>
        <w:tc>
          <w:tcPr>
            <w:tcW w:w="1800" w:type="dxa"/>
          </w:tcPr>
          <w:p>
            <w:pPr>
              <w:spacing w:before="40" w:after="40" w:line="240" w:lineRule="auto"/>
            </w:pPr>
            <w:r>
              <w:rPr>
                <w:color w:val="1A252F"/>
                <w:sz w:val="18"/>
              </w:rPr>
              <w:t xml:space="preserve">NGO</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https://www.nelp.org/</w:t>
            </w:r>
          </w:p>
        </w:tc>
      </w:tr>
      <w:tr>
        <w:tc>
          <w:tcPr>
            <w:tcW w:w="1800" w:type="dxa"/>
          </w:tcPr>
          <w:p>
            <w:pPr>
              <w:spacing w:before="40" w:after="40" w:line="240" w:lineRule="auto"/>
            </w:pPr>
            <w:r>
              <w:rPr>
                <w:color w:val="1A252F"/>
                <w:sz w:val="18"/>
              </w:rPr>
              <w:t xml:space="preserve">69</w:t>
            </w:r>
          </w:p>
        </w:tc>
        <w:tc>
          <w:tcPr>
            <w:tcW w:w="1800" w:type="dxa"/>
          </w:tcPr>
          <w:p>
            <w:pPr>
              <w:spacing w:before="40" w:after="40" w:line="240" w:lineRule="auto"/>
            </w:pPr>
            <w:r>
              <w:rPr>
                <w:color w:val="1A252F"/>
                <w:sz w:val="18"/>
              </w:rPr>
              <w:t xml:space="preserve">NELP — Workers Lose Billions to Misclassification</w:t>
            </w:r>
          </w:p>
        </w:tc>
        <w:tc>
          <w:tcPr>
            <w:tcW w:w="1800" w:type="dxa"/>
          </w:tcPr>
          <w:p>
            <w:pPr>
              <w:spacing w:before="40" w:after="40" w:line="240" w:lineRule="auto"/>
            </w:pPr>
            <w:r>
              <w:rPr>
                <w:color w:val="1A252F"/>
                <w:sz w:val="18"/>
              </w:rPr>
              <w:t xml:space="preserve">NGO</w:t>
            </w:r>
          </w:p>
        </w:tc>
        <w:tc>
          <w:tcPr>
            <w:tcW w:w="1800" w:type="dxa"/>
          </w:tcPr>
          <w:p>
            <w:pPr>
              <w:spacing w:before="40" w:after="40" w:line="240" w:lineRule="auto"/>
            </w:pPr>
            <w:r>
              <w:rPr>
                <w:color w:val="1A252F"/>
                <w:sz w:val="18"/>
              </w:rPr>
              <w:t xml:space="preserve">2023</w:t>
            </w:r>
          </w:p>
        </w:tc>
        <w:tc>
          <w:tcPr>
            <w:tcW w:w="1800" w:type="dxa"/>
          </w:tcPr>
          <w:p>
            <w:pPr>
              <w:spacing w:before="40" w:after="40" w:line="240" w:lineRule="auto"/>
            </w:pPr>
            <w:r>
              <w:rPr>
                <w:color w:val="1A252F"/>
                <w:sz w:val="18"/>
              </w:rPr>
              <w:t xml:space="preserve">https://www.nelp.org/workers-lose-billions/</w:t>
            </w:r>
          </w:p>
        </w:tc>
      </w:tr>
      <w:tr>
        <w:tc>
          <w:tcPr>
            <w:tcW w:w="1800" w:type="dxa"/>
          </w:tcPr>
          <w:p>
            <w:pPr>
              <w:spacing w:before="40" w:after="40" w:line="240" w:lineRule="auto"/>
            </w:pPr>
            <w:r>
              <w:rPr>
                <w:color w:val="1A252F"/>
                <w:sz w:val="18"/>
              </w:rPr>
              <w:t xml:space="preserve">70</w:t>
            </w:r>
          </w:p>
        </w:tc>
        <w:tc>
          <w:tcPr>
            <w:tcW w:w="1800" w:type="dxa"/>
          </w:tcPr>
          <w:p>
            <w:pPr>
              <w:spacing w:before="40" w:after="40" w:line="240" w:lineRule="auto"/>
            </w:pPr>
            <w:r>
              <w:rPr>
                <w:color w:val="1A252F"/>
                <w:sz w:val="18"/>
              </w:rPr>
              <w:t xml:space="preserve">Oxford Internet Institute — Fairwork Principles</w:t>
            </w:r>
          </w:p>
        </w:tc>
        <w:tc>
          <w:tcPr>
            <w:tcW w:w="1800" w:type="dxa"/>
          </w:tcPr>
          <w:p>
            <w:pPr>
              <w:spacing w:before="40" w:after="40" w:line="240" w:lineRule="auto"/>
            </w:pPr>
            <w:r>
              <w:rPr>
                <w:color w:val="1A252F"/>
                <w:sz w:val="18"/>
              </w:rPr>
              <w:t xml:space="preserve">Academic</w:t>
            </w:r>
          </w:p>
        </w:tc>
        <w:tc>
          <w:tcPr>
            <w:tcW w:w="1800" w:type="dxa"/>
          </w:tcPr>
          <w:p>
            <w:pPr>
              <w:spacing w:before="40" w:after="40" w:line="240" w:lineRule="auto"/>
            </w:pPr>
            <w:r>
              <w:rPr>
                <w:color w:val="1A252F"/>
                <w:sz w:val="18"/>
              </w:rPr>
              <w:t xml:space="preserve">2023</w:t>
            </w:r>
          </w:p>
        </w:tc>
        <w:tc>
          <w:tcPr>
            <w:tcW w:w="1800" w:type="dxa"/>
          </w:tcPr>
          <w:p>
            <w:pPr>
              <w:spacing w:before="40" w:after="40" w:line="240" w:lineRule="auto"/>
            </w:pPr>
            <w:r>
              <w:rPr>
                <w:color w:val="1A252F"/>
                <w:sz w:val="18"/>
              </w:rPr>
              <w:t xml:space="preserve">https://www.oii.ox.ac.uk/research/fairwork/</w:t>
            </w:r>
          </w:p>
        </w:tc>
      </w:tr>
      <w:tr>
        <w:tc>
          <w:tcPr>
            <w:tcW w:w="1800" w:type="dxa"/>
          </w:tcPr>
          <w:p>
            <w:pPr>
              <w:spacing w:before="40" w:after="40" w:line="240" w:lineRule="auto"/>
            </w:pPr>
            <w:r>
              <w:rPr>
                <w:color w:val="1A252F"/>
                <w:sz w:val="18"/>
              </w:rPr>
              <w:t xml:space="preserve">71</w:t>
            </w:r>
          </w:p>
        </w:tc>
        <w:tc>
          <w:tcPr>
            <w:tcW w:w="1800" w:type="dxa"/>
          </w:tcPr>
          <w:p>
            <w:pPr>
              <w:spacing w:before="40" w:after="40" w:line="240" w:lineRule="auto"/>
            </w:pPr>
            <w:r>
              <w:rPr>
                <w:color w:val="1A252F"/>
                <w:sz w:val="18"/>
              </w:rPr>
              <w:t xml:space="preserve">Oxford/WIE — Uber Algorithmic Pay Study</w:t>
            </w:r>
          </w:p>
        </w:tc>
        <w:tc>
          <w:tcPr>
            <w:tcW w:w="1800" w:type="dxa"/>
          </w:tcPr>
          <w:p>
            <w:pPr>
              <w:spacing w:before="40" w:after="40" w:line="240" w:lineRule="auto"/>
            </w:pPr>
            <w:r>
              <w:rPr>
                <w:color w:val="1A252F"/>
                <w:sz w:val="18"/>
              </w:rPr>
              <w:t xml:space="preserve">Academic/Research</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https://www.workerinfoexchange.org/</w:t>
            </w:r>
          </w:p>
        </w:tc>
      </w:tr>
      <w:tr>
        <w:tc>
          <w:tcPr>
            <w:tcW w:w="1800" w:type="dxa"/>
          </w:tcPr>
          <w:p>
            <w:pPr>
              <w:spacing w:before="40" w:after="40" w:line="240" w:lineRule="auto"/>
            </w:pPr>
            <w:r>
              <w:rPr>
                <w:color w:val="1A252F"/>
                <w:sz w:val="18"/>
              </w:rPr>
              <w:t xml:space="preserve">72</w:t>
            </w:r>
          </w:p>
        </w:tc>
        <w:tc>
          <w:tcPr>
            <w:tcW w:w="1800" w:type="dxa"/>
          </w:tcPr>
          <w:p>
            <w:pPr>
              <w:spacing w:before="40" w:after="40" w:line="240" w:lineRule="auto"/>
            </w:pPr>
            <w:r>
              <w:rPr>
                <w:color w:val="1A252F"/>
                <w:sz w:val="18"/>
              </w:rPr>
              <w:t xml:space="preserve">PMC/NIH — Algorithmic Management and Gig Workers' Job Crafting</w:t>
            </w:r>
          </w:p>
        </w:tc>
        <w:tc>
          <w:tcPr>
            <w:tcW w:w="1800" w:type="dxa"/>
          </w:tcPr>
          <w:p>
            <w:pPr>
              <w:spacing w:before="40" w:after="40" w:line="240" w:lineRule="auto"/>
            </w:pPr>
            <w:r>
              <w:rPr>
                <w:color w:val="1A252F"/>
                <w:sz w:val="18"/>
              </w:rPr>
              <w:t xml:space="preserve">Peer-reviewed</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https://pmc.ncbi.nlm.nih.gov/articles/PMC11504671/</w:t>
            </w:r>
          </w:p>
        </w:tc>
      </w:tr>
      <w:tr>
        <w:tc>
          <w:tcPr>
            <w:tcW w:w="1800" w:type="dxa"/>
          </w:tcPr>
          <w:p>
            <w:pPr>
              <w:spacing w:before="40" w:after="40" w:line="240" w:lineRule="auto"/>
            </w:pPr>
            <w:r>
              <w:rPr>
                <w:color w:val="1A252F"/>
                <w:sz w:val="18"/>
              </w:rPr>
              <w:t xml:space="preserve">73</w:t>
            </w:r>
          </w:p>
        </w:tc>
        <w:tc>
          <w:tcPr>
            <w:tcW w:w="1800" w:type="dxa"/>
          </w:tcPr>
          <w:p>
            <w:pPr>
              <w:spacing w:before="40" w:after="40" w:line="240" w:lineRule="auto"/>
            </w:pPr>
            <w:r>
              <w:rPr>
                <w:color w:val="1A252F"/>
                <w:sz w:val="18"/>
              </w:rPr>
              <w:t xml:space="preserve">PMC — MTurk Data Collection in Addiction Research</w:t>
            </w:r>
          </w:p>
        </w:tc>
        <w:tc>
          <w:tcPr>
            <w:tcW w:w="1800" w:type="dxa"/>
          </w:tcPr>
          <w:p>
            <w:pPr>
              <w:spacing w:before="40" w:after="40" w:line="240" w:lineRule="auto"/>
            </w:pPr>
            <w:r>
              <w:rPr>
                <w:color w:val="1A252F"/>
                <w:sz w:val="18"/>
              </w:rPr>
              <w:t xml:space="preserve">Peer-reviewed</w:t>
            </w:r>
          </w:p>
        </w:tc>
        <w:tc>
          <w:tcPr>
            <w:tcW w:w="1800" w:type="dxa"/>
          </w:tcPr>
          <w:p>
            <w:pPr>
              <w:spacing w:before="40" w:after="40" w:line="240" w:lineRule="auto"/>
            </w:pPr>
            <w:r>
              <w:rPr>
                <w:color w:val="1A252F"/>
                <w:sz w:val="18"/>
              </w:rPr>
              <w:t xml:space="preserve">2020</w:t>
            </w:r>
          </w:p>
        </w:tc>
        <w:tc>
          <w:tcPr>
            <w:tcW w:w="1800" w:type="dxa"/>
          </w:tcPr>
          <w:p>
            <w:pPr>
              <w:spacing w:before="40" w:after="40" w:line="240" w:lineRule="auto"/>
            </w:pPr>
            <w:r>
              <w:rPr>
                <w:color w:val="1A252F"/>
                <w:sz w:val="18"/>
              </w:rPr>
              <w:t xml:space="preserve">https://pmc.ncbi.nlm.nih.gov/articles/PMC7483427/</w:t>
            </w:r>
          </w:p>
        </w:tc>
      </w:tr>
      <w:tr>
        <w:tc>
          <w:tcPr>
            <w:tcW w:w="1800" w:type="dxa"/>
          </w:tcPr>
          <w:p>
            <w:pPr>
              <w:spacing w:before="40" w:after="40" w:line="240" w:lineRule="auto"/>
            </w:pPr>
            <w:r>
              <w:rPr>
                <w:color w:val="1A252F"/>
                <w:sz w:val="18"/>
              </w:rPr>
              <w:t xml:space="preserve">74</w:t>
            </w:r>
          </w:p>
        </w:tc>
        <w:tc>
          <w:tcPr>
            <w:tcW w:w="1800" w:type="dxa"/>
          </w:tcPr>
          <w:p>
            <w:pPr>
              <w:spacing w:before="40" w:after="40" w:line="240" w:lineRule="auto"/>
            </w:pPr>
            <w:r>
              <w:rPr>
                <w:color w:val="1A252F"/>
                <w:sz w:val="18"/>
              </w:rPr>
              <w:t xml:space="preserve">Resolution Foundation — Precarious Prospects (UK Gig Survey)</w:t>
            </w:r>
          </w:p>
        </w:tc>
        <w:tc>
          <w:tcPr>
            <w:tcW w:w="1800" w:type="dxa"/>
          </w:tcPr>
          <w:p>
            <w:pPr>
              <w:spacing w:before="40" w:after="40" w:line="240" w:lineRule="auto"/>
            </w:pPr>
            <w:r>
              <w:rPr>
                <w:color w:val="1A252F"/>
                <w:sz w:val="18"/>
              </w:rPr>
              <w:t xml:space="preserve">Think Tank</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https://www.resolutionfoundation.org/</w:t>
            </w:r>
          </w:p>
        </w:tc>
      </w:tr>
      <w:tr>
        <w:tc>
          <w:tcPr>
            <w:tcW w:w="1800" w:type="dxa"/>
          </w:tcPr>
          <w:p>
            <w:pPr>
              <w:spacing w:before="40" w:after="40" w:line="240" w:lineRule="auto"/>
            </w:pPr>
            <w:r>
              <w:rPr>
                <w:color w:val="1A252F"/>
                <w:sz w:val="18"/>
              </w:rPr>
              <w:t xml:space="preserve">75</w:t>
            </w:r>
          </w:p>
        </w:tc>
        <w:tc>
          <w:tcPr>
            <w:tcW w:w="1800" w:type="dxa"/>
          </w:tcPr>
          <w:p>
            <w:pPr>
              <w:spacing w:before="40" w:after="40" w:line="240" w:lineRule="auto"/>
            </w:pPr>
            <w:r>
              <w:rPr>
                <w:color w:val="1A252F"/>
                <w:sz w:val="18"/>
              </w:rPr>
              <w:t xml:space="preserve">Stanford HAI — Fair Work for MTurk</w:t>
            </w:r>
          </w:p>
        </w:tc>
        <w:tc>
          <w:tcPr>
            <w:tcW w:w="1800" w:type="dxa"/>
          </w:tcPr>
          <w:p>
            <w:pPr>
              <w:spacing w:before="40" w:after="40" w:line="240" w:lineRule="auto"/>
            </w:pPr>
            <w:r>
              <w:rPr>
                <w:color w:val="1A252F"/>
                <w:sz w:val="18"/>
              </w:rPr>
              <w:t xml:space="preserve">Academic</w:t>
            </w:r>
          </w:p>
        </w:tc>
        <w:tc>
          <w:tcPr>
            <w:tcW w:w="1800" w:type="dxa"/>
          </w:tcPr>
          <w:p>
            <w:pPr>
              <w:spacing w:before="40" w:after="40" w:line="240" w:lineRule="auto"/>
            </w:pPr>
            <w:r>
              <w:rPr>
                <w:color w:val="1A252F"/>
                <w:sz w:val="18"/>
              </w:rPr>
              <w:t xml:space="preserve">2019</w:t>
            </w:r>
          </w:p>
        </w:tc>
        <w:tc>
          <w:tcPr>
            <w:tcW w:w="1800" w:type="dxa"/>
          </w:tcPr>
          <w:p>
            <w:pPr>
              <w:spacing w:before="40" w:after="40" w:line="240" w:lineRule="auto"/>
            </w:pPr>
            <w:r>
              <w:rPr>
                <w:color w:val="1A252F"/>
                <w:sz w:val="18"/>
              </w:rPr>
              <w:t xml:space="preserve">https://hai.stanford.edu/</w:t>
            </w:r>
          </w:p>
        </w:tc>
      </w:tr>
      <w:tr>
        <w:tc>
          <w:tcPr>
            <w:tcW w:w="1800" w:type="dxa"/>
          </w:tcPr>
          <w:p>
            <w:pPr>
              <w:spacing w:before="40" w:after="40" w:line="240" w:lineRule="auto"/>
            </w:pPr>
            <w:r>
              <w:rPr>
                <w:color w:val="1A252F"/>
                <w:sz w:val="18"/>
              </w:rPr>
              <w:t xml:space="preserve">76</w:t>
            </w:r>
          </w:p>
        </w:tc>
        <w:tc>
          <w:tcPr>
            <w:tcW w:w="1800" w:type="dxa"/>
          </w:tcPr>
          <w:p>
            <w:pPr>
              <w:spacing w:before="40" w:after="40" w:line="240" w:lineRule="auto"/>
            </w:pPr>
            <w:r>
              <w:rPr>
                <w:color w:val="1A252F"/>
                <w:sz w:val="18"/>
              </w:rPr>
              <w:t xml:space="preserve">UC Berkeley Labor Center — Gig Driver Pay Study</w:t>
            </w:r>
          </w:p>
        </w:tc>
        <w:tc>
          <w:tcPr>
            <w:tcW w:w="1800" w:type="dxa"/>
          </w:tcPr>
          <w:p>
            <w:pPr>
              <w:spacing w:before="40" w:after="40" w:line="240" w:lineRule="auto"/>
            </w:pPr>
            <w:r>
              <w:rPr>
                <w:color w:val="1A252F"/>
                <w:sz w:val="18"/>
              </w:rPr>
              <w:t xml:space="preserve">Academic</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https://laborcenter.berkeley.edu/</w:t>
            </w:r>
          </w:p>
        </w:tc>
      </w:tr>
      <w:tr>
        <w:tc>
          <w:tcPr>
            <w:tcW w:w="1800" w:type="dxa"/>
          </w:tcPr>
          <w:p>
            <w:pPr>
              <w:spacing w:before="40" w:after="40" w:line="240" w:lineRule="auto"/>
            </w:pPr>
            <w:r>
              <w:rPr>
                <w:color w:val="1A252F"/>
                <w:sz w:val="18"/>
              </w:rPr>
              <w:t xml:space="preserve">77</w:t>
            </w:r>
          </w:p>
        </w:tc>
        <w:tc>
          <w:tcPr>
            <w:tcW w:w="1800" w:type="dxa"/>
          </w:tcPr>
          <w:p>
            <w:pPr>
              <w:spacing w:before="40" w:after="40" w:line="240" w:lineRule="auto"/>
            </w:pPr>
            <w:r>
              <w:rPr>
                <w:color w:val="1A252F"/>
                <w:sz w:val="18"/>
              </w:rPr>
              <w:t xml:space="preserve">World Bank — Working Without Borders (Online Gig Work)</w:t>
            </w:r>
          </w:p>
        </w:tc>
        <w:tc>
          <w:tcPr>
            <w:tcW w:w="1800" w:type="dxa"/>
          </w:tcPr>
          <w:p>
            <w:pPr>
              <w:spacing w:before="40" w:after="40" w:line="240" w:lineRule="auto"/>
            </w:pPr>
            <w:r>
              <w:rPr>
                <w:color w:val="1A252F"/>
                <w:sz w:val="18"/>
              </w:rPr>
              <w:t xml:space="preserve">International Org</w:t>
            </w:r>
          </w:p>
        </w:tc>
        <w:tc>
          <w:tcPr>
            <w:tcW w:w="1800" w:type="dxa"/>
          </w:tcPr>
          <w:p>
            <w:pPr>
              <w:spacing w:before="40" w:after="40" w:line="240" w:lineRule="auto"/>
            </w:pPr>
            <w:r>
              <w:rPr>
                <w:color w:val="1A252F"/>
                <w:sz w:val="18"/>
              </w:rPr>
              <w:t xml:space="preserve">2023</w:t>
            </w:r>
          </w:p>
        </w:tc>
        <w:tc>
          <w:tcPr>
            <w:tcW w:w="1800" w:type="dxa"/>
          </w:tcPr>
          <w:p>
            <w:pPr>
              <w:spacing w:before="40" w:after="40" w:line="240" w:lineRule="auto"/>
            </w:pPr>
            <w:r>
              <w:rPr>
                <w:color w:val="1A252F"/>
                <w:sz w:val="18"/>
              </w:rPr>
              <w:t xml:space="preserve">https://www.worldbank.org/</w:t>
            </w:r>
          </w:p>
        </w:tc>
      </w:tr>
    </w:tbl>
    <w:p>
      <w:pPr>
        <w:spacing w:after="200"/>
      </w:pPr>
    </w:p>
    <w:p>
      <w:pPr>
        <w:spacing w:after="160" w:line="300" w:lineRule="auto"/>
      </w:pPr>
      <w:r>
        <w:rPr>
          <w:color w:val="1A252F"/>
          <w:sz w:val="22"/>
        </w:rPr>
        <w:t xml:space="preserve">The academic corpus exhibits notable disciplinary convergence. Computer science research (CHI 2018, ACM 2025) independently corroborates labor economics findings about sub-minimum platform wages. Legal scholarship (Columbia Law Review) provides the theoretical framework for understanding algorithmic wage discrimination as a novel form of labor market exploitation. Public health research (BMJ Open, Cureus) documents the mental health consequences of platform precarity. The ILO and World Bank studies supply the global macro context — an estimated 435 million workers engaged in platform work worldwide, with significant earnings penalties relative to traditional employment. This convergence across disciplines strengthens the evidentiary foundation: the same structural problems appear whether one measures them in dollars per hour, cortisol levels, or legal violations per jurisdiction.</w:t>
      </w:r>
    </w:p>
    <w:p>
      <w:pPr>
        <w:pStyle w:val="Heading2"/>
      </w:pPr>
      <w:r>
        <w:rPr>
          <w:color w:val="1A252F"/>
          <w:sz w:val="22"/>
        </w:rPr>
        <w:t xml:space="preserve">6.3 Journalistic Sources (Tier 3)</w:t>
      </w:r>
    </w:p>
    <w:p>
      <w:pPr>
        <w:spacing w:after="160" w:line="300" w:lineRule="auto"/>
      </w:pPr>
      <w:r>
        <w:rPr>
          <w:color w:val="1A252F"/>
          <w:sz w:val="22"/>
        </w:rPr>
        <w:t xml:space="preserve">Tier 3 sources provide contemporaneous documentation of enforcement actions, worker organizing, platform admissions, and investigative discoveries that occurred too recently to appear in peer-reviewed literature. The 53 entries below represent sustained investigative attention from outlets across the United States, Europe, Australia, and Asia.</w:t>
      </w:r>
    </w:p>
    <w:tbl>
      <w:tblPr>
        <w:tblW w:w="5000" w:type="pct"/>
        <w:tblBorders>
          <w:top w:val="single" w:color="2C3E50" w:sz="12"/>
          <w:left w:val="nil"/>
          <w:bottom w:val="single" w:color="2C3E50" w:sz="12"/>
          <w:right w:val="nil"/>
          <w:insideH w:val="single" w:color="BDC3C7" w:sz="4"/>
          <w:insideV w:val="nil"/>
        </w:tblBorders>
        <w:tblLook w:val="04A0" w:firstRow="true"/>
      </w:tblPr>
      <w:tblGrid>
        <w:gridCol w:w="1800"/>
        <w:gridCol w:w="1800"/>
        <w:gridCol w:w="1800"/>
        <w:gridCol w:w="1800"/>
        <w:gridCol w:w="1800"/>
      </w:tblGrid>
      <w:tr>
        <w:trPr>
          <w:tblHeader/>
        </w:trPr>
        <w:tc>
          <w:tcPr>
            <w:tcW w:w="1800" w:type="dxa"/>
            <w:tcBorders>
              <w:bottom w:val="single" w:color="2C3E50" w:sz="6"/>
            </w:tcBorders>
            <w:shd w:val="clear" w:fill="EDF0F2"/>
          </w:tcPr>
          <w:p>
            <w:pPr>
              <w:spacing w:before="60" w:after="60"/>
            </w:pPr>
            <w:r>
              <w:rPr>
                <w:b/>
                <w:color w:val="1A252F"/>
                <w:sz w:val="18"/>
              </w:rPr>
              <w:t xml:space="preserve">#</w:t>
            </w:r>
          </w:p>
        </w:tc>
        <w:tc>
          <w:tcPr>
            <w:tcW w:w="1800" w:type="dxa"/>
            <w:tcBorders>
              <w:bottom w:val="single" w:color="2C3E50" w:sz="6"/>
            </w:tcBorders>
            <w:shd w:val="clear" w:fill="EDF0F2"/>
          </w:tcPr>
          <w:p>
            <w:pPr>
              <w:spacing w:before="60" w:after="60"/>
            </w:pPr>
            <w:r>
              <w:rPr>
                <w:b/>
                <w:color w:val="1A252F"/>
                <w:sz w:val="18"/>
              </w:rPr>
              <w:t xml:space="preserve">Source</w:t>
            </w:r>
          </w:p>
        </w:tc>
        <w:tc>
          <w:tcPr>
            <w:tcW w:w="1800" w:type="dxa"/>
            <w:tcBorders>
              <w:bottom w:val="single" w:color="2C3E50" w:sz="6"/>
            </w:tcBorders>
            <w:shd w:val="clear" w:fill="EDF0F2"/>
          </w:tcPr>
          <w:p>
            <w:pPr>
              <w:spacing w:before="60" w:after="60"/>
            </w:pPr>
            <w:r>
              <w:rPr>
                <w:b/>
                <w:color w:val="1A252F"/>
                <w:sz w:val="18"/>
              </w:rPr>
              <w:t xml:space="preserve">Type</w:t>
            </w:r>
          </w:p>
        </w:tc>
        <w:tc>
          <w:tcPr>
            <w:tcW w:w="1800" w:type="dxa"/>
            <w:tcBorders>
              <w:bottom w:val="single" w:color="2C3E50" w:sz="6"/>
            </w:tcBorders>
            <w:shd w:val="clear" w:fill="EDF0F2"/>
          </w:tcPr>
          <w:p>
            <w:pPr>
              <w:spacing w:before="60" w:after="60"/>
            </w:pPr>
            <w:r>
              <w:rPr>
                <w:b/>
                <w:color w:val="1A252F"/>
                <w:sz w:val="18"/>
              </w:rPr>
              <w:t xml:space="preserve">Year</w:t>
            </w:r>
          </w:p>
        </w:tc>
        <w:tc>
          <w:tcPr>
            <w:tcW w:w="1800" w:type="dxa"/>
            <w:tcBorders>
              <w:bottom w:val="single" w:color="2C3E50" w:sz="6"/>
            </w:tcBorders>
            <w:shd w:val="clear" w:fill="EDF0F2"/>
          </w:tcPr>
          <w:p>
            <w:pPr>
              <w:spacing w:before="60" w:after="60"/>
            </w:pPr>
            <w:r>
              <w:rPr>
                <w:b/>
                <w:color w:val="1A252F"/>
                <w:sz w:val="18"/>
              </w:rPr>
              <w:t xml:space="preserve">URL</w:t>
            </w:r>
          </w:p>
        </w:tc>
      </w:tr>
      <w:tr>
        <w:tc>
          <w:tcPr>
            <w:tcW w:w="1800" w:type="dxa"/>
          </w:tcPr>
          <w:p>
            <w:pPr>
              <w:spacing w:before="40" w:after="40" w:line="240" w:lineRule="auto"/>
            </w:pPr>
            <w:r>
              <w:rPr>
                <w:color w:val="1A252F"/>
                <w:sz w:val="18"/>
              </w:rPr>
              <w:t xml:space="preserve">78</w:t>
            </w:r>
          </w:p>
        </w:tc>
        <w:tc>
          <w:tcPr>
            <w:tcW w:w="1800" w:type="dxa"/>
          </w:tcPr>
          <w:p>
            <w:pPr>
              <w:spacing w:before="40" w:after="40" w:line="240" w:lineRule="auto"/>
            </w:pPr>
            <w:r>
              <w:rPr>
                <w:color w:val="1A252F"/>
                <w:sz w:val="18"/>
              </w:rPr>
              <w:t xml:space="preserve">ABC Australia — Uber Eats Fair Work Case</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2019</w:t>
            </w:r>
          </w:p>
        </w:tc>
        <w:tc>
          <w:tcPr>
            <w:tcW w:w="1800" w:type="dxa"/>
          </w:tcPr>
          <w:p>
            <w:pPr>
              <w:spacing w:before="40" w:after="40" w:line="240" w:lineRule="auto"/>
            </w:pPr>
            <w:r>
              <w:rPr>
                <w:color w:val="1A252F"/>
                <w:sz w:val="18"/>
              </w:rPr>
              <w:t xml:space="preserve">https://www.abc.net.au/</w:t>
            </w:r>
          </w:p>
        </w:tc>
      </w:tr>
      <w:tr>
        <w:tc>
          <w:tcPr>
            <w:tcW w:w="1800" w:type="dxa"/>
          </w:tcPr>
          <w:p>
            <w:pPr>
              <w:spacing w:before="40" w:after="40" w:line="240" w:lineRule="auto"/>
            </w:pPr>
            <w:r>
              <w:rPr>
                <w:color w:val="1A252F"/>
                <w:sz w:val="18"/>
              </w:rPr>
              <w:t xml:space="preserve">79</w:t>
            </w:r>
          </w:p>
        </w:tc>
        <w:tc>
          <w:tcPr>
            <w:tcW w:w="1800" w:type="dxa"/>
          </w:tcPr>
          <w:p>
            <w:pPr>
              <w:spacing w:before="40" w:after="40" w:line="240" w:lineRule="auto"/>
            </w:pPr>
            <w:r>
              <w:rPr>
                <w:color w:val="1A252F"/>
                <w:sz w:val="18"/>
              </w:rPr>
              <w:t xml:space="preserve">Associated Press — Uber/Lyft Settlement Coverage</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https://apnews.com/</w:t>
            </w:r>
          </w:p>
        </w:tc>
      </w:tr>
      <w:tr>
        <w:tc>
          <w:tcPr>
            <w:tcW w:w="1800" w:type="dxa"/>
          </w:tcPr>
          <w:p>
            <w:pPr>
              <w:spacing w:before="40" w:after="40" w:line="240" w:lineRule="auto"/>
            </w:pPr>
            <w:r>
              <w:rPr>
                <w:color w:val="1A252F"/>
                <w:sz w:val="18"/>
              </w:rPr>
              <w:t xml:space="preserve">80</w:t>
            </w:r>
          </w:p>
        </w:tc>
        <w:tc>
          <w:tcPr>
            <w:tcW w:w="1800" w:type="dxa"/>
          </w:tcPr>
          <w:p>
            <w:pPr>
              <w:spacing w:before="40" w:after="40" w:line="240" w:lineRule="auto"/>
            </w:pPr>
            <w:r>
              <w:rPr>
                <w:color w:val="1A252F"/>
                <w:sz w:val="18"/>
              </w:rPr>
              <w:t xml:space="preserve">Bloomberg — Gig Economy Analysis</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https://www.bloomberg.com/</w:t>
            </w:r>
          </w:p>
        </w:tc>
      </w:tr>
      <w:tr>
        <w:tc>
          <w:tcPr>
            <w:tcW w:w="1800" w:type="dxa"/>
          </w:tcPr>
          <w:p>
            <w:pPr>
              <w:spacing w:before="40" w:after="40" w:line="240" w:lineRule="auto"/>
            </w:pPr>
            <w:r>
              <w:rPr>
                <w:color w:val="1A252F"/>
                <w:sz w:val="18"/>
              </w:rPr>
              <w:t xml:space="preserve">81</w:t>
            </w:r>
          </w:p>
        </w:tc>
        <w:tc>
          <w:tcPr>
            <w:tcW w:w="1800" w:type="dxa"/>
          </w:tcPr>
          <w:p>
            <w:pPr>
              <w:spacing w:before="40" w:after="40" w:line="240" w:lineRule="auto"/>
            </w:pPr>
            <w:r>
              <w:rPr>
                <w:color w:val="1A252F"/>
                <w:sz w:val="18"/>
              </w:rPr>
              <w:t xml:space="preserve">Boston Globe — Massachusetts Question 3 Passage</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https://www.bostonglobe.com/</w:t>
            </w:r>
          </w:p>
        </w:tc>
      </w:tr>
      <w:tr>
        <w:tc>
          <w:tcPr>
            <w:tcW w:w="1800" w:type="dxa"/>
          </w:tcPr>
          <w:p>
            <w:pPr>
              <w:spacing w:before="40" w:after="40" w:line="240" w:lineRule="auto"/>
            </w:pPr>
            <w:r>
              <w:rPr>
                <w:color w:val="1A252F"/>
                <w:sz w:val="18"/>
              </w:rPr>
              <w:t xml:space="preserve">82</w:t>
            </w:r>
          </w:p>
        </w:tc>
        <w:tc>
          <w:tcPr>
            <w:tcW w:w="1800" w:type="dxa"/>
          </w:tcPr>
          <w:p>
            <w:pPr>
              <w:spacing w:before="40" w:after="40" w:line="240" w:lineRule="auto"/>
            </w:pPr>
            <w:r>
              <w:rPr>
                <w:color w:val="1A252F"/>
                <w:sz w:val="18"/>
              </w:rPr>
              <w:t xml:space="preserve">BusinessDay NG — Africa's Online Workforce</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2026</w:t>
            </w:r>
          </w:p>
        </w:tc>
        <w:tc>
          <w:tcPr>
            <w:tcW w:w="1800" w:type="dxa"/>
          </w:tcPr>
          <w:p>
            <w:pPr>
              <w:spacing w:before="40" w:after="40" w:line="240" w:lineRule="auto"/>
            </w:pPr>
            <w:r>
              <w:rPr>
                <w:color w:val="1A252F"/>
                <w:sz w:val="18"/>
              </w:rPr>
              <w:t xml:space="preserve">https://businessday.ng/</w:t>
            </w:r>
          </w:p>
        </w:tc>
      </w:tr>
      <w:tr>
        <w:tc>
          <w:tcPr>
            <w:tcW w:w="1800" w:type="dxa"/>
          </w:tcPr>
          <w:p>
            <w:pPr>
              <w:spacing w:before="40" w:after="40" w:line="240" w:lineRule="auto"/>
            </w:pPr>
            <w:r>
              <w:rPr>
                <w:color w:val="1A252F"/>
                <w:sz w:val="18"/>
              </w:rPr>
              <w:t xml:space="preserve">83</w:t>
            </w:r>
          </w:p>
        </w:tc>
        <w:tc>
          <w:tcPr>
            <w:tcW w:w="1800" w:type="dxa"/>
          </w:tcPr>
          <w:p>
            <w:pPr>
              <w:spacing w:before="40" w:after="40" w:line="240" w:lineRule="auto"/>
            </w:pPr>
            <w:r>
              <w:rPr>
                <w:color w:val="1A252F"/>
                <w:sz w:val="18"/>
              </w:rPr>
              <w:t xml:space="preserve">Business Insider — Delivery App Deep Throat Hoax</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2026</w:t>
            </w:r>
          </w:p>
        </w:tc>
        <w:tc>
          <w:tcPr>
            <w:tcW w:w="1800" w:type="dxa"/>
          </w:tcPr>
          <w:p>
            <w:pPr>
              <w:spacing w:before="40" w:after="40" w:line="240" w:lineRule="auto"/>
            </w:pPr>
            <w:r>
              <w:rPr>
                <w:color w:val="1A252F"/>
                <w:sz w:val="18"/>
              </w:rPr>
              <w:t xml:space="preserve">https://www.businessinsider.com/</w:t>
            </w:r>
          </w:p>
        </w:tc>
      </w:tr>
      <w:tr>
        <w:tc>
          <w:tcPr>
            <w:tcW w:w="1800" w:type="dxa"/>
          </w:tcPr>
          <w:p>
            <w:pPr>
              <w:spacing w:before="40" w:after="40" w:line="240" w:lineRule="auto"/>
            </w:pPr>
            <w:r>
              <w:rPr>
                <w:color w:val="1A252F"/>
                <w:sz w:val="18"/>
              </w:rPr>
              <w:t xml:space="preserve">84</w:t>
            </w:r>
          </w:p>
        </w:tc>
        <w:tc>
          <w:tcPr>
            <w:tcW w:w="1800" w:type="dxa"/>
          </w:tcPr>
          <w:p>
            <w:pPr>
              <w:spacing w:before="40" w:after="40" w:line="240" w:lineRule="auto"/>
            </w:pPr>
            <w:r>
              <w:rPr>
                <w:color w:val="1A252F"/>
                <w:sz w:val="18"/>
              </w:rPr>
              <w:t xml:space="preserve">Business Insider — Scale AI Class Action Settlement</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https://www.businessinsider.com/</w:t>
            </w:r>
          </w:p>
        </w:tc>
      </w:tr>
      <w:tr>
        <w:tc>
          <w:tcPr>
            <w:tcW w:w="1800" w:type="dxa"/>
          </w:tcPr>
          <w:p>
            <w:pPr>
              <w:spacing w:before="40" w:after="40" w:line="240" w:lineRule="auto"/>
            </w:pPr>
            <w:r>
              <w:rPr>
                <w:color w:val="1A252F"/>
                <w:sz w:val="18"/>
              </w:rPr>
              <w:t xml:space="preserve">85</w:t>
            </w:r>
          </w:p>
        </w:tc>
        <w:tc>
          <w:tcPr>
            <w:tcW w:w="1800" w:type="dxa"/>
          </w:tcPr>
          <w:p>
            <w:pPr>
              <w:spacing w:before="40" w:after="40" w:line="240" w:lineRule="auto"/>
            </w:pPr>
            <w:r>
              <w:rPr>
                <w:color w:val="1A252F"/>
                <w:sz w:val="18"/>
              </w:rPr>
              <w:t xml:space="preserve">Business Insider — TechCrunch India Freelancer Wage Theft</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https://www.businessinsider.com/</w:t>
            </w:r>
          </w:p>
        </w:tc>
      </w:tr>
      <w:tr>
        <w:tc>
          <w:tcPr>
            <w:tcW w:w="1800" w:type="dxa"/>
          </w:tcPr>
          <w:p>
            <w:pPr>
              <w:spacing w:before="40" w:after="40" w:line="240" w:lineRule="auto"/>
            </w:pPr>
            <w:r>
              <w:rPr>
                <w:color w:val="1A252F"/>
                <w:sz w:val="18"/>
              </w:rPr>
              <w:t xml:space="preserve">86</w:t>
            </w:r>
          </w:p>
        </w:tc>
        <w:tc>
          <w:tcPr>
            <w:tcW w:w="1800" w:type="dxa"/>
          </w:tcPr>
          <w:p>
            <w:pPr>
              <w:spacing w:before="40" w:after="40" w:line="240" w:lineRule="auto"/>
            </w:pPr>
            <w:r>
              <w:rPr>
                <w:color w:val="1A252F"/>
                <w:sz w:val="18"/>
              </w:rPr>
              <w:t xml:space="preserve">CalMatters — Gig Work Prop 22 Enforcement Gap</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https://calmatters.org/</w:t>
            </w:r>
          </w:p>
        </w:tc>
      </w:tr>
      <w:tr>
        <w:tc>
          <w:tcPr>
            <w:tcW w:w="1800" w:type="dxa"/>
          </w:tcPr>
          <w:p>
            <w:pPr>
              <w:spacing w:before="40" w:after="40" w:line="240" w:lineRule="auto"/>
            </w:pPr>
            <w:r>
              <w:rPr>
                <w:color w:val="1A252F"/>
                <w:sz w:val="18"/>
              </w:rPr>
              <w:t xml:space="preserve">87</w:t>
            </w:r>
          </w:p>
        </w:tc>
        <w:tc>
          <w:tcPr>
            <w:tcW w:w="1800" w:type="dxa"/>
          </w:tcPr>
          <w:p>
            <w:pPr>
              <w:spacing w:before="40" w:after="40" w:line="240" w:lineRule="auto"/>
            </w:pPr>
            <w:r>
              <w:rPr>
                <w:color w:val="1A252F"/>
                <w:sz w:val="18"/>
              </w:rPr>
              <w:t xml:space="preserve">CalMatters — Prop 22 Upheld by California Supreme Court</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https://calmatters.org/</w:t>
            </w:r>
          </w:p>
        </w:tc>
      </w:tr>
      <w:tr>
        <w:tc>
          <w:tcPr>
            <w:tcW w:w="1800" w:type="dxa"/>
          </w:tcPr>
          <w:p>
            <w:pPr>
              <w:spacing w:before="40" w:after="40" w:line="240" w:lineRule="auto"/>
            </w:pPr>
            <w:r>
              <w:rPr>
                <w:color w:val="1A252F"/>
                <w:sz w:val="18"/>
              </w:rPr>
              <w:t xml:space="preserve">88</w:t>
            </w:r>
          </w:p>
        </w:tc>
        <w:tc>
          <w:tcPr>
            <w:tcW w:w="1800" w:type="dxa"/>
          </w:tcPr>
          <w:p>
            <w:pPr>
              <w:spacing w:before="40" w:after="40" w:line="240" w:lineRule="auto"/>
            </w:pPr>
            <w:r>
              <w:rPr>
                <w:color w:val="1A252F"/>
                <w:sz w:val="18"/>
              </w:rPr>
              <w:t xml:space="preserve">Civil Eats — Gig Workers Organizing</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https://civileats.com/</w:t>
            </w:r>
          </w:p>
        </w:tc>
      </w:tr>
      <w:tr>
        <w:tc>
          <w:tcPr>
            <w:tcW w:w="1800" w:type="dxa"/>
          </w:tcPr>
          <w:p>
            <w:pPr>
              <w:spacing w:before="40" w:after="40" w:line="240" w:lineRule="auto"/>
            </w:pPr>
            <w:r>
              <w:rPr>
                <w:color w:val="1A252F"/>
                <w:sz w:val="18"/>
              </w:rPr>
              <w:t xml:space="preserve">89</w:t>
            </w:r>
          </w:p>
        </w:tc>
        <w:tc>
          <w:tcPr>
            <w:tcW w:w="1800" w:type="dxa"/>
          </w:tcPr>
          <w:p>
            <w:pPr>
              <w:spacing w:before="40" w:after="40" w:line="240" w:lineRule="auto"/>
            </w:pPr>
            <w:r>
              <w:rPr>
                <w:color w:val="1A252F"/>
                <w:sz w:val="18"/>
              </w:rPr>
              <w:t xml:space="preserve">Common Dreams — $1.5 Billion Wage Theft Recovered</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https://www.commondreams.org/</w:t>
            </w:r>
          </w:p>
        </w:tc>
      </w:tr>
      <w:tr>
        <w:tc>
          <w:tcPr>
            <w:tcW w:w="1800" w:type="dxa"/>
          </w:tcPr>
          <w:p>
            <w:pPr>
              <w:spacing w:before="40" w:after="40" w:line="240" w:lineRule="auto"/>
            </w:pPr>
            <w:r>
              <w:rPr>
                <w:color w:val="1A252F"/>
                <w:sz w:val="18"/>
              </w:rPr>
              <w:t xml:space="preserve">90</w:t>
            </w:r>
          </w:p>
        </w:tc>
        <w:tc>
          <w:tcPr>
            <w:tcW w:w="1800" w:type="dxa"/>
          </w:tcPr>
          <w:p>
            <w:pPr>
              <w:spacing w:before="40" w:after="40" w:line="240" w:lineRule="auto"/>
            </w:pPr>
            <w:r>
              <w:rPr>
                <w:color w:val="1A252F"/>
                <w:sz w:val="18"/>
              </w:rPr>
              <w:t xml:space="preserve">Computer Weekly — Uber CEO Algorithmic Pricing Admission</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https://www.computerweekly.com/</w:t>
            </w:r>
          </w:p>
        </w:tc>
      </w:tr>
      <w:tr>
        <w:tc>
          <w:tcPr>
            <w:tcW w:w="1800" w:type="dxa"/>
          </w:tcPr>
          <w:p>
            <w:pPr>
              <w:spacing w:before="40" w:after="40" w:line="240" w:lineRule="auto"/>
            </w:pPr>
            <w:r>
              <w:rPr>
                <w:color w:val="1A252F"/>
                <w:sz w:val="18"/>
              </w:rPr>
              <w:t xml:space="preserve">91</w:t>
            </w:r>
          </w:p>
        </w:tc>
        <w:tc>
          <w:tcPr>
            <w:tcW w:w="1800" w:type="dxa"/>
          </w:tcPr>
          <w:p>
            <w:pPr>
              <w:spacing w:before="40" w:after="40" w:line="240" w:lineRule="auto"/>
            </w:pPr>
            <w:r>
              <w:rPr>
                <w:color w:val="1A252F"/>
                <w:sz w:val="18"/>
              </w:rPr>
              <w:t xml:space="preserve">CounterCurrents — Women Gig Workers Nationwide Protest</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2026</w:t>
            </w:r>
          </w:p>
        </w:tc>
        <w:tc>
          <w:tcPr>
            <w:tcW w:w="1800" w:type="dxa"/>
          </w:tcPr>
          <w:p>
            <w:pPr>
              <w:spacing w:before="40" w:after="40" w:line="240" w:lineRule="auto"/>
            </w:pPr>
            <w:r>
              <w:rPr>
                <w:color w:val="1A252F"/>
                <w:sz w:val="18"/>
              </w:rPr>
              <w:t xml:space="preserve">https://countercurrents.org/</w:t>
            </w:r>
          </w:p>
        </w:tc>
      </w:tr>
      <w:tr>
        <w:tc>
          <w:tcPr>
            <w:tcW w:w="1800" w:type="dxa"/>
          </w:tcPr>
          <w:p>
            <w:pPr>
              <w:spacing w:before="40" w:after="40" w:line="240" w:lineRule="auto"/>
            </w:pPr>
            <w:r>
              <w:rPr>
                <w:color w:val="1A252F"/>
                <w:sz w:val="18"/>
              </w:rPr>
              <w:t xml:space="preserve">92</w:t>
            </w:r>
          </w:p>
        </w:tc>
        <w:tc>
          <w:tcPr>
            <w:tcW w:w="1800" w:type="dxa"/>
          </w:tcPr>
          <w:p>
            <w:pPr>
              <w:spacing w:before="40" w:after="40" w:line="240" w:lineRule="auto"/>
            </w:pPr>
            <w:r>
              <w:rPr>
                <w:color w:val="1A252F"/>
                <w:sz w:val="18"/>
              </w:rPr>
              <w:t xml:space="preserve">CyberNews — Uber Algorithm Exploitation Investigation</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https://cybernews.com/</w:t>
            </w:r>
          </w:p>
        </w:tc>
      </w:tr>
      <w:tr>
        <w:tc>
          <w:tcPr>
            <w:tcW w:w="1800" w:type="dxa"/>
          </w:tcPr>
          <w:p>
            <w:pPr>
              <w:spacing w:before="40" w:after="40" w:line="240" w:lineRule="auto"/>
            </w:pPr>
            <w:r>
              <w:rPr>
                <w:color w:val="1A252F"/>
                <w:sz w:val="18"/>
              </w:rPr>
              <w:t xml:space="preserve">93</w:t>
            </w:r>
          </w:p>
        </w:tc>
        <w:tc>
          <w:tcPr>
            <w:tcW w:w="1800" w:type="dxa"/>
          </w:tcPr>
          <w:p>
            <w:pPr>
              <w:spacing w:before="40" w:after="40" w:line="240" w:lineRule="auto"/>
            </w:pPr>
            <w:r>
              <w:rPr>
                <w:color w:val="1A252F"/>
                <w:sz w:val="18"/>
              </w:rPr>
              <w:t xml:space="preserve">Euractiv — EU Gig Worker Exploitation</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https://www.euractiv.com/</w:t>
            </w:r>
          </w:p>
        </w:tc>
      </w:tr>
      <w:tr>
        <w:tc>
          <w:tcPr>
            <w:tcW w:w="1800" w:type="dxa"/>
          </w:tcPr>
          <w:p>
            <w:pPr>
              <w:spacing w:before="40" w:after="40" w:line="240" w:lineRule="auto"/>
            </w:pPr>
            <w:r>
              <w:rPr>
                <w:color w:val="1A252F"/>
                <w:sz w:val="18"/>
              </w:rPr>
              <w:t xml:space="preserve">94</w:t>
            </w:r>
          </w:p>
        </w:tc>
        <w:tc>
          <w:tcPr>
            <w:tcW w:w="1800" w:type="dxa"/>
          </w:tcPr>
          <w:p>
            <w:pPr>
              <w:spacing w:before="40" w:after="40" w:line="240" w:lineRule="auto"/>
            </w:pPr>
            <w:r>
              <w:rPr>
                <w:color w:val="1A252F"/>
                <w:sz w:val="18"/>
              </w:rPr>
              <w:t xml:space="preserve">Euractiv — French Court Uber Employee Status</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https://www.euractiv.com/</w:t>
            </w:r>
          </w:p>
        </w:tc>
      </w:tr>
      <w:tr>
        <w:tc>
          <w:tcPr>
            <w:tcW w:w="1800" w:type="dxa"/>
          </w:tcPr>
          <w:p>
            <w:pPr>
              <w:spacing w:before="40" w:after="40" w:line="240" w:lineRule="auto"/>
            </w:pPr>
            <w:r>
              <w:rPr>
                <w:color w:val="1A252F"/>
                <w:sz w:val="18"/>
              </w:rPr>
              <w:t xml:space="preserve">95</w:t>
            </w:r>
          </w:p>
        </w:tc>
        <w:tc>
          <w:tcPr>
            <w:tcW w:w="1800" w:type="dxa"/>
          </w:tcPr>
          <w:p>
            <w:pPr>
              <w:spacing w:before="40" w:after="40" w:line="240" w:lineRule="auto"/>
            </w:pPr>
            <w:r>
              <w:rPr>
                <w:color w:val="1A252F"/>
                <w:sz w:val="18"/>
              </w:rPr>
              <w:t xml:space="preserve">Euractiv — Milan Prosecutor Deliveroo Judicial Admin</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2026</w:t>
            </w:r>
          </w:p>
        </w:tc>
        <w:tc>
          <w:tcPr>
            <w:tcW w:w="1800" w:type="dxa"/>
          </w:tcPr>
          <w:p>
            <w:pPr>
              <w:spacing w:before="40" w:after="40" w:line="240" w:lineRule="auto"/>
            </w:pPr>
            <w:r>
              <w:rPr>
                <w:color w:val="1A252F"/>
                <w:sz w:val="18"/>
              </w:rPr>
              <w:t xml:space="preserve">https://www.euractiv.com/</w:t>
            </w:r>
          </w:p>
        </w:tc>
      </w:tr>
      <w:tr>
        <w:tc>
          <w:tcPr>
            <w:tcW w:w="1800" w:type="dxa"/>
          </w:tcPr>
          <w:p>
            <w:pPr>
              <w:spacing w:before="40" w:after="40" w:line="240" w:lineRule="auto"/>
            </w:pPr>
            <w:r>
              <w:rPr>
                <w:color w:val="1A252F"/>
                <w:sz w:val="18"/>
              </w:rPr>
              <w:t xml:space="preserve">96</w:t>
            </w:r>
          </w:p>
        </w:tc>
        <w:tc>
          <w:tcPr>
            <w:tcW w:w="1800" w:type="dxa"/>
          </w:tcPr>
          <w:p>
            <w:pPr>
              <w:spacing w:before="40" w:after="40" w:line="240" w:lineRule="auto"/>
            </w:pPr>
            <w:r>
              <w:rPr>
                <w:color w:val="1A252F"/>
                <w:sz w:val="18"/>
              </w:rPr>
              <w:t xml:space="preserve">Fast Company — Instacart Tips Documents</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https://www.fastcompany.com/</w:t>
            </w:r>
          </w:p>
        </w:tc>
      </w:tr>
      <w:tr>
        <w:tc>
          <w:tcPr>
            <w:tcW w:w="1800" w:type="dxa"/>
          </w:tcPr>
          <w:p>
            <w:pPr>
              <w:spacing w:before="40" w:after="40" w:line="240" w:lineRule="auto"/>
            </w:pPr>
            <w:r>
              <w:rPr>
                <w:color w:val="1A252F"/>
                <w:sz w:val="18"/>
              </w:rPr>
              <w:t xml:space="preserve">97</w:t>
            </w:r>
          </w:p>
        </w:tc>
        <w:tc>
          <w:tcPr>
            <w:tcW w:w="1800" w:type="dxa"/>
          </w:tcPr>
          <w:p>
            <w:pPr>
              <w:spacing w:before="40" w:after="40" w:line="240" w:lineRule="auto"/>
            </w:pPr>
            <w:r>
              <w:rPr>
                <w:color w:val="1A252F"/>
                <w:sz w:val="18"/>
              </w:rPr>
              <w:t xml:space="preserve">Fast Company — Scale AI Psychological Trauma</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https://www.fastcompany.com/</w:t>
            </w:r>
          </w:p>
        </w:tc>
      </w:tr>
      <w:tr>
        <w:tc>
          <w:tcPr>
            <w:tcW w:w="1800" w:type="dxa"/>
          </w:tcPr>
          <w:p>
            <w:pPr>
              <w:spacing w:before="40" w:after="40" w:line="240" w:lineRule="auto"/>
            </w:pPr>
            <w:r>
              <w:rPr>
                <w:color w:val="1A252F"/>
                <w:sz w:val="18"/>
              </w:rPr>
              <w:t xml:space="preserve">98</w:t>
            </w:r>
          </w:p>
        </w:tc>
        <w:tc>
          <w:tcPr>
            <w:tcW w:w="1800" w:type="dxa"/>
          </w:tcPr>
          <w:p>
            <w:pPr>
              <w:spacing w:before="40" w:after="40" w:line="240" w:lineRule="auto"/>
            </w:pPr>
            <w:r>
              <w:rPr>
                <w:color w:val="1A252F"/>
                <w:sz w:val="18"/>
              </w:rPr>
              <w:t xml:space="preserve">Financial Times — Gig Economy Coverage</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https://www.ft.com/</w:t>
            </w:r>
          </w:p>
        </w:tc>
      </w:tr>
      <w:tr>
        <w:tc>
          <w:tcPr>
            <w:tcW w:w="1800" w:type="dxa"/>
          </w:tcPr>
          <w:p>
            <w:pPr>
              <w:spacing w:before="40" w:after="40" w:line="240" w:lineRule="auto"/>
            </w:pPr>
            <w:r>
              <w:rPr>
                <w:color w:val="1A252F"/>
                <w:sz w:val="18"/>
              </w:rPr>
              <w:t xml:space="preserve">99</w:t>
            </w:r>
          </w:p>
        </w:tc>
        <w:tc>
          <w:tcPr>
            <w:tcW w:w="1800" w:type="dxa"/>
          </w:tcPr>
          <w:p>
            <w:pPr>
              <w:spacing w:before="40" w:after="40" w:line="240" w:lineRule="auto"/>
            </w:pPr>
            <w:r>
              <w:rPr>
                <w:color w:val="1A252F"/>
                <w:sz w:val="18"/>
              </w:rPr>
              <w:t xml:space="preserve">Forbes — Brazil Lula Proposes Ride-Hailing Law</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https://www.forbes.com/</w:t>
            </w:r>
          </w:p>
        </w:tc>
      </w:tr>
      <w:tr>
        <w:tc>
          <w:tcPr>
            <w:tcW w:w="1800" w:type="dxa"/>
          </w:tcPr>
          <w:p>
            <w:pPr>
              <w:spacing w:before="40" w:after="40" w:line="240" w:lineRule="auto"/>
            </w:pPr>
            <w:r>
              <w:rPr>
                <w:color w:val="1A252F"/>
                <w:sz w:val="18"/>
              </w:rPr>
              <w:t xml:space="preserve">100</w:t>
            </w:r>
          </w:p>
        </w:tc>
        <w:tc>
          <w:tcPr>
            <w:tcW w:w="1800" w:type="dxa"/>
          </w:tcPr>
          <w:p>
            <w:pPr>
              <w:spacing w:before="40" w:after="40" w:line="240" w:lineRule="auto"/>
            </w:pPr>
            <w:r>
              <w:rPr>
                <w:color w:val="1A252F"/>
                <w:sz w:val="18"/>
              </w:rPr>
              <w:t xml:space="preserve">Fortune — Uber/Lyft Massachusetts $32.50/hour Deal</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https://fortune.com/</w:t>
            </w:r>
          </w:p>
        </w:tc>
      </w:tr>
      <w:tr>
        <w:tc>
          <w:tcPr>
            <w:tcW w:w="1800" w:type="dxa"/>
          </w:tcPr>
          <w:p>
            <w:pPr>
              <w:spacing w:before="40" w:after="40" w:line="240" w:lineRule="auto"/>
            </w:pPr>
            <w:r>
              <w:rPr>
                <w:color w:val="1A252F"/>
                <w:sz w:val="18"/>
              </w:rPr>
              <w:t xml:space="preserve">101</w:t>
            </w:r>
          </w:p>
        </w:tc>
        <w:tc>
          <w:tcPr>
            <w:tcW w:w="1800" w:type="dxa"/>
          </w:tcPr>
          <w:p>
            <w:pPr>
              <w:spacing w:before="40" w:after="40" w:line="240" w:lineRule="auto"/>
            </w:pPr>
            <w:r>
              <w:rPr>
                <w:color w:val="1A252F"/>
                <w:sz w:val="18"/>
              </w:rPr>
              <w:t xml:space="preserve">Frontier Weekly — Gig Workers Strikes India</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https://www.frontierweekly.org/</w:t>
            </w:r>
          </w:p>
        </w:tc>
      </w:tr>
      <w:tr>
        <w:tc>
          <w:tcPr>
            <w:tcW w:w="1800" w:type="dxa"/>
          </w:tcPr>
          <w:p>
            <w:pPr>
              <w:spacing w:before="40" w:after="40" w:line="240" w:lineRule="auto"/>
            </w:pPr>
            <w:r>
              <w:rPr>
                <w:color w:val="1A252F"/>
                <w:sz w:val="18"/>
              </w:rPr>
              <w:t xml:space="preserve">102</w:t>
            </w:r>
          </w:p>
        </w:tc>
        <w:tc>
          <w:tcPr>
            <w:tcW w:w="1800" w:type="dxa"/>
          </w:tcPr>
          <w:p>
            <w:pPr>
              <w:spacing w:before="40" w:after="40" w:line="240" w:lineRule="auto"/>
            </w:pPr>
            <w:r>
              <w:rPr>
                <w:color w:val="1A252F"/>
                <w:sz w:val="18"/>
              </w:rPr>
              <w:t xml:space="preserve">HuffPost — Instacart Workers Strike</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2023</w:t>
            </w:r>
          </w:p>
        </w:tc>
        <w:tc>
          <w:tcPr>
            <w:tcW w:w="1800" w:type="dxa"/>
          </w:tcPr>
          <w:p>
            <w:pPr>
              <w:spacing w:before="40" w:after="40" w:line="240" w:lineRule="auto"/>
            </w:pPr>
            <w:r>
              <w:rPr>
                <w:color w:val="1A252F"/>
                <w:sz w:val="18"/>
              </w:rPr>
              <w:t xml:space="preserve">https://www.huffpost.com/</w:t>
            </w:r>
          </w:p>
        </w:tc>
      </w:tr>
      <w:tr>
        <w:tc>
          <w:tcPr>
            <w:tcW w:w="1800" w:type="dxa"/>
          </w:tcPr>
          <w:p>
            <w:pPr>
              <w:spacing w:before="40" w:after="40" w:line="240" w:lineRule="auto"/>
            </w:pPr>
            <w:r>
              <w:rPr>
                <w:color w:val="1A252F"/>
                <w:sz w:val="18"/>
              </w:rPr>
              <w:t xml:space="preserve">103</w:t>
            </w:r>
          </w:p>
        </w:tc>
        <w:tc>
          <w:tcPr>
            <w:tcW w:w="1800" w:type="dxa"/>
          </w:tcPr>
          <w:p>
            <w:pPr>
              <w:spacing w:before="40" w:after="40" w:line="240" w:lineRule="auto"/>
            </w:pPr>
            <w:r>
              <w:rPr>
                <w:color w:val="1A252F"/>
                <w:sz w:val="18"/>
              </w:rPr>
              <w:t xml:space="preserve">Inc.com — Scale AI Sued for Depraved Content</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https://www.inc.com/</w:t>
            </w:r>
          </w:p>
        </w:tc>
      </w:tr>
      <w:tr>
        <w:tc>
          <w:tcPr>
            <w:tcW w:w="1800" w:type="dxa"/>
          </w:tcPr>
          <w:p>
            <w:pPr>
              <w:spacing w:before="40" w:after="40" w:line="240" w:lineRule="auto"/>
            </w:pPr>
            <w:r>
              <w:rPr>
                <w:color w:val="1A252F"/>
                <w:sz w:val="18"/>
              </w:rPr>
              <w:t xml:space="preserve">104</w:t>
            </w:r>
          </w:p>
        </w:tc>
        <w:tc>
          <w:tcPr>
            <w:tcW w:w="1800" w:type="dxa"/>
          </w:tcPr>
          <w:p>
            <w:pPr>
              <w:spacing w:before="40" w:after="40" w:line="240" w:lineRule="auto"/>
            </w:pPr>
            <w:r>
              <w:rPr>
                <w:color w:val="1A252F"/>
                <w:sz w:val="18"/>
              </w:rPr>
              <w:t xml:space="preserve">Laist — No One Enforcing Prop 22</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https://laist.com/</w:t>
            </w:r>
          </w:p>
        </w:tc>
      </w:tr>
      <w:tr>
        <w:tc>
          <w:tcPr>
            <w:tcW w:w="1800" w:type="dxa"/>
          </w:tcPr>
          <w:p>
            <w:pPr>
              <w:spacing w:before="40" w:after="40" w:line="240" w:lineRule="auto"/>
            </w:pPr>
            <w:r>
              <w:rPr>
                <w:color w:val="1A252F"/>
                <w:sz w:val="18"/>
              </w:rPr>
              <w:t xml:space="preserve">105</w:t>
            </w:r>
          </w:p>
        </w:tc>
        <w:tc>
          <w:tcPr>
            <w:tcW w:w="1800" w:type="dxa"/>
          </w:tcPr>
          <w:p>
            <w:pPr>
              <w:spacing w:before="40" w:after="40" w:line="240" w:lineRule="auto"/>
            </w:pPr>
            <w:r>
              <w:rPr>
                <w:color w:val="1A252F"/>
                <w:sz w:val="18"/>
              </w:rPr>
              <w:t xml:space="preserve">MassLive — Massachusetts Question 3 Results</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https://www.masslive.com/</w:t>
            </w:r>
          </w:p>
        </w:tc>
      </w:tr>
      <w:tr>
        <w:tc>
          <w:tcPr>
            <w:tcW w:w="1800" w:type="dxa"/>
          </w:tcPr>
          <w:p>
            <w:pPr>
              <w:spacing w:before="40" w:after="40" w:line="240" w:lineRule="auto"/>
            </w:pPr>
            <w:r>
              <w:rPr>
                <w:color w:val="1A252F"/>
                <w:sz w:val="18"/>
              </w:rPr>
              <w:t xml:space="preserve">106</w:t>
            </w:r>
          </w:p>
        </w:tc>
        <w:tc>
          <w:tcPr>
            <w:tcW w:w="1800" w:type="dxa"/>
          </w:tcPr>
          <w:p>
            <w:pPr>
              <w:spacing w:before="40" w:after="40" w:line="240" w:lineRule="auto"/>
            </w:pPr>
            <w:r>
              <w:rPr>
                <w:color w:val="1A252F"/>
                <w:sz w:val="18"/>
              </w:rPr>
              <w:t xml:space="preserve">MediaNama — Social Security Central Rules India</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2026</w:t>
            </w:r>
          </w:p>
        </w:tc>
        <w:tc>
          <w:tcPr>
            <w:tcW w:w="1800" w:type="dxa"/>
          </w:tcPr>
          <w:p>
            <w:pPr>
              <w:spacing w:before="40" w:after="40" w:line="240" w:lineRule="auto"/>
            </w:pPr>
            <w:r>
              <w:rPr>
                <w:color w:val="1A252F"/>
                <w:sz w:val="18"/>
              </w:rPr>
              <w:t xml:space="preserve">https://www.medianama.com/</w:t>
            </w:r>
          </w:p>
        </w:tc>
      </w:tr>
      <w:tr>
        <w:tc>
          <w:tcPr>
            <w:tcW w:w="1800" w:type="dxa"/>
          </w:tcPr>
          <w:p>
            <w:pPr>
              <w:spacing w:before="40" w:after="40" w:line="240" w:lineRule="auto"/>
            </w:pPr>
            <w:r>
              <w:rPr>
                <w:color w:val="1A252F"/>
                <w:sz w:val="18"/>
              </w:rPr>
              <w:t xml:space="preserve">107</w:t>
            </w:r>
          </w:p>
        </w:tc>
        <w:tc>
          <w:tcPr>
            <w:tcW w:w="1800" w:type="dxa"/>
          </w:tcPr>
          <w:p>
            <w:pPr>
              <w:spacing w:before="40" w:after="40" w:line="240" w:lineRule="auto"/>
            </w:pPr>
            <w:r>
              <w:rPr>
                <w:color w:val="1A252F"/>
                <w:sz w:val="18"/>
              </w:rPr>
              <w:t xml:space="preserve">MediaNama — Uber EU Algorithmic Pay Lawsuit</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https://www.medianama.com/</w:t>
            </w:r>
          </w:p>
        </w:tc>
      </w:tr>
      <w:tr>
        <w:tc>
          <w:tcPr>
            <w:tcW w:w="1800" w:type="dxa"/>
          </w:tcPr>
          <w:p>
            <w:pPr>
              <w:spacing w:before="40" w:after="40" w:line="240" w:lineRule="auto"/>
            </w:pPr>
            <w:r>
              <w:rPr>
                <w:color w:val="1A252F"/>
                <w:sz w:val="18"/>
              </w:rPr>
              <w:t xml:space="preserve">108</w:t>
            </w:r>
          </w:p>
        </w:tc>
        <w:tc>
          <w:tcPr>
            <w:tcW w:w="1800" w:type="dxa"/>
          </w:tcPr>
          <w:p>
            <w:pPr>
              <w:spacing w:before="40" w:after="40" w:line="240" w:lineRule="auto"/>
            </w:pPr>
            <w:r>
              <w:rPr>
                <w:color w:val="1A252F"/>
                <w:sz w:val="18"/>
              </w:rPr>
              <w:t xml:space="preserve">MediaNama — Uber Upfront Pricing Study</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https://www.medianama.com/</w:t>
            </w:r>
          </w:p>
        </w:tc>
      </w:tr>
      <w:tr>
        <w:tc>
          <w:tcPr>
            <w:tcW w:w="1800" w:type="dxa"/>
          </w:tcPr>
          <w:p>
            <w:pPr>
              <w:spacing w:before="40" w:after="40" w:line="240" w:lineRule="auto"/>
            </w:pPr>
            <w:r>
              <w:rPr>
                <w:color w:val="1A252F"/>
                <w:sz w:val="18"/>
              </w:rPr>
              <w:t xml:space="preserve">109</w:t>
            </w:r>
          </w:p>
        </w:tc>
        <w:tc>
          <w:tcPr>
            <w:tcW w:w="1800" w:type="dxa"/>
          </w:tcPr>
          <w:p>
            <w:pPr>
              <w:spacing w:before="40" w:after="40" w:line="240" w:lineRule="auto"/>
            </w:pPr>
            <w:r>
              <w:rPr>
                <w:color w:val="1A252F"/>
                <w:sz w:val="18"/>
              </w:rPr>
              <w:t xml:space="preserve">MIT Technology Review — AI Industry Profits from Catastrophe</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https://www.technologyreview.com/</w:t>
            </w:r>
          </w:p>
        </w:tc>
      </w:tr>
      <w:tr>
        <w:tc>
          <w:tcPr>
            <w:tcW w:w="1800" w:type="dxa"/>
          </w:tcPr>
          <w:p>
            <w:pPr>
              <w:spacing w:before="40" w:after="40" w:line="240" w:lineRule="auto"/>
            </w:pPr>
            <w:r>
              <w:rPr>
                <w:color w:val="1A252F"/>
                <w:sz w:val="18"/>
              </w:rPr>
              <w:t xml:space="preserve">110</w:t>
            </w:r>
          </w:p>
        </w:tc>
        <w:tc>
          <w:tcPr>
            <w:tcW w:w="1800" w:type="dxa"/>
          </w:tcPr>
          <w:p>
            <w:pPr>
              <w:spacing w:before="40" w:after="40" w:line="240" w:lineRule="auto"/>
            </w:pPr>
            <w:r>
              <w:rPr>
                <w:color w:val="1A252F"/>
                <w:sz w:val="18"/>
              </w:rPr>
              <w:t xml:space="preserve">Novara Media — Uber Boss Algorithmic Wage Discrimination</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https://novaramedia.com/</w:t>
            </w:r>
          </w:p>
        </w:tc>
      </w:tr>
      <w:tr>
        <w:tc>
          <w:tcPr>
            <w:tcW w:w="1800" w:type="dxa"/>
          </w:tcPr>
          <w:p>
            <w:pPr>
              <w:spacing w:before="40" w:after="40" w:line="240" w:lineRule="auto"/>
            </w:pPr>
            <w:r>
              <w:rPr>
                <w:color w:val="1A252F"/>
                <w:sz w:val="18"/>
              </w:rPr>
              <w:t xml:space="preserve">111</w:t>
            </w:r>
          </w:p>
        </w:tc>
        <w:tc>
          <w:tcPr>
            <w:tcW w:w="1800" w:type="dxa"/>
          </w:tcPr>
          <w:p>
            <w:pPr>
              <w:spacing w:before="40" w:after="40" w:line="240" w:lineRule="auto"/>
            </w:pPr>
            <w:r>
              <w:rPr>
                <w:color w:val="1A252F"/>
                <w:sz w:val="18"/>
              </w:rPr>
              <w:t xml:space="preserve">NPR — DoorDash Hourly Pay Option Catch</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2023</w:t>
            </w:r>
          </w:p>
        </w:tc>
        <w:tc>
          <w:tcPr>
            <w:tcW w:w="1800" w:type="dxa"/>
          </w:tcPr>
          <w:p>
            <w:pPr>
              <w:spacing w:before="40" w:after="40" w:line="240" w:lineRule="auto"/>
            </w:pPr>
            <w:r>
              <w:rPr>
                <w:color w:val="1A252F"/>
                <w:sz w:val="18"/>
              </w:rPr>
              <w:t xml:space="preserve">https://www.npr.org/</w:t>
            </w:r>
          </w:p>
        </w:tc>
      </w:tr>
      <w:tr>
        <w:tc>
          <w:tcPr>
            <w:tcW w:w="1800" w:type="dxa"/>
          </w:tcPr>
          <w:p>
            <w:pPr>
              <w:spacing w:before="40" w:after="40" w:line="240" w:lineRule="auto"/>
            </w:pPr>
            <w:r>
              <w:rPr>
                <w:color w:val="1A252F"/>
                <w:sz w:val="18"/>
              </w:rPr>
              <w:t xml:space="preserve">112</w:t>
            </w:r>
          </w:p>
        </w:tc>
        <w:tc>
          <w:tcPr>
            <w:tcW w:w="1800" w:type="dxa"/>
          </w:tcPr>
          <w:p>
            <w:pPr>
              <w:spacing w:before="40" w:after="40" w:line="240" w:lineRule="auto"/>
            </w:pPr>
            <w:r>
              <w:rPr>
                <w:color w:val="1A252F"/>
                <w:sz w:val="18"/>
              </w:rPr>
              <w:t xml:space="preserve">NY1 — Uber/Lyft $328M NY Wage Theft</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2023</w:t>
            </w:r>
          </w:p>
        </w:tc>
        <w:tc>
          <w:tcPr>
            <w:tcW w:w="1800" w:type="dxa"/>
          </w:tcPr>
          <w:p>
            <w:pPr>
              <w:spacing w:before="40" w:after="40" w:line="240" w:lineRule="auto"/>
            </w:pPr>
            <w:r>
              <w:rPr>
                <w:color w:val="1A252F"/>
                <w:sz w:val="18"/>
              </w:rPr>
              <w:t xml:space="preserve">https://www.ny1.com/</w:t>
            </w:r>
          </w:p>
        </w:tc>
      </w:tr>
      <w:tr>
        <w:tc>
          <w:tcPr>
            <w:tcW w:w="1800" w:type="dxa"/>
          </w:tcPr>
          <w:p>
            <w:pPr>
              <w:spacing w:before="40" w:after="40" w:line="240" w:lineRule="auto"/>
            </w:pPr>
            <w:r>
              <w:rPr>
                <w:color w:val="1A252F"/>
                <w:sz w:val="18"/>
              </w:rPr>
              <w:t xml:space="preserve">113</w:t>
            </w:r>
          </w:p>
        </w:tc>
        <w:tc>
          <w:tcPr>
            <w:tcW w:w="1800" w:type="dxa"/>
          </w:tcPr>
          <w:p>
            <w:pPr>
              <w:spacing w:before="40" w:after="40" w:line="240" w:lineRule="auto"/>
            </w:pPr>
            <w:r>
              <w:rPr>
                <w:color w:val="1A252F"/>
                <w:sz w:val="18"/>
              </w:rPr>
              <w:t xml:space="preserve">OCCRP — US Gig Workers Trapped by Exploitation</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https://www.occrp.org/</w:t>
            </w:r>
          </w:p>
        </w:tc>
      </w:tr>
      <w:tr>
        <w:tc>
          <w:tcPr>
            <w:tcW w:w="1800" w:type="dxa"/>
          </w:tcPr>
          <w:p>
            <w:pPr>
              <w:spacing w:before="40" w:after="40" w:line="240" w:lineRule="auto"/>
            </w:pPr>
            <w:r>
              <w:rPr>
                <w:color w:val="1A252F"/>
                <w:sz w:val="18"/>
              </w:rPr>
              <w:t xml:space="preserve">114</w:t>
            </w:r>
          </w:p>
        </w:tc>
        <w:tc>
          <w:tcPr>
            <w:tcW w:w="1800" w:type="dxa"/>
          </w:tcPr>
          <w:p>
            <w:pPr>
              <w:spacing w:before="40" w:after="40" w:line="240" w:lineRule="auto"/>
            </w:pPr>
            <w:r>
              <w:rPr>
                <w:color w:val="1A252F"/>
                <w:sz w:val="18"/>
              </w:rPr>
              <w:t xml:space="preserve">Prospect Magazine — Rideshare Drivers Firing by App</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https://prospect.org/</w:t>
            </w:r>
          </w:p>
        </w:tc>
      </w:tr>
      <w:tr>
        <w:tc>
          <w:tcPr>
            <w:tcW w:w="1800" w:type="dxa"/>
          </w:tcPr>
          <w:p>
            <w:pPr>
              <w:spacing w:before="40" w:after="40" w:line="240" w:lineRule="auto"/>
            </w:pPr>
            <w:r>
              <w:rPr>
                <w:color w:val="1A252F"/>
                <w:sz w:val="18"/>
              </w:rPr>
              <w:t xml:space="preserve">115</w:t>
            </w:r>
          </w:p>
        </w:tc>
        <w:tc>
          <w:tcPr>
            <w:tcW w:w="1800" w:type="dxa"/>
          </w:tcPr>
          <w:p>
            <w:pPr>
              <w:spacing w:before="40" w:after="40" w:line="240" w:lineRule="auto"/>
            </w:pPr>
            <w:r>
              <w:rPr>
                <w:color w:val="1A252F"/>
                <w:sz w:val="18"/>
              </w:rPr>
              <w:t xml:space="preserve">Rest of World — Brazil Lula Gig Work Regulation</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2023</w:t>
            </w:r>
          </w:p>
        </w:tc>
        <w:tc>
          <w:tcPr>
            <w:tcW w:w="1800" w:type="dxa"/>
          </w:tcPr>
          <w:p>
            <w:pPr>
              <w:spacing w:before="40" w:after="40" w:line="240" w:lineRule="auto"/>
            </w:pPr>
            <w:r>
              <w:rPr>
                <w:color w:val="1A252F"/>
                <w:sz w:val="18"/>
              </w:rPr>
              <w:t xml:space="preserve">https://restofworld.org/</w:t>
            </w:r>
          </w:p>
        </w:tc>
      </w:tr>
      <w:tr>
        <w:tc>
          <w:tcPr>
            <w:tcW w:w="1800" w:type="dxa"/>
          </w:tcPr>
          <w:p>
            <w:pPr>
              <w:spacing w:before="40" w:after="40" w:line="240" w:lineRule="auto"/>
            </w:pPr>
            <w:r>
              <w:rPr>
                <w:color w:val="1A252F"/>
                <w:sz w:val="18"/>
              </w:rPr>
              <w:t xml:space="preserve">116</w:t>
            </w:r>
          </w:p>
        </w:tc>
        <w:tc>
          <w:tcPr>
            <w:tcW w:w="1800" w:type="dxa"/>
          </w:tcPr>
          <w:p>
            <w:pPr>
              <w:spacing w:before="40" w:after="40" w:line="240" w:lineRule="auto"/>
            </w:pPr>
            <w:r>
              <w:rPr>
                <w:color w:val="1A252F"/>
                <w:sz w:val="18"/>
              </w:rPr>
              <w:t xml:space="preserve">Rest of World — Scale AI Remotasks Booting Workers</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2023</w:t>
            </w:r>
          </w:p>
        </w:tc>
        <w:tc>
          <w:tcPr>
            <w:tcW w:w="1800" w:type="dxa"/>
          </w:tcPr>
          <w:p>
            <w:pPr>
              <w:spacing w:before="40" w:after="40" w:line="240" w:lineRule="auto"/>
            </w:pPr>
            <w:r>
              <w:rPr>
                <w:color w:val="1A252F"/>
                <w:sz w:val="18"/>
              </w:rPr>
              <w:t xml:space="preserve">https://restofworld.org/</w:t>
            </w:r>
          </w:p>
        </w:tc>
      </w:tr>
      <w:tr>
        <w:tc>
          <w:tcPr>
            <w:tcW w:w="1800" w:type="dxa"/>
          </w:tcPr>
          <w:p>
            <w:pPr>
              <w:spacing w:before="40" w:after="40" w:line="240" w:lineRule="auto"/>
            </w:pPr>
            <w:r>
              <w:rPr>
                <w:color w:val="1A252F"/>
                <w:sz w:val="18"/>
              </w:rPr>
              <w:t xml:space="preserve">117</w:t>
            </w:r>
          </w:p>
        </w:tc>
        <w:tc>
          <w:tcPr>
            <w:tcW w:w="1800" w:type="dxa"/>
          </w:tcPr>
          <w:p>
            <w:pPr>
              <w:spacing w:before="40" w:after="40" w:line="240" w:lineRule="auto"/>
            </w:pPr>
            <w:r>
              <w:rPr>
                <w:color w:val="1A252F"/>
                <w:sz w:val="18"/>
              </w:rPr>
              <w:t xml:space="preserve">San Diego Union-Tribune — Remotasks Pay Investigation</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2023</w:t>
            </w:r>
          </w:p>
        </w:tc>
        <w:tc>
          <w:tcPr>
            <w:tcW w:w="1800" w:type="dxa"/>
          </w:tcPr>
          <w:p>
            <w:pPr>
              <w:spacing w:before="40" w:after="40" w:line="240" w:lineRule="auto"/>
            </w:pPr>
            <w:r>
              <w:rPr>
                <w:color w:val="1A252F"/>
                <w:sz w:val="18"/>
              </w:rPr>
              <w:t xml:space="preserve">https://www.sandiegouniontribune.com/</w:t>
            </w:r>
          </w:p>
        </w:tc>
      </w:tr>
      <w:tr>
        <w:tc>
          <w:tcPr>
            <w:tcW w:w="1800" w:type="dxa"/>
          </w:tcPr>
          <w:p>
            <w:pPr>
              <w:spacing w:before="40" w:after="40" w:line="240" w:lineRule="auto"/>
            </w:pPr>
            <w:r>
              <w:rPr>
                <w:color w:val="1A252F"/>
                <w:sz w:val="18"/>
              </w:rPr>
              <w:t xml:space="preserve">118</w:t>
            </w:r>
          </w:p>
        </w:tc>
        <w:tc>
          <w:tcPr>
            <w:tcW w:w="1800" w:type="dxa"/>
          </w:tcPr>
          <w:p>
            <w:pPr>
              <w:spacing w:before="40" w:after="40" w:line="240" w:lineRule="auto"/>
            </w:pPr>
            <w:r>
              <w:rPr>
                <w:color w:val="1A252F"/>
                <w:sz w:val="18"/>
              </w:rPr>
              <w:t xml:space="preserve">SFGATE — Oustro Textbroker Settlement</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https://www.sfgate.com/</w:t>
            </w:r>
          </w:p>
        </w:tc>
      </w:tr>
      <w:tr>
        <w:tc>
          <w:tcPr>
            <w:tcW w:w="1800" w:type="dxa"/>
          </w:tcPr>
          <w:p>
            <w:pPr>
              <w:spacing w:before="40" w:after="40" w:line="240" w:lineRule="auto"/>
            </w:pPr>
            <w:r>
              <w:rPr>
                <w:color w:val="1A252F"/>
                <w:sz w:val="18"/>
              </w:rPr>
              <w:t xml:space="preserve">119</w:t>
            </w:r>
          </w:p>
        </w:tc>
        <w:tc>
          <w:tcPr>
            <w:tcW w:w="1800" w:type="dxa"/>
          </w:tcPr>
          <w:p>
            <w:pPr>
              <w:spacing w:before="40" w:after="40" w:line="240" w:lineRule="auto"/>
            </w:pPr>
            <w:r>
              <w:rPr>
                <w:color w:val="1A252F"/>
                <w:sz w:val="18"/>
              </w:rPr>
              <w:t xml:space="preserve">SFGATE — TechCrunch India Freelancer Wage Theft</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https://www.sfgate.com/</w:t>
            </w:r>
          </w:p>
        </w:tc>
      </w:tr>
      <w:tr>
        <w:tc>
          <w:tcPr>
            <w:tcW w:w="1800" w:type="dxa"/>
          </w:tcPr>
          <w:p>
            <w:pPr>
              <w:spacing w:before="40" w:after="40" w:line="240" w:lineRule="auto"/>
            </w:pPr>
            <w:r>
              <w:rPr>
                <w:color w:val="1A252F"/>
                <w:sz w:val="18"/>
              </w:rPr>
              <w:t xml:space="preserve">120</w:t>
            </w:r>
          </w:p>
        </w:tc>
        <w:tc>
          <w:tcPr>
            <w:tcW w:w="1800" w:type="dxa"/>
          </w:tcPr>
          <w:p>
            <w:pPr>
              <w:spacing w:before="40" w:after="40" w:line="240" w:lineRule="auto"/>
            </w:pPr>
            <w:r>
              <w:rPr>
                <w:color w:val="1A252F"/>
                <w:sz w:val="18"/>
              </w:rPr>
              <w:t xml:space="preserve">Southern Worker — May Day 2025 International Strike</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https://www.southernworker.org/</w:t>
            </w:r>
          </w:p>
        </w:tc>
      </w:tr>
      <w:tr>
        <w:tc>
          <w:tcPr>
            <w:tcW w:w="1800" w:type="dxa"/>
          </w:tcPr>
          <w:p>
            <w:pPr>
              <w:spacing w:before="40" w:after="40" w:line="240" w:lineRule="auto"/>
            </w:pPr>
            <w:r>
              <w:rPr>
                <w:color w:val="1A252F"/>
                <w:sz w:val="18"/>
              </w:rPr>
              <w:t xml:space="preserve">121</w:t>
            </w:r>
          </w:p>
        </w:tc>
        <w:tc>
          <w:tcPr>
            <w:tcW w:w="1800" w:type="dxa"/>
          </w:tcPr>
          <w:p>
            <w:pPr>
              <w:spacing w:before="40" w:after="40" w:line="240" w:lineRule="auto"/>
            </w:pPr>
            <w:r>
              <w:rPr>
                <w:color w:val="1A252F"/>
                <w:sz w:val="18"/>
              </w:rPr>
              <w:t xml:space="preserve">Tech Policy Press — Dark Patterns in Deactivation</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https://techpolicy.press/</w:t>
            </w:r>
          </w:p>
        </w:tc>
      </w:tr>
      <w:tr>
        <w:tc>
          <w:tcPr>
            <w:tcW w:w="1800" w:type="dxa"/>
          </w:tcPr>
          <w:p>
            <w:pPr>
              <w:spacing w:before="40" w:after="40" w:line="240" w:lineRule="auto"/>
            </w:pPr>
            <w:r>
              <w:rPr>
                <w:color w:val="1A252F"/>
                <w:sz w:val="18"/>
              </w:rPr>
              <w:t xml:space="preserve">122</w:t>
            </w:r>
          </w:p>
        </w:tc>
        <w:tc>
          <w:tcPr>
            <w:tcW w:w="1800" w:type="dxa"/>
          </w:tcPr>
          <w:p>
            <w:pPr>
              <w:spacing w:before="40" w:after="40" w:line="240" w:lineRule="auto"/>
            </w:pPr>
            <w:r>
              <w:rPr>
                <w:color w:val="1A252F"/>
                <w:sz w:val="18"/>
              </w:rPr>
              <w:t xml:space="preserve">Tech Policy Press — Platform Labor Laws Singapore/Malaysia</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2026</w:t>
            </w:r>
          </w:p>
        </w:tc>
        <w:tc>
          <w:tcPr>
            <w:tcW w:w="1800" w:type="dxa"/>
          </w:tcPr>
          <w:p>
            <w:pPr>
              <w:spacing w:before="40" w:after="40" w:line="240" w:lineRule="auto"/>
            </w:pPr>
            <w:r>
              <w:rPr>
                <w:color w:val="1A252F"/>
                <w:sz w:val="18"/>
              </w:rPr>
              <w:t xml:space="preserve">https://techpolicy.press/</w:t>
            </w:r>
          </w:p>
        </w:tc>
      </w:tr>
      <w:tr>
        <w:tc>
          <w:tcPr>
            <w:tcW w:w="1800" w:type="dxa"/>
          </w:tcPr>
          <w:p>
            <w:pPr>
              <w:spacing w:before="40" w:after="40" w:line="240" w:lineRule="auto"/>
            </w:pPr>
            <w:r>
              <w:rPr>
                <w:color w:val="1A252F"/>
                <w:sz w:val="18"/>
              </w:rPr>
              <w:t xml:space="preserve">123</w:t>
            </w:r>
          </w:p>
        </w:tc>
        <w:tc>
          <w:tcPr>
            <w:tcW w:w="1800" w:type="dxa"/>
          </w:tcPr>
          <w:p>
            <w:pPr>
              <w:spacing w:before="40" w:after="40" w:line="240" w:lineRule="auto"/>
            </w:pPr>
            <w:r>
              <w:rPr>
                <w:color w:val="1A252F"/>
                <w:sz w:val="18"/>
              </w:rPr>
              <w:t xml:space="preserve">Tech Policy Press — Why Gig Platform Wage Theft Is Governance Crisis</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2026</w:t>
            </w:r>
          </w:p>
        </w:tc>
        <w:tc>
          <w:tcPr>
            <w:tcW w:w="1800" w:type="dxa"/>
          </w:tcPr>
          <w:p>
            <w:pPr>
              <w:spacing w:before="40" w:after="40" w:line="240" w:lineRule="auto"/>
            </w:pPr>
            <w:r>
              <w:rPr>
                <w:color w:val="1A252F"/>
                <w:sz w:val="18"/>
              </w:rPr>
              <w:t xml:space="preserve">https://techpolicy.press/</w:t>
            </w:r>
          </w:p>
        </w:tc>
      </w:tr>
      <w:tr>
        <w:tc>
          <w:tcPr>
            <w:tcW w:w="1800" w:type="dxa"/>
          </w:tcPr>
          <w:p>
            <w:pPr>
              <w:spacing w:before="40" w:after="40" w:line="240" w:lineRule="auto"/>
            </w:pPr>
            <w:r>
              <w:rPr>
                <w:color w:val="1A252F"/>
                <w:sz w:val="18"/>
              </w:rPr>
              <w:t xml:space="preserve">124</w:t>
            </w:r>
          </w:p>
        </w:tc>
        <w:tc>
          <w:tcPr>
            <w:tcW w:w="1800" w:type="dxa"/>
          </w:tcPr>
          <w:p>
            <w:pPr>
              <w:spacing w:before="40" w:after="40" w:line="240" w:lineRule="auto"/>
            </w:pPr>
            <w:r>
              <w:rPr>
                <w:color w:val="1A252F"/>
                <w:sz w:val="18"/>
              </w:rPr>
              <w:t xml:space="preserve">TechCrunch — DOL Drops Scale AI Investigation</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https://techcrunch.com/</w:t>
            </w:r>
          </w:p>
        </w:tc>
      </w:tr>
      <w:tr>
        <w:tc>
          <w:tcPr>
            <w:tcW w:w="1800" w:type="dxa"/>
          </w:tcPr>
          <w:p>
            <w:pPr>
              <w:spacing w:before="40" w:after="40" w:line="240" w:lineRule="auto"/>
            </w:pPr>
            <w:r>
              <w:rPr>
                <w:color w:val="1A252F"/>
                <w:sz w:val="18"/>
              </w:rPr>
              <w:t xml:space="preserve">125</w:t>
            </w:r>
          </w:p>
        </w:tc>
        <w:tc>
          <w:tcPr>
            <w:tcW w:w="1800" w:type="dxa"/>
          </w:tcPr>
          <w:p>
            <w:pPr>
              <w:spacing w:before="40" w:after="40" w:line="240" w:lineRule="auto"/>
            </w:pPr>
            <w:r>
              <w:rPr>
                <w:color w:val="1A252F"/>
                <w:sz w:val="18"/>
              </w:rPr>
              <w:t xml:space="preserve">TechCrunch — Scale AI Second Lawsuit</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https://techcrunch.com/</w:t>
            </w:r>
          </w:p>
        </w:tc>
      </w:tr>
      <w:tr>
        <w:tc>
          <w:tcPr>
            <w:tcW w:w="1800" w:type="dxa"/>
          </w:tcPr>
          <w:p>
            <w:pPr>
              <w:spacing w:before="40" w:after="40" w:line="240" w:lineRule="auto"/>
            </w:pPr>
            <w:r>
              <w:rPr>
                <w:color w:val="1A252F"/>
                <w:sz w:val="18"/>
              </w:rPr>
              <w:t xml:space="preserve">126</w:t>
            </w:r>
          </w:p>
        </w:tc>
        <w:tc>
          <w:tcPr>
            <w:tcW w:w="1800" w:type="dxa"/>
          </w:tcPr>
          <w:p>
            <w:pPr>
              <w:spacing w:before="40" w:after="40" w:line="240" w:lineRule="auto"/>
            </w:pPr>
            <w:r>
              <w:rPr>
                <w:color w:val="1A252F"/>
                <w:sz w:val="18"/>
              </w:rPr>
              <w:t xml:space="preserve">The Guardian — Gig Economy Coverage</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https://www.theguardian.com/</w:t>
            </w:r>
          </w:p>
        </w:tc>
      </w:tr>
      <w:tr>
        <w:tc>
          <w:tcPr>
            <w:tcW w:w="1800" w:type="dxa"/>
          </w:tcPr>
          <w:p>
            <w:pPr>
              <w:spacing w:before="40" w:after="40" w:line="240" w:lineRule="auto"/>
            </w:pPr>
            <w:r>
              <w:rPr>
                <w:color w:val="1A252F"/>
                <w:sz w:val="18"/>
              </w:rPr>
              <w:t xml:space="preserve">127</w:t>
            </w:r>
          </w:p>
        </w:tc>
        <w:tc>
          <w:tcPr>
            <w:tcW w:w="1800" w:type="dxa"/>
          </w:tcPr>
          <w:p>
            <w:pPr>
              <w:spacing w:before="40" w:after="40" w:line="240" w:lineRule="auto"/>
            </w:pPr>
            <w:r>
              <w:rPr>
                <w:color w:val="1A252F"/>
                <w:sz w:val="18"/>
              </w:rPr>
              <w:t xml:space="preserve">The Nation — NYC $5.2M Delivery Worker Settlement</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2026</w:t>
            </w:r>
          </w:p>
        </w:tc>
        <w:tc>
          <w:tcPr>
            <w:tcW w:w="1800" w:type="dxa"/>
          </w:tcPr>
          <w:p>
            <w:pPr>
              <w:spacing w:before="40" w:after="40" w:line="240" w:lineRule="auto"/>
            </w:pPr>
            <w:r>
              <w:rPr>
                <w:color w:val="1A252F"/>
                <w:sz w:val="18"/>
              </w:rPr>
              <w:t xml:space="preserve">https://www.thenation.com/</w:t>
            </w:r>
          </w:p>
        </w:tc>
      </w:tr>
      <w:tr>
        <w:tc>
          <w:tcPr>
            <w:tcW w:w="1800" w:type="dxa"/>
          </w:tcPr>
          <w:p>
            <w:pPr>
              <w:spacing w:before="40" w:after="40" w:line="240" w:lineRule="auto"/>
            </w:pPr>
            <w:r>
              <w:rPr>
                <w:color w:val="1A252F"/>
                <w:sz w:val="18"/>
              </w:rPr>
              <w:t xml:space="preserve">128</w:t>
            </w:r>
          </w:p>
        </w:tc>
        <w:tc>
          <w:tcPr>
            <w:tcW w:w="1800" w:type="dxa"/>
          </w:tcPr>
          <w:p>
            <w:pPr>
              <w:spacing w:before="40" w:after="40" w:line="240" w:lineRule="auto"/>
            </w:pPr>
            <w:r>
              <w:rPr>
                <w:color w:val="1A252F"/>
                <w:sz w:val="18"/>
              </w:rPr>
              <w:t xml:space="preserve">The Register — Leaked Uber Emails</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2022</w:t>
            </w:r>
          </w:p>
        </w:tc>
        <w:tc>
          <w:tcPr>
            <w:tcW w:w="1800" w:type="dxa"/>
          </w:tcPr>
          <w:p>
            <w:pPr>
              <w:spacing w:before="40" w:after="40" w:line="240" w:lineRule="auto"/>
            </w:pPr>
            <w:r>
              <w:rPr>
                <w:color w:val="1A252F"/>
                <w:sz w:val="18"/>
              </w:rPr>
              <w:t xml:space="preserve">https://www.theregister.com/</w:t>
            </w:r>
          </w:p>
        </w:tc>
      </w:tr>
      <w:tr>
        <w:tc>
          <w:tcPr>
            <w:tcW w:w="1800" w:type="dxa"/>
          </w:tcPr>
          <w:p>
            <w:pPr>
              <w:spacing w:before="40" w:after="40" w:line="240" w:lineRule="auto"/>
            </w:pPr>
            <w:r>
              <w:rPr>
                <w:color w:val="1A252F"/>
                <w:sz w:val="18"/>
              </w:rPr>
              <w:t xml:space="preserve">129</w:t>
            </w:r>
          </w:p>
        </w:tc>
        <w:tc>
          <w:tcPr>
            <w:tcW w:w="1800" w:type="dxa"/>
          </w:tcPr>
          <w:p>
            <w:pPr>
              <w:spacing w:before="40" w:after="40" w:line="240" w:lineRule="auto"/>
            </w:pPr>
            <w:r>
              <w:rPr>
                <w:color w:val="1A252F"/>
                <w:sz w:val="18"/>
              </w:rPr>
              <w:t xml:space="preserve">Times of India — Gig Workers 90-Day Rule</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2026</w:t>
            </w:r>
          </w:p>
        </w:tc>
        <w:tc>
          <w:tcPr>
            <w:tcW w:w="1800" w:type="dxa"/>
          </w:tcPr>
          <w:p>
            <w:pPr>
              <w:spacing w:before="40" w:after="40" w:line="240" w:lineRule="auto"/>
            </w:pPr>
            <w:r>
              <w:rPr>
                <w:color w:val="1A252F"/>
                <w:sz w:val="18"/>
              </w:rPr>
              <w:t xml:space="preserve">https://timesofindia.indiatimes.com/</w:t>
            </w:r>
          </w:p>
        </w:tc>
      </w:tr>
      <w:tr>
        <w:tc>
          <w:tcPr>
            <w:tcW w:w="1800" w:type="dxa"/>
          </w:tcPr>
          <w:p>
            <w:pPr>
              <w:spacing w:before="40" w:after="40" w:line="240" w:lineRule="auto"/>
            </w:pPr>
            <w:r>
              <w:rPr>
                <w:color w:val="1A252F"/>
                <w:sz w:val="18"/>
              </w:rPr>
              <w:t xml:space="preserve">130</w:t>
            </w:r>
          </w:p>
        </w:tc>
        <w:tc>
          <w:tcPr>
            <w:tcW w:w="1800" w:type="dxa"/>
          </w:tcPr>
          <w:p>
            <w:pPr>
              <w:spacing w:before="40" w:after="40" w:line="240" w:lineRule="auto"/>
            </w:pPr>
            <w:r>
              <w:rPr>
                <w:color w:val="1A252F"/>
                <w:sz w:val="18"/>
              </w:rPr>
              <w:t xml:space="preserve">Virginia Lawyers Weekly — Scale AI Misclassification</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https://valawyersweekly.com/</w:t>
            </w:r>
          </w:p>
        </w:tc>
      </w:tr>
      <w:tr>
        <w:tc>
          <w:tcPr>
            <w:tcW w:w="1800" w:type="dxa"/>
          </w:tcPr>
          <w:p>
            <w:pPr>
              <w:spacing w:before="40" w:after="40" w:line="240" w:lineRule="auto"/>
            </w:pPr>
            <w:r>
              <w:rPr>
                <w:color w:val="1A252F"/>
                <w:sz w:val="18"/>
              </w:rPr>
              <w:t xml:space="preserve">131</w:t>
            </w:r>
          </w:p>
        </w:tc>
        <w:tc>
          <w:tcPr>
            <w:tcW w:w="1800" w:type="dxa"/>
          </w:tcPr>
          <w:p>
            <w:pPr>
              <w:spacing w:before="40" w:after="40" w:line="240" w:lineRule="auto"/>
            </w:pPr>
            <w:r>
              <w:rPr>
                <w:color w:val="1A252F"/>
                <w:sz w:val="18"/>
              </w:rPr>
              <w:t xml:space="preserve">WGBH — Massachusetts AG Uber/Lyft Settlement</w:t>
            </w:r>
          </w:p>
        </w:tc>
        <w:tc>
          <w:tcPr>
            <w:tcW w:w="1800" w:type="dxa"/>
          </w:tcPr>
          <w:p>
            <w:pPr>
              <w:spacing w:before="40" w:after="40" w:line="240" w:lineRule="auto"/>
            </w:pPr>
            <w:r>
              <w:rPr>
                <w:color w:val="1A252F"/>
                <w:sz w:val="18"/>
              </w:rPr>
              <w:t xml:space="preserve">Journalism</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https://www.wgbh.org/</w:t>
            </w:r>
          </w:p>
        </w:tc>
      </w:tr>
    </w:tbl>
    <w:p>
      <w:pPr>
        <w:spacing w:after="200"/>
      </w:pPr>
    </w:p>
    <w:p>
      <w:pPr>
        <w:spacing w:after="160" w:line="300" w:lineRule="auto"/>
      </w:pPr>
      <w:r>
        <w:rPr>
          <w:color w:val="1A252F"/>
          <w:sz w:val="22"/>
        </w:rPr>
        <w:t xml:space="preserve">The journalistic record reveals two critical functions of the Fourth Estate in gig economy accountability. First, investigative outlets produced documentary evidence unavailable through any other channel: Computer Weekly obtained the Uber CEO's admission that the pricing algorithm uses behavioral patterns; Rest of World documented mass worker terminations by Scale AI in real time; SFGATE broke the TechCrunch India freelancer wage theft story. Second, business and technology journalism tracked the financial mechanics of exploitation — Bloomberg, Fortune, and the Financial Times reported on take rates, pricing algorithms, and investor returns with a granularity that exposed the gap between platform economics and worker compensation. The temporal density of coverage (53 sources spanning 2019–2026) indicates that gig worker exploitation has transitioned from a niche labor story to a sustained focus of business and regulatory reporting.</w:t>
      </w:r>
    </w:p>
    <w:p>
      <w:pPr>
        <w:pStyle w:val="Heading2"/>
      </w:pPr>
      <w:r>
        <w:rPr>
          <w:color w:val="1A252F"/>
          <w:sz w:val="22"/>
        </w:rPr>
        <w:t xml:space="preserve">6.4 Community Sources (Tier 4)</w:t>
      </w:r>
    </w:p>
    <w:p>
      <w:pPr>
        <w:spacing w:after="160" w:line="300" w:lineRule="auto"/>
      </w:pPr>
      <w:r>
        <w:rPr>
          <w:color w:val="1A252F"/>
          <w:sz w:val="22"/>
        </w:rPr>
        <w:t xml:space="preserve">Tier 4 sources constitute the most innovative and methodologically challenging component of the research corpus. The 35 entries below draw from Reddit worker communities, review platform aggregations, independent worker organizations, and community-built tools that function as parallel accountability infrastructure. These sources are indispensable not despite their informal nature but because of it: they capture worker experiences — algorithmic tip theft, arbitrary deactivation, payment delays, psychological trauma — that institutional sources systematically miss.</w:t>
      </w:r>
    </w:p>
    <w:tbl>
      <w:tblPr>
        <w:tblW w:w="5000" w:type="pct"/>
        <w:tblBorders>
          <w:top w:val="single" w:color="2C3E50" w:sz="12"/>
          <w:left w:val="nil"/>
          <w:bottom w:val="single" w:color="2C3E50" w:sz="12"/>
          <w:right w:val="nil"/>
          <w:insideH w:val="single" w:color="BDC3C7" w:sz="4"/>
          <w:insideV w:val="nil"/>
        </w:tblBorders>
        <w:tblLook w:val="04A0" w:firstRow="true"/>
      </w:tblPr>
      <w:tblGrid>
        <w:gridCol w:w="1800"/>
        <w:gridCol w:w="1800"/>
        <w:gridCol w:w="1800"/>
        <w:gridCol w:w="1800"/>
        <w:gridCol w:w="1800"/>
      </w:tblGrid>
      <w:tr>
        <w:trPr>
          <w:tblHeader/>
        </w:trPr>
        <w:tc>
          <w:tcPr>
            <w:tcW w:w="1800" w:type="dxa"/>
            <w:tcBorders>
              <w:bottom w:val="single" w:color="2C3E50" w:sz="6"/>
            </w:tcBorders>
            <w:shd w:val="clear" w:fill="EDF0F2"/>
          </w:tcPr>
          <w:p>
            <w:pPr>
              <w:spacing w:before="60" w:after="60"/>
            </w:pPr>
            <w:r>
              <w:rPr>
                <w:b/>
                <w:color w:val="1A252F"/>
                <w:sz w:val="18"/>
              </w:rPr>
              <w:t xml:space="preserve">#</w:t>
            </w:r>
          </w:p>
        </w:tc>
        <w:tc>
          <w:tcPr>
            <w:tcW w:w="1800" w:type="dxa"/>
            <w:tcBorders>
              <w:bottom w:val="single" w:color="2C3E50" w:sz="6"/>
            </w:tcBorders>
            <w:shd w:val="clear" w:fill="EDF0F2"/>
          </w:tcPr>
          <w:p>
            <w:pPr>
              <w:spacing w:before="60" w:after="60"/>
            </w:pPr>
            <w:r>
              <w:rPr>
                <w:b/>
                <w:color w:val="1A252F"/>
                <w:sz w:val="18"/>
              </w:rPr>
              <w:t xml:space="preserve">Source</w:t>
            </w:r>
          </w:p>
        </w:tc>
        <w:tc>
          <w:tcPr>
            <w:tcW w:w="1800" w:type="dxa"/>
            <w:tcBorders>
              <w:bottom w:val="single" w:color="2C3E50" w:sz="6"/>
            </w:tcBorders>
            <w:shd w:val="clear" w:fill="EDF0F2"/>
          </w:tcPr>
          <w:p>
            <w:pPr>
              <w:spacing w:before="60" w:after="60"/>
            </w:pPr>
            <w:r>
              <w:rPr>
                <w:b/>
                <w:color w:val="1A252F"/>
                <w:sz w:val="18"/>
              </w:rPr>
              <w:t xml:space="preserve">Type</w:t>
            </w:r>
          </w:p>
        </w:tc>
        <w:tc>
          <w:tcPr>
            <w:tcW w:w="1800" w:type="dxa"/>
            <w:tcBorders>
              <w:bottom w:val="single" w:color="2C3E50" w:sz="6"/>
            </w:tcBorders>
            <w:shd w:val="clear" w:fill="EDF0F2"/>
          </w:tcPr>
          <w:p>
            <w:pPr>
              <w:spacing w:before="60" w:after="60"/>
            </w:pPr>
            <w:r>
              <w:rPr>
                <w:b/>
                <w:color w:val="1A252F"/>
                <w:sz w:val="18"/>
              </w:rPr>
              <w:t xml:space="preserve">Year</w:t>
            </w:r>
          </w:p>
        </w:tc>
        <w:tc>
          <w:tcPr>
            <w:tcW w:w="1800" w:type="dxa"/>
            <w:tcBorders>
              <w:bottom w:val="single" w:color="2C3E50" w:sz="6"/>
            </w:tcBorders>
            <w:shd w:val="clear" w:fill="EDF0F2"/>
          </w:tcPr>
          <w:p>
            <w:pPr>
              <w:spacing w:before="60" w:after="60"/>
            </w:pPr>
            <w:r>
              <w:rPr>
                <w:b/>
                <w:color w:val="1A252F"/>
                <w:sz w:val="18"/>
              </w:rPr>
              <w:t xml:space="preserve">URL</w:t>
            </w:r>
          </w:p>
        </w:tc>
      </w:tr>
      <w:tr>
        <w:tc>
          <w:tcPr>
            <w:tcW w:w="1800" w:type="dxa"/>
          </w:tcPr>
          <w:p>
            <w:pPr>
              <w:spacing w:before="40" w:after="40" w:line="240" w:lineRule="auto"/>
            </w:pPr>
            <w:r>
              <w:rPr>
                <w:color w:val="1A252F"/>
                <w:sz w:val="18"/>
              </w:rPr>
              <w:t xml:space="preserve">132</w:t>
            </w:r>
          </w:p>
        </w:tc>
        <w:tc>
          <w:tcPr>
            <w:tcW w:w="1800" w:type="dxa"/>
          </w:tcPr>
          <w:p>
            <w:pPr>
              <w:spacing w:before="40" w:after="40" w:line="240" w:lineRule="auto"/>
            </w:pPr>
            <w:r>
              <w:rPr>
                <w:color w:val="1A252F"/>
                <w:sz w:val="18"/>
              </w:rPr>
              <w:t xml:space="preserve">App Drivers &amp; Couriers Union (ADCU) — Worker Testimonies</w:t>
            </w:r>
          </w:p>
        </w:tc>
        <w:tc>
          <w:tcPr>
            <w:tcW w:w="1800" w:type="dxa"/>
          </w:tcPr>
          <w:p>
            <w:pPr>
              <w:spacing w:before="40" w:after="40" w:line="240" w:lineRule="auto"/>
            </w:pPr>
            <w:r>
              <w:rPr>
                <w:color w:val="1A252F"/>
                <w:sz w:val="18"/>
              </w:rPr>
              <w:t xml:space="preserve">Worker Org</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https://www.adcu.org.uk/</w:t>
            </w:r>
          </w:p>
        </w:tc>
      </w:tr>
      <w:tr>
        <w:tc>
          <w:tcPr>
            <w:tcW w:w="1800" w:type="dxa"/>
          </w:tcPr>
          <w:p>
            <w:pPr>
              <w:spacing w:before="40" w:after="40" w:line="240" w:lineRule="auto"/>
            </w:pPr>
            <w:r>
              <w:rPr>
                <w:color w:val="1A252F"/>
                <w:sz w:val="18"/>
              </w:rPr>
              <w:t xml:space="preserve">133</w:t>
            </w:r>
          </w:p>
        </w:tc>
        <w:tc>
          <w:tcPr>
            <w:tcW w:w="1800" w:type="dxa"/>
          </w:tcPr>
          <w:p>
            <w:pPr>
              <w:spacing w:before="40" w:after="40" w:line="240" w:lineRule="auto"/>
            </w:pPr>
            <w:r>
              <w:rPr>
                <w:color w:val="1A252F"/>
                <w:sz w:val="18"/>
              </w:rPr>
              <w:t xml:space="preserve">Better Business Bureau — Textbroker Complaints</w:t>
            </w:r>
          </w:p>
        </w:tc>
        <w:tc>
          <w:tcPr>
            <w:tcW w:w="1800" w:type="dxa"/>
          </w:tcPr>
          <w:p>
            <w:pPr>
              <w:spacing w:before="40" w:after="40" w:line="240" w:lineRule="auto"/>
            </w:pPr>
            <w:r>
              <w:rPr>
                <w:color w:val="1A252F"/>
                <w:sz w:val="18"/>
              </w:rPr>
              <w:t xml:space="preserve">Community</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https://www.bbb.org/</w:t>
            </w:r>
          </w:p>
        </w:tc>
      </w:tr>
      <w:tr>
        <w:tc>
          <w:tcPr>
            <w:tcW w:w="1800" w:type="dxa"/>
          </w:tcPr>
          <w:p>
            <w:pPr>
              <w:spacing w:before="40" w:after="40" w:line="240" w:lineRule="auto"/>
            </w:pPr>
            <w:r>
              <w:rPr>
                <w:color w:val="1A252F"/>
                <w:sz w:val="18"/>
              </w:rPr>
              <w:t xml:space="preserve">134</w:t>
            </w:r>
          </w:p>
        </w:tc>
        <w:tc>
          <w:tcPr>
            <w:tcW w:w="1800" w:type="dxa"/>
          </w:tcPr>
          <w:p>
            <w:pPr>
              <w:spacing w:before="40" w:after="40" w:line="240" w:lineRule="auto"/>
            </w:pPr>
            <w:r>
              <w:rPr>
                <w:color w:val="1A252F"/>
                <w:sz w:val="18"/>
              </w:rPr>
              <w:t xml:space="preserve">Coworker.org — Instacart Tip Theft Campaign</w:t>
            </w:r>
          </w:p>
        </w:tc>
        <w:tc>
          <w:tcPr>
            <w:tcW w:w="1800" w:type="dxa"/>
          </w:tcPr>
          <w:p>
            <w:pPr>
              <w:spacing w:before="40" w:after="40" w:line="240" w:lineRule="auto"/>
            </w:pPr>
            <w:r>
              <w:rPr>
                <w:color w:val="1A252F"/>
                <w:sz w:val="18"/>
              </w:rPr>
              <w:t xml:space="preserve">Worker Org</w:t>
            </w:r>
          </w:p>
        </w:tc>
        <w:tc>
          <w:tcPr>
            <w:tcW w:w="1800" w:type="dxa"/>
          </w:tcPr>
          <w:p>
            <w:pPr>
              <w:spacing w:before="40" w:after="40" w:line="240" w:lineRule="auto"/>
            </w:pPr>
            <w:r>
              <w:rPr>
                <w:color w:val="1A252F"/>
                <w:sz w:val="18"/>
              </w:rPr>
              <w:t xml:space="preserve">2019</w:t>
            </w:r>
          </w:p>
        </w:tc>
        <w:tc>
          <w:tcPr>
            <w:tcW w:w="1800" w:type="dxa"/>
          </w:tcPr>
          <w:p>
            <w:pPr>
              <w:spacing w:before="40" w:after="40" w:line="240" w:lineRule="auto"/>
            </w:pPr>
            <w:r>
              <w:rPr>
                <w:color w:val="1A252F"/>
                <w:sz w:val="18"/>
              </w:rPr>
              <w:t xml:space="preserve">https://www.coworker.org/</w:t>
            </w:r>
          </w:p>
        </w:tc>
      </w:tr>
      <w:tr>
        <w:tc>
          <w:tcPr>
            <w:tcW w:w="1800" w:type="dxa"/>
          </w:tcPr>
          <w:p>
            <w:pPr>
              <w:spacing w:before="40" w:after="40" w:line="240" w:lineRule="auto"/>
            </w:pPr>
            <w:r>
              <w:rPr>
                <w:color w:val="1A252F"/>
                <w:sz w:val="18"/>
              </w:rPr>
              <w:t xml:space="preserve">135</w:t>
            </w:r>
          </w:p>
        </w:tc>
        <w:tc>
          <w:tcPr>
            <w:tcW w:w="1800" w:type="dxa"/>
          </w:tcPr>
          <w:p>
            <w:pPr>
              <w:spacing w:before="40" w:after="40" w:line="240" w:lineRule="auto"/>
            </w:pPr>
            <w:r>
              <w:rPr>
                <w:color w:val="1A252F"/>
                <w:sz w:val="18"/>
              </w:rPr>
              <w:t xml:space="preserve">Digital Freedom Fund — Worker Info Exchange Case Study</w:t>
            </w:r>
          </w:p>
        </w:tc>
        <w:tc>
          <w:tcPr>
            <w:tcW w:w="1800" w:type="dxa"/>
          </w:tcPr>
          <w:p>
            <w:pPr>
              <w:spacing w:before="40" w:after="40" w:line="240" w:lineRule="auto"/>
            </w:pPr>
            <w:r>
              <w:rPr>
                <w:color w:val="1A252F"/>
                <w:sz w:val="18"/>
              </w:rPr>
              <w:t xml:space="preserve">NGO/Community</w:t>
            </w:r>
          </w:p>
        </w:tc>
        <w:tc>
          <w:tcPr>
            <w:tcW w:w="1800" w:type="dxa"/>
          </w:tcPr>
          <w:p>
            <w:pPr>
              <w:spacing w:before="40" w:after="40" w:line="240" w:lineRule="auto"/>
            </w:pPr>
            <w:r>
              <w:rPr>
                <w:color w:val="1A252F"/>
                <w:sz w:val="18"/>
              </w:rPr>
              <w:t xml:space="preserve">2022</w:t>
            </w:r>
          </w:p>
        </w:tc>
        <w:tc>
          <w:tcPr>
            <w:tcW w:w="1800" w:type="dxa"/>
          </w:tcPr>
          <w:p>
            <w:pPr>
              <w:spacing w:before="40" w:after="40" w:line="240" w:lineRule="auto"/>
            </w:pPr>
            <w:r>
              <w:rPr>
                <w:color w:val="1A252F"/>
                <w:sz w:val="18"/>
              </w:rPr>
              <w:t xml:space="preserve">https://digitalfreedomfund.org/</w:t>
            </w:r>
          </w:p>
        </w:tc>
      </w:tr>
      <w:tr>
        <w:tc>
          <w:tcPr>
            <w:tcW w:w="1800" w:type="dxa"/>
          </w:tcPr>
          <w:p>
            <w:pPr>
              <w:spacing w:before="40" w:after="40" w:line="240" w:lineRule="auto"/>
            </w:pPr>
            <w:r>
              <w:rPr>
                <w:color w:val="1A252F"/>
                <w:sz w:val="18"/>
              </w:rPr>
              <w:t xml:space="preserve">136</w:t>
            </w:r>
          </w:p>
        </w:tc>
        <w:tc>
          <w:tcPr>
            <w:tcW w:w="1800" w:type="dxa"/>
          </w:tcPr>
          <w:p>
            <w:pPr>
              <w:spacing w:before="40" w:after="40" w:line="240" w:lineRule="auto"/>
            </w:pPr>
            <w:r>
              <w:rPr>
                <w:color w:val="1A252F"/>
                <w:sz w:val="18"/>
              </w:rPr>
              <w:t xml:space="preserve">FEPS — Reclaiming Workers' Rights in Age of AI</w:t>
            </w:r>
          </w:p>
        </w:tc>
        <w:tc>
          <w:tcPr>
            <w:tcW w:w="1800" w:type="dxa"/>
          </w:tcPr>
          <w:p>
            <w:pPr>
              <w:spacing w:before="40" w:after="40" w:line="240" w:lineRule="auto"/>
            </w:pPr>
            <w:r>
              <w:rPr>
                <w:color w:val="1A252F"/>
                <w:sz w:val="18"/>
              </w:rPr>
              <w:t xml:space="preserve">NGO/Community</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https://feps-europe.eu/</w:t>
            </w:r>
          </w:p>
        </w:tc>
      </w:tr>
      <w:tr>
        <w:tc>
          <w:tcPr>
            <w:tcW w:w="1800" w:type="dxa"/>
          </w:tcPr>
          <w:p>
            <w:pPr>
              <w:spacing w:before="40" w:after="40" w:line="240" w:lineRule="auto"/>
            </w:pPr>
            <w:r>
              <w:rPr>
                <w:color w:val="1A252F"/>
                <w:sz w:val="18"/>
              </w:rPr>
              <w:t xml:space="preserve">137</w:t>
            </w:r>
          </w:p>
        </w:tc>
        <w:tc>
          <w:tcPr>
            <w:tcW w:w="1800" w:type="dxa"/>
          </w:tcPr>
          <w:p>
            <w:pPr>
              <w:spacing w:before="40" w:after="40" w:line="240" w:lineRule="auto"/>
            </w:pPr>
            <w:r>
              <w:rPr>
                <w:color w:val="1A252F"/>
                <w:sz w:val="18"/>
              </w:rPr>
              <w:t xml:space="preserve">Gig Workers Collective — Organizing Documentation</w:t>
            </w:r>
          </w:p>
        </w:tc>
        <w:tc>
          <w:tcPr>
            <w:tcW w:w="1800" w:type="dxa"/>
          </w:tcPr>
          <w:p>
            <w:pPr>
              <w:spacing w:before="40" w:after="40" w:line="240" w:lineRule="auto"/>
            </w:pPr>
            <w:r>
              <w:rPr>
                <w:color w:val="1A252F"/>
                <w:sz w:val="18"/>
              </w:rPr>
              <w:t xml:space="preserve">Worker Org</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https://www.gigworkerscollective.org/</w:t>
            </w:r>
          </w:p>
        </w:tc>
      </w:tr>
      <w:tr>
        <w:tc>
          <w:tcPr>
            <w:tcW w:w="1800" w:type="dxa"/>
          </w:tcPr>
          <w:p>
            <w:pPr>
              <w:spacing w:before="40" w:after="40" w:line="240" w:lineRule="auto"/>
            </w:pPr>
            <w:r>
              <w:rPr>
                <w:color w:val="1A252F"/>
                <w:sz w:val="18"/>
              </w:rPr>
              <w:t xml:space="preserve">138</w:t>
            </w:r>
          </w:p>
        </w:tc>
        <w:tc>
          <w:tcPr>
            <w:tcW w:w="1800" w:type="dxa"/>
          </w:tcPr>
          <w:p>
            <w:pPr>
              <w:spacing w:before="40" w:after="40" w:line="240" w:lineRule="auto"/>
            </w:pPr>
            <w:r>
              <w:rPr>
                <w:color w:val="1A252F"/>
                <w:sz w:val="18"/>
              </w:rPr>
              <w:t xml:space="preserve">Glassdoor — DoorDash Driver Reviews</w:t>
            </w:r>
          </w:p>
        </w:tc>
        <w:tc>
          <w:tcPr>
            <w:tcW w:w="1800" w:type="dxa"/>
          </w:tcPr>
          <w:p>
            <w:pPr>
              <w:spacing w:before="40" w:after="40" w:line="240" w:lineRule="auto"/>
            </w:pPr>
            <w:r>
              <w:rPr>
                <w:color w:val="1A252F"/>
                <w:sz w:val="18"/>
              </w:rPr>
              <w:t xml:space="preserve">Community</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https://www.glassdoor.com/</w:t>
            </w:r>
          </w:p>
        </w:tc>
      </w:tr>
      <w:tr>
        <w:tc>
          <w:tcPr>
            <w:tcW w:w="1800" w:type="dxa"/>
          </w:tcPr>
          <w:p>
            <w:pPr>
              <w:spacing w:before="40" w:after="40" w:line="240" w:lineRule="auto"/>
            </w:pPr>
            <w:r>
              <w:rPr>
                <w:color w:val="1A252F"/>
                <w:sz w:val="18"/>
              </w:rPr>
              <w:t xml:space="preserve">139</w:t>
            </w:r>
          </w:p>
        </w:tc>
        <w:tc>
          <w:tcPr>
            <w:tcW w:w="1800" w:type="dxa"/>
          </w:tcPr>
          <w:p>
            <w:pPr>
              <w:spacing w:before="40" w:after="40" w:line="240" w:lineRule="auto"/>
            </w:pPr>
            <w:r>
              <w:rPr>
                <w:color w:val="1A252F"/>
                <w:sz w:val="18"/>
              </w:rPr>
              <w:t xml:space="preserve">Glassdoor — Instacart Reviews</w:t>
            </w:r>
          </w:p>
        </w:tc>
        <w:tc>
          <w:tcPr>
            <w:tcW w:w="1800" w:type="dxa"/>
          </w:tcPr>
          <w:p>
            <w:pPr>
              <w:spacing w:before="40" w:after="40" w:line="240" w:lineRule="auto"/>
            </w:pPr>
            <w:r>
              <w:rPr>
                <w:color w:val="1A252F"/>
                <w:sz w:val="18"/>
              </w:rPr>
              <w:t xml:space="preserve">Community</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https://www.glassdoor.com/</w:t>
            </w:r>
          </w:p>
        </w:tc>
      </w:tr>
      <w:tr>
        <w:tc>
          <w:tcPr>
            <w:tcW w:w="1800" w:type="dxa"/>
          </w:tcPr>
          <w:p>
            <w:pPr>
              <w:spacing w:before="40" w:after="40" w:line="240" w:lineRule="auto"/>
            </w:pPr>
            <w:r>
              <w:rPr>
                <w:color w:val="1A252F"/>
                <w:sz w:val="18"/>
              </w:rPr>
              <w:t xml:space="preserve">140</w:t>
            </w:r>
          </w:p>
        </w:tc>
        <w:tc>
          <w:tcPr>
            <w:tcW w:w="1800" w:type="dxa"/>
          </w:tcPr>
          <w:p>
            <w:pPr>
              <w:spacing w:before="40" w:after="40" w:line="240" w:lineRule="auto"/>
            </w:pPr>
            <w:r>
              <w:rPr>
                <w:color w:val="1A252F"/>
                <w:sz w:val="18"/>
              </w:rPr>
              <w:t xml:space="preserve">GPA (Gig Workers Rising) — Worker Reports</w:t>
            </w:r>
          </w:p>
        </w:tc>
        <w:tc>
          <w:tcPr>
            <w:tcW w:w="1800" w:type="dxa"/>
          </w:tcPr>
          <w:p>
            <w:pPr>
              <w:spacing w:before="40" w:after="40" w:line="240" w:lineRule="auto"/>
            </w:pPr>
            <w:r>
              <w:rPr>
                <w:color w:val="1A252F"/>
                <w:sz w:val="18"/>
              </w:rPr>
              <w:t xml:space="preserve">Worker Org</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https://gigworkersrising.org/</w:t>
            </w:r>
          </w:p>
        </w:tc>
      </w:tr>
      <w:tr>
        <w:tc>
          <w:tcPr>
            <w:tcW w:w="1800" w:type="dxa"/>
          </w:tcPr>
          <w:p>
            <w:pPr>
              <w:spacing w:before="40" w:after="40" w:line="240" w:lineRule="auto"/>
            </w:pPr>
            <w:r>
              <w:rPr>
                <w:color w:val="1A252F"/>
                <w:sz w:val="18"/>
              </w:rPr>
              <w:t xml:space="preserve">141</w:t>
            </w:r>
          </w:p>
        </w:tc>
        <w:tc>
          <w:tcPr>
            <w:tcW w:w="1800" w:type="dxa"/>
          </w:tcPr>
          <w:p>
            <w:pPr>
              <w:spacing w:before="40" w:after="40" w:line="240" w:lineRule="auto"/>
            </w:pPr>
            <w:r>
              <w:rPr>
                <w:color w:val="1A252F"/>
                <w:sz w:val="18"/>
              </w:rPr>
              <w:t xml:space="preserve">Indeed — DoorDash Delivery Driver Reviews</w:t>
            </w:r>
          </w:p>
        </w:tc>
        <w:tc>
          <w:tcPr>
            <w:tcW w:w="1800" w:type="dxa"/>
          </w:tcPr>
          <w:p>
            <w:pPr>
              <w:spacing w:before="40" w:after="40" w:line="240" w:lineRule="auto"/>
            </w:pPr>
            <w:r>
              <w:rPr>
                <w:color w:val="1A252F"/>
                <w:sz w:val="18"/>
              </w:rPr>
              <w:t xml:space="preserve">Community</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https://www.indeed.com/</w:t>
            </w:r>
          </w:p>
        </w:tc>
      </w:tr>
      <w:tr>
        <w:tc>
          <w:tcPr>
            <w:tcW w:w="1800" w:type="dxa"/>
          </w:tcPr>
          <w:p>
            <w:pPr>
              <w:spacing w:before="40" w:after="40" w:line="240" w:lineRule="auto"/>
            </w:pPr>
            <w:r>
              <w:rPr>
                <w:color w:val="1A252F"/>
                <w:sz w:val="18"/>
              </w:rPr>
              <w:t xml:space="preserve">142</w:t>
            </w:r>
          </w:p>
        </w:tc>
        <w:tc>
          <w:tcPr>
            <w:tcW w:w="1800" w:type="dxa"/>
          </w:tcPr>
          <w:p>
            <w:pPr>
              <w:spacing w:before="40" w:after="40" w:line="240" w:lineRule="auto"/>
            </w:pPr>
            <w:r>
              <w:rPr>
                <w:color w:val="1A252F"/>
                <w:sz w:val="18"/>
              </w:rPr>
              <w:t xml:space="preserve">Indeed — Uber Driver Reviews</w:t>
            </w:r>
          </w:p>
        </w:tc>
        <w:tc>
          <w:tcPr>
            <w:tcW w:w="1800" w:type="dxa"/>
          </w:tcPr>
          <w:p>
            <w:pPr>
              <w:spacing w:before="40" w:after="40" w:line="240" w:lineRule="auto"/>
            </w:pPr>
            <w:r>
              <w:rPr>
                <w:color w:val="1A252F"/>
                <w:sz w:val="18"/>
              </w:rPr>
              <w:t xml:space="preserve">Community</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https://www.indeed.com/</w:t>
            </w:r>
          </w:p>
        </w:tc>
      </w:tr>
      <w:tr>
        <w:tc>
          <w:tcPr>
            <w:tcW w:w="1800" w:type="dxa"/>
          </w:tcPr>
          <w:p>
            <w:pPr>
              <w:spacing w:before="40" w:after="40" w:line="240" w:lineRule="auto"/>
            </w:pPr>
            <w:r>
              <w:rPr>
                <w:color w:val="1A252F"/>
                <w:sz w:val="18"/>
              </w:rPr>
              <w:t xml:space="preserve">143</w:t>
            </w:r>
          </w:p>
        </w:tc>
        <w:tc>
          <w:tcPr>
            <w:tcW w:w="1800" w:type="dxa"/>
          </w:tcPr>
          <w:p>
            <w:pPr>
              <w:spacing w:before="40" w:after="40" w:line="240" w:lineRule="auto"/>
            </w:pPr>
            <w:r>
              <w:rPr>
                <w:color w:val="1A252F"/>
                <w:sz w:val="18"/>
              </w:rPr>
              <w:t xml:space="preserve">Independent Workers' Union of Great Britain (IWGB)</w:t>
            </w:r>
          </w:p>
        </w:tc>
        <w:tc>
          <w:tcPr>
            <w:tcW w:w="1800" w:type="dxa"/>
          </w:tcPr>
          <w:p>
            <w:pPr>
              <w:spacing w:before="40" w:after="40" w:line="240" w:lineRule="auto"/>
            </w:pPr>
            <w:r>
              <w:rPr>
                <w:color w:val="1A252F"/>
                <w:sz w:val="18"/>
              </w:rPr>
              <w:t xml:space="preserve">Trade Union</w:t>
            </w:r>
          </w:p>
        </w:tc>
        <w:tc>
          <w:tcPr>
            <w:tcW w:w="1800" w:type="dxa"/>
          </w:tcPr>
          <w:p>
            <w:pPr>
              <w:spacing w:before="40" w:after="40" w:line="240" w:lineRule="auto"/>
            </w:pPr>
            <w:r>
              <w:rPr>
                <w:color w:val="1A252F"/>
                <w:sz w:val="18"/>
              </w:rPr>
              <w:t xml:space="preserve">2022</w:t>
            </w:r>
          </w:p>
        </w:tc>
        <w:tc>
          <w:tcPr>
            <w:tcW w:w="1800" w:type="dxa"/>
          </w:tcPr>
          <w:p>
            <w:pPr>
              <w:spacing w:before="40" w:after="40" w:line="240" w:lineRule="auto"/>
            </w:pPr>
            <w:r>
              <w:rPr>
                <w:color w:val="1A252F"/>
                <w:sz w:val="18"/>
              </w:rPr>
              <w:t xml:space="preserve">https://www.iwgb.org.uk/</w:t>
            </w:r>
          </w:p>
        </w:tc>
      </w:tr>
      <w:tr>
        <w:tc>
          <w:tcPr>
            <w:tcW w:w="1800" w:type="dxa"/>
          </w:tcPr>
          <w:p>
            <w:pPr>
              <w:spacing w:before="40" w:after="40" w:line="240" w:lineRule="auto"/>
            </w:pPr>
            <w:r>
              <w:rPr>
                <w:color w:val="1A252F"/>
                <w:sz w:val="18"/>
              </w:rPr>
              <w:t xml:space="preserve">144</w:t>
            </w:r>
          </w:p>
        </w:tc>
        <w:tc>
          <w:tcPr>
            <w:tcW w:w="1800" w:type="dxa"/>
          </w:tcPr>
          <w:p>
            <w:pPr>
              <w:spacing w:before="40" w:after="40" w:line="240" w:lineRule="auto"/>
            </w:pPr>
            <w:r>
              <w:rPr>
                <w:color w:val="1A252F"/>
                <w:sz w:val="18"/>
              </w:rPr>
              <w:t xml:space="preserve">International Transport Workers' Federation — ILO Convention</w:t>
            </w:r>
          </w:p>
        </w:tc>
        <w:tc>
          <w:tcPr>
            <w:tcW w:w="1800" w:type="dxa"/>
          </w:tcPr>
          <w:p>
            <w:pPr>
              <w:spacing w:before="40" w:after="40" w:line="240" w:lineRule="auto"/>
            </w:pPr>
            <w:r>
              <w:rPr>
                <w:color w:val="1A252F"/>
                <w:sz w:val="18"/>
              </w:rPr>
              <w:t xml:space="preserve">Trade Union</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https://www.itfglobal.org/</w:t>
            </w:r>
          </w:p>
        </w:tc>
      </w:tr>
      <w:tr>
        <w:tc>
          <w:tcPr>
            <w:tcW w:w="1800" w:type="dxa"/>
          </w:tcPr>
          <w:p>
            <w:pPr>
              <w:spacing w:before="40" w:after="40" w:line="240" w:lineRule="auto"/>
            </w:pPr>
            <w:r>
              <w:rPr>
                <w:color w:val="1A252F"/>
                <w:sz w:val="18"/>
              </w:rPr>
              <w:t xml:space="preserve">145</w:t>
            </w:r>
          </w:p>
        </w:tc>
        <w:tc>
          <w:tcPr>
            <w:tcW w:w="1800" w:type="dxa"/>
          </w:tcPr>
          <w:p>
            <w:pPr>
              <w:spacing w:before="40" w:after="40" w:line="240" w:lineRule="auto"/>
            </w:pPr>
            <w:r>
              <w:rPr>
                <w:color w:val="1A252F"/>
                <w:sz w:val="18"/>
              </w:rPr>
              <w:t xml:space="preserve">NYTWA (New York Taxi Workers Alliance) — Campaign Page</w:t>
            </w:r>
          </w:p>
        </w:tc>
        <w:tc>
          <w:tcPr>
            <w:tcW w:w="1800" w:type="dxa"/>
          </w:tcPr>
          <w:p>
            <w:pPr>
              <w:spacing w:before="40" w:after="40" w:line="240" w:lineRule="auto"/>
            </w:pPr>
            <w:r>
              <w:rPr>
                <w:color w:val="1A252F"/>
                <w:sz w:val="18"/>
              </w:rPr>
              <w:t xml:space="preserve">Worker Org</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https://nytwa.org/</w:t>
            </w:r>
          </w:p>
        </w:tc>
      </w:tr>
      <w:tr>
        <w:tc>
          <w:tcPr>
            <w:tcW w:w="1800" w:type="dxa"/>
          </w:tcPr>
          <w:p>
            <w:pPr>
              <w:spacing w:before="40" w:after="40" w:line="240" w:lineRule="auto"/>
            </w:pPr>
            <w:r>
              <w:rPr>
                <w:color w:val="1A252F"/>
                <w:sz w:val="18"/>
              </w:rPr>
              <w:t xml:space="preserve">146</w:t>
            </w:r>
          </w:p>
        </w:tc>
        <w:tc>
          <w:tcPr>
            <w:tcW w:w="1800" w:type="dxa"/>
          </w:tcPr>
          <w:p>
            <w:pPr>
              <w:spacing w:before="40" w:after="40" w:line="240" w:lineRule="auto"/>
            </w:pPr>
            <w:r>
              <w:rPr>
                <w:color w:val="1A252F"/>
                <w:sz w:val="18"/>
              </w:rPr>
              <w:t xml:space="preserve">Privacy International — ILO Convention Platform Economy</w:t>
            </w:r>
          </w:p>
        </w:tc>
        <w:tc>
          <w:tcPr>
            <w:tcW w:w="1800" w:type="dxa"/>
          </w:tcPr>
          <w:p>
            <w:pPr>
              <w:spacing w:before="40" w:after="40" w:line="240" w:lineRule="auto"/>
            </w:pPr>
            <w:r>
              <w:rPr>
                <w:color w:val="1A252F"/>
                <w:sz w:val="18"/>
              </w:rPr>
              <w:t xml:space="preserve">NGO</w:t>
            </w:r>
          </w:p>
        </w:tc>
        <w:tc>
          <w:tcPr>
            <w:tcW w:w="1800" w:type="dxa"/>
          </w:tcPr>
          <w:p>
            <w:pPr>
              <w:spacing w:before="40" w:after="40" w:line="240" w:lineRule="auto"/>
            </w:pPr>
            <w:r>
              <w:rPr>
                <w:color w:val="1A252F"/>
                <w:sz w:val="18"/>
              </w:rPr>
              <w:t xml:space="preserve">2026</w:t>
            </w:r>
          </w:p>
        </w:tc>
        <w:tc>
          <w:tcPr>
            <w:tcW w:w="1800" w:type="dxa"/>
          </w:tcPr>
          <w:p>
            <w:pPr>
              <w:spacing w:before="40" w:after="40" w:line="240" w:lineRule="auto"/>
            </w:pPr>
            <w:r>
              <w:rPr>
                <w:color w:val="1A252F"/>
                <w:sz w:val="18"/>
              </w:rPr>
              <w:t xml:space="preserve">https://privacyinternational.org/</w:t>
            </w:r>
          </w:p>
        </w:tc>
      </w:tr>
      <w:tr>
        <w:tc>
          <w:tcPr>
            <w:tcW w:w="1800" w:type="dxa"/>
          </w:tcPr>
          <w:p>
            <w:pPr>
              <w:spacing w:before="40" w:after="40" w:line="240" w:lineRule="auto"/>
            </w:pPr>
            <w:r>
              <w:rPr>
                <w:color w:val="1A252F"/>
                <w:sz w:val="18"/>
              </w:rPr>
              <w:t xml:space="preserve">147</w:t>
            </w:r>
          </w:p>
        </w:tc>
        <w:tc>
          <w:tcPr>
            <w:tcW w:w="1800" w:type="dxa"/>
          </w:tcPr>
          <w:p>
            <w:pPr>
              <w:spacing w:before="40" w:after="40" w:line="240" w:lineRule="auto"/>
            </w:pPr>
            <w:r>
              <w:rPr>
                <w:color w:val="1A252F"/>
                <w:sz w:val="18"/>
              </w:rPr>
              <w:t xml:space="preserve">Reddit r/beermoney — Remotasks/Outlier Megathread</w:t>
            </w:r>
          </w:p>
        </w:tc>
        <w:tc>
          <w:tcPr>
            <w:tcW w:w="1800" w:type="dxa"/>
          </w:tcPr>
          <w:p>
            <w:pPr>
              <w:spacing w:before="40" w:after="40" w:line="240" w:lineRule="auto"/>
            </w:pPr>
            <w:r>
              <w:rPr>
                <w:color w:val="1A252F"/>
                <w:sz w:val="18"/>
              </w:rPr>
              <w:t xml:space="preserve">Community Forum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https://www.reddit.com/r/beermoney/</w:t>
            </w:r>
          </w:p>
        </w:tc>
      </w:tr>
      <w:tr>
        <w:tc>
          <w:tcPr>
            <w:tcW w:w="1800" w:type="dxa"/>
          </w:tcPr>
          <w:p>
            <w:pPr>
              <w:spacing w:before="40" w:after="40" w:line="240" w:lineRule="auto"/>
            </w:pPr>
            <w:r>
              <w:rPr>
                <w:color w:val="1A252F"/>
                <w:sz w:val="18"/>
              </w:rPr>
              <w:t xml:space="preserve">148</w:t>
            </w:r>
          </w:p>
        </w:tc>
        <w:tc>
          <w:tcPr>
            <w:tcW w:w="1800" w:type="dxa"/>
          </w:tcPr>
          <w:p>
            <w:pPr>
              <w:spacing w:before="40" w:after="40" w:line="240" w:lineRule="auto"/>
            </w:pPr>
            <w:r>
              <w:rPr>
                <w:color w:val="1A252F"/>
                <w:sz w:val="18"/>
              </w:rPr>
              <w:t xml:space="preserve">Reddit r/doordash — Tip Theft Testimony</w:t>
            </w:r>
          </w:p>
        </w:tc>
        <w:tc>
          <w:tcPr>
            <w:tcW w:w="1800" w:type="dxa"/>
          </w:tcPr>
          <w:p>
            <w:pPr>
              <w:spacing w:before="40" w:after="40" w:line="240" w:lineRule="auto"/>
            </w:pPr>
            <w:r>
              <w:rPr>
                <w:color w:val="1A252F"/>
                <w:sz w:val="18"/>
              </w:rPr>
              <w:t xml:space="preserve">Community Forum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https://www.reddit.com/r/doordash/</w:t>
            </w:r>
          </w:p>
        </w:tc>
      </w:tr>
      <w:tr>
        <w:tc>
          <w:tcPr>
            <w:tcW w:w="1800" w:type="dxa"/>
          </w:tcPr>
          <w:p>
            <w:pPr>
              <w:spacing w:before="40" w:after="40" w:line="240" w:lineRule="auto"/>
            </w:pPr>
            <w:r>
              <w:rPr>
                <w:color w:val="1A252F"/>
                <w:sz w:val="18"/>
              </w:rPr>
              <w:t xml:space="preserve">149</w:t>
            </w:r>
          </w:p>
        </w:tc>
        <w:tc>
          <w:tcPr>
            <w:tcW w:w="1800" w:type="dxa"/>
          </w:tcPr>
          <w:p>
            <w:pPr>
              <w:spacing w:before="40" w:after="40" w:line="240" w:lineRule="auto"/>
            </w:pPr>
            <w:r>
              <w:rPr>
                <w:color w:val="1A252F"/>
                <w:sz w:val="18"/>
              </w:rPr>
              <w:t xml:space="preserve">Reddit r/doordash_drivers — Algorithm Whistleblower</w:t>
            </w:r>
          </w:p>
        </w:tc>
        <w:tc>
          <w:tcPr>
            <w:tcW w:w="1800" w:type="dxa"/>
          </w:tcPr>
          <w:p>
            <w:pPr>
              <w:spacing w:before="40" w:after="40" w:line="240" w:lineRule="auto"/>
            </w:pPr>
            <w:r>
              <w:rPr>
                <w:color w:val="1A252F"/>
                <w:sz w:val="18"/>
              </w:rPr>
              <w:t xml:space="preserve">Community Forum</w:t>
            </w:r>
          </w:p>
        </w:tc>
        <w:tc>
          <w:tcPr>
            <w:tcW w:w="1800" w:type="dxa"/>
          </w:tcPr>
          <w:p>
            <w:pPr>
              <w:spacing w:before="40" w:after="40" w:line="240" w:lineRule="auto"/>
            </w:pPr>
            <w:r>
              <w:rPr>
                <w:color w:val="1A252F"/>
                <w:sz w:val="18"/>
              </w:rPr>
              <w:t xml:space="preserve">2026</w:t>
            </w:r>
          </w:p>
        </w:tc>
        <w:tc>
          <w:tcPr>
            <w:tcW w:w="1800" w:type="dxa"/>
          </w:tcPr>
          <w:p>
            <w:pPr>
              <w:spacing w:before="40" w:after="40" w:line="240" w:lineRule="auto"/>
            </w:pPr>
            <w:r>
              <w:rPr>
                <w:color w:val="1A252F"/>
                <w:sz w:val="18"/>
              </w:rPr>
              <w:t xml:space="preserve">https://www.reddit.com/r/doordash_drivers/</w:t>
            </w:r>
          </w:p>
        </w:tc>
      </w:tr>
      <w:tr>
        <w:tc>
          <w:tcPr>
            <w:tcW w:w="1800" w:type="dxa"/>
          </w:tcPr>
          <w:p>
            <w:pPr>
              <w:spacing w:before="40" w:after="40" w:line="240" w:lineRule="auto"/>
            </w:pPr>
            <w:r>
              <w:rPr>
                <w:color w:val="1A252F"/>
                <w:sz w:val="18"/>
              </w:rPr>
              <w:t xml:space="preserve">150</w:t>
            </w:r>
          </w:p>
        </w:tc>
        <w:tc>
          <w:tcPr>
            <w:tcW w:w="1800" w:type="dxa"/>
          </w:tcPr>
          <w:p>
            <w:pPr>
              <w:spacing w:before="40" w:after="40" w:line="240" w:lineRule="auto"/>
            </w:pPr>
            <w:r>
              <w:rPr>
                <w:color w:val="1A252F"/>
                <w:sz w:val="18"/>
              </w:rPr>
              <w:t xml:space="preserve">Reddit r/freelance — Upwork Fee Manipulation</w:t>
            </w:r>
          </w:p>
        </w:tc>
        <w:tc>
          <w:tcPr>
            <w:tcW w:w="1800" w:type="dxa"/>
          </w:tcPr>
          <w:p>
            <w:pPr>
              <w:spacing w:before="40" w:after="40" w:line="240" w:lineRule="auto"/>
            </w:pPr>
            <w:r>
              <w:rPr>
                <w:color w:val="1A252F"/>
                <w:sz w:val="18"/>
              </w:rPr>
              <w:t xml:space="preserve">Community Forum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https://www.reddit.com/r/freelance/</w:t>
            </w:r>
          </w:p>
        </w:tc>
      </w:tr>
      <w:tr>
        <w:tc>
          <w:tcPr>
            <w:tcW w:w="1800" w:type="dxa"/>
          </w:tcPr>
          <w:p>
            <w:pPr>
              <w:spacing w:before="40" w:after="40" w:line="240" w:lineRule="auto"/>
            </w:pPr>
            <w:r>
              <w:rPr>
                <w:color w:val="1A252F"/>
                <w:sz w:val="18"/>
              </w:rPr>
              <w:t xml:space="preserve">151</w:t>
            </w:r>
          </w:p>
        </w:tc>
        <w:tc>
          <w:tcPr>
            <w:tcW w:w="1800" w:type="dxa"/>
          </w:tcPr>
          <w:p>
            <w:pPr>
              <w:spacing w:before="40" w:after="40" w:line="240" w:lineRule="auto"/>
            </w:pPr>
            <w:r>
              <w:rPr>
                <w:color w:val="1A252F"/>
                <w:sz w:val="18"/>
              </w:rPr>
              <w:t xml:space="preserve">Reddit r/InstacartShoppers — Batch Pay Manipulation</w:t>
            </w:r>
          </w:p>
        </w:tc>
        <w:tc>
          <w:tcPr>
            <w:tcW w:w="1800" w:type="dxa"/>
          </w:tcPr>
          <w:p>
            <w:pPr>
              <w:spacing w:before="40" w:after="40" w:line="240" w:lineRule="auto"/>
            </w:pPr>
            <w:r>
              <w:rPr>
                <w:color w:val="1A252F"/>
                <w:sz w:val="18"/>
              </w:rPr>
              <w:t xml:space="preserve">Community Forum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https://www.reddit.com/r/InstacartShoppers/</w:t>
            </w:r>
          </w:p>
        </w:tc>
      </w:tr>
      <w:tr>
        <w:tc>
          <w:tcPr>
            <w:tcW w:w="1800" w:type="dxa"/>
          </w:tcPr>
          <w:p>
            <w:pPr>
              <w:spacing w:before="40" w:after="40" w:line="240" w:lineRule="auto"/>
            </w:pPr>
            <w:r>
              <w:rPr>
                <w:color w:val="1A252F"/>
                <w:sz w:val="18"/>
              </w:rPr>
              <w:t xml:space="preserve">152</w:t>
            </w:r>
          </w:p>
        </w:tc>
        <w:tc>
          <w:tcPr>
            <w:tcW w:w="1800" w:type="dxa"/>
          </w:tcPr>
          <w:p>
            <w:pPr>
              <w:spacing w:before="40" w:after="40" w:line="240" w:lineRule="auto"/>
            </w:pPr>
            <w:r>
              <w:rPr>
                <w:color w:val="1A252F"/>
                <w:sz w:val="18"/>
              </w:rPr>
              <w:t xml:space="preserve">Reddit r/mturk — Approved-Not Paid</w:t>
            </w:r>
          </w:p>
        </w:tc>
        <w:tc>
          <w:tcPr>
            <w:tcW w:w="1800" w:type="dxa"/>
          </w:tcPr>
          <w:p>
            <w:pPr>
              <w:spacing w:before="40" w:after="40" w:line="240" w:lineRule="auto"/>
            </w:pPr>
            <w:r>
              <w:rPr>
                <w:color w:val="1A252F"/>
                <w:sz w:val="18"/>
              </w:rPr>
              <w:t xml:space="preserve">Community Forum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https://www.reddit.com/r/mturk/</w:t>
            </w:r>
          </w:p>
        </w:tc>
      </w:tr>
      <w:tr>
        <w:tc>
          <w:tcPr>
            <w:tcW w:w="1800" w:type="dxa"/>
          </w:tcPr>
          <w:p>
            <w:pPr>
              <w:spacing w:before="40" w:after="40" w:line="240" w:lineRule="auto"/>
            </w:pPr>
            <w:r>
              <w:rPr>
                <w:color w:val="1A252F"/>
                <w:sz w:val="18"/>
              </w:rPr>
              <w:t xml:space="preserve">153</w:t>
            </w:r>
          </w:p>
        </w:tc>
        <w:tc>
          <w:tcPr>
            <w:tcW w:w="1800" w:type="dxa"/>
          </w:tcPr>
          <w:p>
            <w:pPr>
              <w:spacing w:before="40" w:after="40" w:line="240" w:lineRule="auto"/>
            </w:pPr>
            <w:r>
              <w:rPr>
                <w:color w:val="1A252F"/>
                <w:sz w:val="18"/>
              </w:rPr>
              <w:t xml:space="preserve">Reddit r/mturk — Mass Rejections</w:t>
            </w:r>
          </w:p>
        </w:tc>
        <w:tc>
          <w:tcPr>
            <w:tcW w:w="1800" w:type="dxa"/>
          </w:tcPr>
          <w:p>
            <w:pPr>
              <w:spacing w:before="40" w:after="40" w:line="240" w:lineRule="auto"/>
            </w:pPr>
            <w:r>
              <w:rPr>
                <w:color w:val="1A252F"/>
                <w:sz w:val="18"/>
              </w:rPr>
              <w:t xml:space="preserve">Community Forum</w:t>
            </w:r>
          </w:p>
        </w:tc>
        <w:tc>
          <w:tcPr>
            <w:tcW w:w="1800" w:type="dxa"/>
          </w:tcPr>
          <w:p>
            <w:pPr>
              <w:spacing w:before="40" w:after="40" w:line="240" w:lineRule="auto"/>
            </w:pPr>
            <w:r>
              <w:rPr>
                <w:color w:val="1A252F"/>
                <w:sz w:val="18"/>
              </w:rPr>
              <w:t xml:space="preserve">2024</w:t>
            </w:r>
          </w:p>
        </w:tc>
        <w:tc>
          <w:tcPr>
            <w:tcW w:w="1800" w:type="dxa"/>
          </w:tcPr>
          <w:p>
            <w:pPr>
              <w:spacing w:before="40" w:after="40" w:line="240" w:lineRule="auto"/>
            </w:pPr>
            <w:r>
              <w:rPr>
                <w:color w:val="1A252F"/>
                <w:sz w:val="18"/>
              </w:rPr>
              <w:t xml:space="preserve">https://www.reddit.com/r/mturk/</w:t>
            </w:r>
          </w:p>
        </w:tc>
      </w:tr>
      <w:tr>
        <w:tc>
          <w:tcPr>
            <w:tcW w:w="1800" w:type="dxa"/>
          </w:tcPr>
          <w:p>
            <w:pPr>
              <w:spacing w:before="40" w:after="40" w:line="240" w:lineRule="auto"/>
            </w:pPr>
            <w:r>
              <w:rPr>
                <w:color w:val="1A252F"/>
                <w:sz w:val="18"/>
              </w:rPr>
              <w:t xml:space="preserve">154</w:t>
            </w:r>
          </w:p>
        </w:tc>
        <w:tc>
          <w:tcPr>
            <w:tcW w:w="1800" w:type="dxa"/>
          </w:tcPr>
          <w:p>
            <w:pPr>
              <w:spacing w:before="40" w:after="40" w:line="240" w:lineRule="auto"/>
            </w:pPr>
            <w:r>
              <w:rPr>
                <w:color w:val="1A252F"/>
                <w:sz w:val="18"/>
              </w:rPr>
              <w:t xml:space="preserve">Reddit r/UberDrivers — Deactivation Testimony</w:t>
            </w:r>
          </w:p>
        </w:tc>
        <w:tc>
          <w:tcPr>
            <w:tcW w:w="1800" w:type="dxa"/>
          </w:tcPr>
          <w:p>
            <w:pPr>
              <w:spacing w:before="40" w:after="40" w:line="240" w:lineRule="auto"/>
            </w:pPr>
            <w:r>
              <w:rPr>
                <w:color w:val="1A252F"/>
                <w:sz w:val="18"/>
              </w:rPr>
              <w:t xml:space="preserve">Community Forum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https://www.reddit.com/r/UberDrivers/</w:t>
            </w:r>
          </w:p>
        </w:tc>
      </w:tr>
      <w:tr>
        <w:tc>
          <w:tcPr>
            <w:tcW w:w="1800" w:type="dxa"/>
          </w:tcPr>
          <w:p>
            <w:pPr>
              <w:spacing w:before="40" w:after="40" w:line="240" w:lineRule="auto"/>
            </w:pPr>
            <w:r>
              <w:rPr>
                <w:color w:val="1A252F"/>
                <w:sz w:val="18"/>
              </w:rPr>
              <w:t xml:space="preserve">155</w:t>
            </w:r>
          </w:p>
        </w:tc>
        <w:tc>
          <w:tcPr>
            <w:tcW w:w="1800" w:type="dxa"/>
          </w:tcPr>
          <w:p>
            <w:pPr>
              <w:spacing w:before="40" w:after="40" w:line="240" w:lineRule="auto"/>
            </w:pPr>
            <w:r>
              <w:rPr>
                <w:color w:val="1A252F"/>
                <w:sz w:val="18"/>
              </w:rPr>
              <w:t xml:space="preserve">Reddit r/WFHJobs — AI Data Labelling Lawsuits</w:t>
            </w:r>
          </w:p>
        </w:tc>
        <w:tc>
          <w:tcPr>
            <w:tcW w:w="1800" w:type="dxa"/>
          </w:tcPr>
          <w:p>
            <w:pPr>
              <w:spacing w:before="40" w:after="40" w:line="240" w:lineRule="auto"/>
            </w:pPr>
            <w:r>
              <w:rPr>
                <w:color w:val="1A252F"/>
                <w:sz w:val="18"/>
              </w:rPr>
              <w:t xml:space="preserve">Community Forum</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https://www.reddit.com/r/WFHJobs/</w:t>
            </w:r>
          </w:p>
        </w:tc>
      </w:tr>
      <w:tr>
        <w:tc>
          <w:tcPr>
            <w:tcW w:w="1800" w:type="dxa"/>
          </w:tcPr>
          <w:p>
            <w:pPr>
              <w:spacing w:before="40" w:after="40" w:line="240" w:lineRule="auto"/>
            </w:pPr>
            <w:r>
              <w:rPr>
                <w:color w:val="1A252F"/>
                <w:sz w:val="18"/>
              </w:rPr>
              <w:t xml:space="preserve">156</w:t>
            </w:r>
          </w:p>
        </w:tc>
        <w:tc>
          <w:tcPr>
            <w:tcW w:w="1800" w:type="dxa"/>
          </w:tcPr>
          <w:p>
            <w:pPr>
              <w:spacing w:before="40" w:after="40" w:line="240" w:lineRule="auto"/>
            </w:pPr>
            <w:r>
              <w:rPr>
                <w:color w:val="1A252F"/>
                <w:sz w:val="18"/>
              </w:rPr>
              <w:t xml:space="preserve">Tech Policy Press — ILO Convention Analysis</w:t>
            </w:r>
          </w:p>
        </w:tc>
        <w:tc>
          <w:tcPr>
            <w:tcW w:w="1800" w:type="dxa"/>
          </w:tcPr>
          <w:p>
            <w:pPr>
              <w:spacing w:before="40" w:after="40" w:line="240" w:lineRule="auto"/>
            </w:pPr>
            <w:r>
              <w:rPr>
                <w:color w:val="1A252F"/>
                <w:sz w:val="18"/>
              </w:rPr>
              <w:t xml:space="preserve">NGO</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https://techpolicy.press/</w:t>
            </w:r>
          </w:p>
        </w:tc>
      </w:tr>
      <w:tr>
        <w:tc>
          <w:tcPr>
            <w:tcW w:w="1800" w:type="dxa"/>
          </w:tcPr>
          <w:p>
            <w:pPr>
              <w:spacing w:before="40" w:after="40" w:line="240" w:lineRule="auto"/>
            </w:pPr>
            <w:r>
              <w:rPr>
                <w:color w:val="1A252F"/>
                <w:sz w:val="18"/>
              </w:rPr>
              <w:t xml:space="preserve">157</w:t>
            </w:r>
          </w:p>
        </w:tc>
        <w:tc>
          <w:tcPr>
            <w:tcW w:w="1800" w:type="dxa"/>
          </w:tcPr>
          <w:p>
            <w:pPr>
              <w:spacing w:before="40" w:after="40" w:line="240" w:lineRule="auto"/>
            </w:pPr>
            <w:r>
              <w:rPr>
                <w:color w:val="1A252F"/>
                <w:sz w:val="18"/>
              </w:rPr>
              <w:t xml:space="preserve">The Conversation — South Africa Gig Worker Reforms</w:t>
            </w:r>
          </w:p>
        </w:tc>
        <w:tc>
          <w:tcPr>
            <w:tcW w:w="1800" w:type="dxa"/>
          </w:tcPr>
          <w:p>
            <w:pPr>
              <w:spacing w:before="40" w:after="40" w:line="240" w:lineRule="auto"/>
            </w:pPr>
            <w:r>
              <w:rPr>
                <w:color w:val="1A252F"/>
                <w:sz w:val="18"/>
              </w:rPr>
              <w:t xml:space="preserve">Academic/Journalism</w:t>
            </w:r>
          </w:p>
        </w:tc>
        <w:tc>
          <w:tcPr>
            <w:tcW w:w="1800" w:type="dxa"/>
          </w:tcPr>
          <w:p>
            <w:pPr>
              <w:spacing w:before="40" w:after="40" w:line="240" w:lineRule="auto"/>
            </w:pPr>
            <w:r>
              <w:rPr>
                <w:color w:val="1A252F"/>
                <w:sz w:val="18"/>
              </w:rPr>
              <w:t xml:space="preserve">2026</w:t>
            </w:r>
          </w:p>
        </w:tc>
        <w:tc>
          <w:tcPr>
            <w:tcW w:w="1800" w:type="dxa"/>
          </w:tcPr>
          <w:p>
            <w:pPr>
              <w:spacing w:before="40" w:after="40" w:line="240" w:lineRule="auto"/>
            </w:pPr>
            <w:r>
              <w:rPr>
                <w:color w:val="1A252F"/>
                <w:sz w:val="18"/>
              </w:rPr>
              <w:t xml:space="preserve">https://theconversation.com/</w:t>
            </w:r>
          </w:p>
        </w:tc>
      </w:tr>
      <w:tr>
        <w:tc>
          <w:tcPr>
            <w:tcW w:w="1800" w:type="dxa"/>
          </w:tcPr>
          <w:p>
            <w:pPr>
              <w:spacing w:before="40" w:after="40" w:line="240" w:lineRule="auto"/>
            </w:pPr>
            <w:r>
              <w:rPr>
                <w:color w:val="1A252F"/>
                <w:sz w:val="18"/>
              </w:rPr>
              <w:t xml:space="preserve">158</w:t>
            </w:r>
          </w:p>
        </w:tc>
        <w:tc>
          <w:tcPr>
            <w:tcW w:w="1800" w:type="dxa"/>
          </w:tcPr>
          <w:p>
            <w:pPr>
              <w:spacing w:before="40" w:after="40" w:line="240" w:lineRule="auto"/>
            </w:pPr>
            <w:r>
              <w:rPr>
                <w:color w:val="1A252F"/>
                <w:sz w:val="18"/>
              </w:rPr>
              <w:t xml:space="preserve">Trustpilot — Appen Reviews</w:t>
            </w:r>
          </w:p>
        </w:tc>
        <w:tc>
          <w:tcPr>
            <w:tcW w:w="1800" w:type="dxa"/>
          </w:tcPr>
          <w:p>
            <w:pPr>
              <w:spacing w:before="40" w:after="40" w:line="240" w:lineRule="auto"/>
            </w:pPr>
            <w:r>
              <w:rPr>
                <w:color w:val="1A252F"/>
                <w:sz w:val="18"/>
              </w:rPr>
              <w:t xml:space="preserve">Community</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https://www.trustpilot.com/</w:t>
            </w:r>
          </w:p>
        </w:tc>
      </w:tr>
      <w:tr>
        <w:tc>
          <w:tcPr>
            <w:tcW w:w="1800" w:type="dxa"/>
          </w:tcPr>
          <w:p>
            <w:pPr>
              <w:spacing w:before="40" w:after="40" w:line="240" w:lineRule="auto"/>
            </w:pPr>
            <w:r>
              <w:rPr>
                <w:color w:val="1A252F"/>
                <w:sz w:val="18"/>
              </w:rPr>
              <w:t xml:space="preserve">159</w:t>
            </w:r>
          </w:p>
        </w:tc>
        <w:tc>
          <w:tcPr>
            <w:tcW w:w="1800" w:type="dxa"/>
          </w:tcPr>
          <w:p>
            <w:pPr>
              <w:spacing w:before="40" w:after="40" w:line="240" w:lineRule="auto"/>
            </w:pPr>
            <w:r>
              <w:rPr>
                <w:color w:val="1A252F"/>
                <w:sz w:val="18"/>
              </w:rPr>
              <w:t xml:space="preserve">Trustpilot — Clickworker Reviews</w:t>
            </w:r>
          </w:p>
        </w:tc>
        <w:tc>
          <w:tcPr>
            <w:tcW w:w="1800" w:type="dxa"/>
          </w:tcPr>
          <w:p>
            <w:pPr>
              <w:spacing w:before="40" w:after="40" w:line="240" w:lineRule="auto"/>
            </w:pPr>
            <w:r>
              <w:rPr>
                <w:color w:val="1A252F"/>
                <w:sz w:val="18"/>
              </w:rPr>
              <w:t xml:space="preserve">Community</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https://www.trustpilot.com/</w:t>
            </w:r>
          </w:p>
        </w:tc>
      </w:tr>
      <w:tr>
        <w:tc>
          <w:tcPr>
            <w:tcW w:w="1800" w:type="dxa"/>
          </w:tcPr>
          <w:p>
            <w:pPr>
              <w:spacing w:before="40" w:after="40" w:line="240" w:lineRule="auto"/>
            </w:pPr>
            <w:r>
              <w:rPr>
                <w:color w:val="1A252F"/>
                <w:sz w:val="18"/>
              </w:rPr>
              <w:t xml:space="preserve">160</w:t>
            </w:r>
          </w:p>
        </w:tc>
        <w:tc>
          <w:tcPr>
            <w:tcW w:w="1800" w:type="dxa"/>
          </w:tcPr>
          <w:p>
            <w:pPr>
              <w:spacing w:before="40" w:after="40" w:line="240" w:lineRule="auto"/>
            </w:pPr>
            <w:r>
              <w:rPr>
                <w:color w:val="1A252F"/>
                <w:sz w:val="18"/>
              </w:rPr>
              <w:t xml:space="preserve">Trustpilot — Fiverr Reviews</w:t>
            </w:r>
          </w:p>
        </w:tc>
        <w:tc>
          <w:tcPr>
            <w:tcW w:w="1800" w:type="dxa"/>
          </w:tcPr>
          <w:p>
            <w:pPr>
              <w:spacing w:before="40" w:after="40" w:line="240" w:lineRule="auto"/>
            </w:pPr>
            <w:r>
              <w:rPr>
                <w:color w:val="1A252F"/>
                <w:sz w:val="18"/>
              </w:rPr>
              <w:t xml:space="preserve">Community</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https://www.trustpilot.com/</w:t>
            </w:r>
          </w:p>
        </w:tc>
      </w:tr>
      <w:tr>
        <w:tc>
          <w:tcPr>
            <w:tcW w:w="1800" w:type="dxa"/>
          </w:tcPr>
          <w:p>
            <w:pPr>
              <w:spacing w:before="40" w:after="40" w:line="240" w:lineRule="auto"/>
            </w:pPr>
            <w:r>
              <w:rPr>
                <w:color w:val="1A252F"/>
                <w:sz w:val="18"/>
              </w:rPr>
              <w:t xml:space="preserve">161</w:t>
            </w:r>
          </w:p>
        </w:tc>
        <w:tc>
          <w:tcPr>
            <w:tcW w:w="1800" w:type="dxa"/>
          </w:tcPr>
          <w:p>
            <w:pPr>
              <w:spacing w:before="40" w:after="40" w:line="240" w:lineRule="auto"/>
            </w:pPr>
            <w:r>
              <w:rPr>
                <w:color w:val="1A252F"/>
                <w:sz w:val="18"/>
              </w:rPr>
              <w:t xml:space="preserve">Trustpilot — Textbroker Reviews</w:t>
            </w:r>
          </w:p>
        </w:tc>
        <w:tc>
          <w:tcPr>
            <w:tcW w:w="1800" w:type="dxa"/>
          </w:tcPr>
          <w:p>
            <w:pPr>
              <w:spacing w:before="40" w:after="40" w:line="240" w:lineRule="auto"/>
            </w:pPr>
            <w:r>
              <w:rPr>
                <w:color w:val="1A252F"/>
                <w:sz w:val="18"/>
              </w:rPr>
              <w:t xml:space="preserve">Community</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https://www.trustpilot.com/</w:t>
            </w:r>
          </w:p>
        </w:tc>
      </w:tr>
      <w:tr>
        <w:tc>
          <w:tcPr>
            <w:tcW w:w="1800" w:type="dxa"/>
          </w:tcPr>
          <w:p>
            <w:pPr>
              <w:spacing w:before="40" w:after="40" w:line="240" w:lineRule="auto"/>
            </w:pPr>
            <w:r>
              <w:rPr>
                <w:color w:val="1A252F"/>
                <w:sz w:val="18"/>
              </w:rPr>
              <w:t xml:space="preserve">162</w:t>
            </w:r>
          </w:p>
        </w:tc>
        <w:tc>
          <w:tcPr>
            <w:tcW w:w="1800" w:type="dxa"/>
          </w:tcPr>
          <w:p>
            <w:pPr>
              <w:spacing w:before="40" w:after="40" w:line="240" w:lineRule="auto"/>
            </w:pPr>
            <w:r>
              <w:rPr>
                <w:color w:val="1A252F"/>
                <w:sz w:val="18"/>
              </w:rPr>
              <w:t xml:space="preserve">Turkopticon — MTurk Worker Protection Platform</w:t>
            </w:r>
          </w:p>
        </w:tc>
        <w:tc>
          <w:tcPr>
            <w:tcW w:w="1800" w:type="dxa"/>
          </w:tcPr>
          <w:p>
            <w:pPr>
              <w:spacing w:before="40" w:after="40" w:line="240" w:lineRule="auto"/>
            </w:pPr>
            <w:r>
              <w:rPr>
                <w:color w:val="1A252F"/>
                <w:sz w:val="18"/>
              </w:rPr>
              <w:t xml:space="preserve">Community Tool</w:t>
            </w:r>
          </w:p>
        </w:tc>
        <w:tc>
          <w:tcPr>
            <w:tcW w:w="1800" w:type="dxa"/>
          </w:tcPr>
          <w:p>
            <w:pPr>
              <w:spacing w:before="40" w:after="40" w:line="240" w:lineRule="auto"/>
            </w:pPr>
            <w:r>
              <w:rPr>
                <w:color w:val="1A252F"/>
                <w:sz w:val="18"/>
              </w:rPr>
              <w:t xml:space="preserve">2023</w:t>
            </w:r>
          </w:p>
        </w:tc>
        <w:tc>
          <w:tcPr>
            <w:tcW w:w="1800" w:type="dxa"/>
          </w:tcPr>
          <w:p>
            <w:pPr>
              <w:spacing w:before="40" w:after="40" w:line="240" w:lineRule="auto"/>
            </w:pPr>
            <w:r>
              <w:rPr>
                <w:color w:val="1A252F"/>
                <w:sz w:val="18"/>
              </w:rPr>
              <w:t xml:space="preserve">https://turkopticon.info/</w:t>
            </w:r>
          </w:p>
        </w:tc>
      </w:tr>
      <w:tr>
        <w:tc>
          <w:tcPr>
            <w:tcW w:w="1800" w:type="dxa"/>
          </w:tcPr>
          <w:p>
            <w:pPr>
              <w:spacing w:before="40" w:after="40" w:line="240" w:lineRule="auto"/>
            </w:pPr>
            <w:r>
              <w:rPr>
                <w:color w:val="1A252F"/>
                <w:sz w:val="18"/>
              </w:rPr>
              <w:t xml:space="preserve">163</w:t>
            </w:r>
          </w:p>
        </w:tc>
        <w:tc>
          <w:tcPr>
            <w:tcW w:w="1800" w:type="dxa"/>
          </w:tcPr>
          <w:p>
            <w:pPr>
              <w:spacing w:before="40" w:after="40" w:line="240" w:lineRule="auto"/>
            </w:pPr>
            <w:r>
              <w:rPr>
                <w:color w:val="1A252F"/>
                <w:sz w:val="18"/>
              </w:rPr>
              <w:t xml:space="preserve">Worker Info Exchange — Managed by Bots Report</w:t>
            </w:r>
          </w:p>
        </w:tc>
        <w:tc>
          <w:tcPr>
            <w:tcW w:w="1800" w:type="dxa"/>
          </w:tcPr>
          <w:p>
            <w:pPr>
              <w:spacing w:before="40" w:after="40" w:line="240" w:lineRule="auto"/>
            </w:pPr>
            <w:r>
              <w:rPr>
                <w:color w:val="1A252F"/>
                <w:sz w:val="18"/>
              </w:rPr>
              <w:t xml:space="preserve">Research/Community</w:t>
            </w:r>
          </w:p>
        </w:tc>
        <w:tc>
          <w:tcPr>
            <w:tcW w:w="1800" w:type="dxa"/>
          </w:tcPr>
          <w:p>
            <w:pPr>
              <w:spacing w:before="40" w:after="40" w:line="240" w:lineRule="auto"/>
            </w:pPr>
            <w:r>
              <w:rPr>
                <w:color w:val="1A252F"/>
                <w:sz w:val="18"/>
              </w:rPr>
              <w:t xml:space="preserve">2021</w:t>
            </w:r>
          </w:p>
        </w:tc>
        <w:tc>
          <w:tcPr>
            <w:tcW w:w="1800" w:type="dxa"/>
          </w:tcPr>
          <w:p>
            <w:pPr>
              <w:spacing w:before="40" w:after="40" w:line="240" w:lineRule="auto"/>
            </w:pPr>
            <w:r>
              <w:rPr>
                <w:color w:val="1A252F"/>
                <w:sz w:val="18"/>
              </w:rPr>
              <w:t xml:space="preserve">https://www.workerinfoexchange.org/</w:t>
            </w:r>
          </w:p>
        </w:tc>
      </w:tr>
      <w:tr>
        <w:tc>
          <w:tcPr>
            <w:tcW w:w="1800" w:type="dxa"/>
          </w:tcPr>
          <w:p>
            <w:pPr>
              <w:spacing w:before="40" w:after="40" w:line="240" w:lineRule="auto"/>
            </w:pPr>
            <w:r>
              <w:rPr>
                <w:color w:val="1A252F"/>
                <w:sz w:val="18"/>
              </w:rPr>
              <w:t xml:space="preserve">164</w:t>
            </w:r>
          </w:p>
        </w:tc>
        <w:tc>
          <w:tcPr>
            <w:tcW w:w="1800" w:type="dxa"/>
          </w:tcPr>
          <w:p>
            <w:pPr>
              <w:spacing w:before="40" w:after="40" w:line="240" w:lineRule="auto"/>
            </w:pPr>
            <w:r>
              <w:rPr>
                <w:color w:val="1A252F"/>
                <w:sz w:val="18"/>
              </w:rPr>
              <w:t xml:space="preserve">Worker Info Exchange — Uber Algorithmic Pay Lawsuit</w:t>
            </w:r>
          </w:p>
        </w:tc>
        <w:tc>
          <w:tcPr>
            <w:tcW w:w="1800" w:type="dxa"/>
          </w:tcPr>
          <w:p>
            <w:pPr>
              <w:spacing w:before="40" w:after="40" w:line="240" w:lineRule="auto"/>
            </w:pPr>
            <w:r>
              <w:rPr>
                <w:color w:val="1A252F"/>
                <w:sz w:val="18"/>
              </w:rPr>
              <w:t xml:space="preserve">Research/Community</w:t>
            </w:r>
          </w:p>
        </w:tc>
        <w:tc>
          <w:tcPr>
            <w:tcW w:w="1800" w:type="dxa"/>
          </w:tcPr>
          <w:p>
            <w:pPr>
              <w:spacing w:before="40" w:after="40" w:line="240" w:lineRule="auto"/>
            </w:pPr>
            <w:r>
              <w:rPr>
                <w:color w:val="1A252F"/>
                <w:sz w:val="18"/>
              </w:rPr>
              <w:t xml:space="preserve">2025</w:t>
            </w:r>
          </w:p>
        </w:tc>
        <w:tc>
          <w:tcPr>
            <w:tcW w:w="1800" w:type="dxa"/>
          </w:tcPr>
          <w:p>
            <w:pPr>
              <w:spacing w:before="40" w:after="40" w:line="240" w:lineRule="auto"/>
            </w:pPr>
            <w:r>
              <w:rPr>
                <w:color w:val="1A252F"/>
                <w:sz w:val="18"/>
              </w:rPr>
              <w:t xml:space="preserve">https://www.workerinfoexchange.org/</w:t>
            </w:r>
          </w:p>
        </w:tc>
      </w:tr>
      <w:tr>
        <w:tc>
          <w:tcPr>
            <w:tcW w:w="1800" w:type="dxa"/>
          </w:tcPr>
          <w:p>
            <w:pPr>
              <w:spacing w:before="40" w:after="40" w:line="240" w:lineRule="auto"/>
            </w:pPr>
            <w:r>
              <w:rPr>
                <w:color w:val="1A252F"/>
                <w:sz w:val="18"/>
              </w:rPr>
              <w:t xml:space="preserve">165</w:t>
            </w:r>
          </w:p>
        </w:tc>
        <w:tc>
          <w:tcPr>
            <w:tcW w:w="1800" w:type="dxa"/>
          </w:tcPr>
          <w:p>
            <w:pPr>
              <w:spacing w:before="40" w:after="40" w:line="240" w:lineRule="auto"/>
            </w:pPr>
            <w:r>
              <w:rPr>
                <w:color w:val="1A252F"/>
                <w:sz w:val="18"/>
              </w:rPr>
              <w:t xml:space="preserve">Working Washington — Instacart Tip Theft Documentation</w:t>
            </w:r>
          </w:p>
        </w:tc>
        <w:tc>
          <w:tcPr>
            <w:tcW w:w="1800" w:type="dxa"/>
          </w:tcPr>
          <w:p>
            <w:pPr>
              <w:spacing w:before="40" w:after="40" w:line="240" w:lineRule="auto"/>
            </w:pPr>
            <w:r>
              <w:rPr>
                <w:color w:val="1A252F"/>
                <w:sz w:val="18"/>
              </w:rPr>
              <w:t xml:space="preserve">Worker Org</w:t>
            </w:r>
          </w:p>
        </w:tc>
        <w:tc>
          <w:tcPr>
            <w:tcW w:w="1800" w:type="dxa"/>
          </w:tcPr>
          <w:p>
            <w:pPr>
              <w:spacing w:before="40" w:after="40" w:line="240" w:lineRule="auto"/>
            </w:pPr>
            <w:r>
              <w:rPr>
                <w:color w:val="1A252F"/>
                <w:sz w:val="18"/>
              </w:rPr>
              <w:t xml:space="preserve">2019</w:t>
            </w:r>
          </w:p>
        </w:tc>
        <w:tc>
          <w:tcPr>
            <w:tcW w:w="1800" w:type="dxa"/>
          </w:tcPr>
          <w:p>
            <w:pPr>
              <w:spacing w:before="40" w:after="40" w:line="240" w:lineRule="auto"/>
            </w:pPr>
            <w:r>
              <w:rPr>
                <w:color w:val="1A252F"/>
                <w:sz w:val="18"/>
              </w:rPr>
              <w:t xml:space="preserve">https://workingwa.org/</w:t>
            </w:r>
          </w:p>
        </w:tc>
      </w:tr>
    </w:tbl>
    <w:p>
      <w:pPr>
        <w:spacing w:after="200"/>
      </w:pPr>
    </w:p>
    <w:p>
      <w:pPr>
        <w:spacing w:after="160" w:line="300" w:lineRule="auto"/>
      </w:pPr>
      <w:r>
        <w:rPr>
          <w:color w:val="1A252F"/>
          <w:sz w:val="22"/>
        </w:rPr>
        <w:t xml:space="preserve">The Tier 4 corpus demands particular methodological attention. Reddit posts and review platform entries are not typically admissible as evidence in formal proceedings, but they serve three indispensable research functions. First, they provide real-time documentation of platform practices at a granularity unavailable elsewhere: r/doordash_drivers threads captured the mechanics of algorithmic tip theft before any journalist or regulator documented it. Second, they function as collective worker knowledge archives: r/mturk threads tracking approved-but-not-paid HITs constitute a longitudinal dataset on Amazon's payment failures that no institution maintains. Third, they surface patterns invisible to institutional observers: the cross-platform recurrence of complaints about unpaid training, arbitrary deactivation, and tip manipulation suggests systemic design choices rather than isolated incidents.</w:t>
      </w:r>
    </w:p>
    <w:p>
      <w:pPr>
        <w:spacing w:after="160" w:line="300" w:lineRule="auto"/>
      </w:pPr>
      <w:r>
        <w:rPr>
          <w:color w:val="1A252F"/>
          <w:sz w:val="22"/>
        </w:rPr>
        <w:t xml:space="preserve">Community sources require verification against institutional records, and this report has applied that standard throughout. Where Reddit workers alleged algorithmic tip theft, the $16.75 million DoorDash settlement obtained by the New York Attorney General confirmed it </w:t>
      </w:r>
      <w:r>
        <w:rPr>
          <w:color w:val="C0392B"/>
          <w:sz w:val="16"/>
          <w:vertAlign w:val="superscript"/>
        </w:rPr>
        <w:t xml:space="preserve">[27]</w:t>
      </w:r>
      <w:r>
        <w:rPr>
          <w:color w:val="1A252F"/>
          <w:sz w:val="22"/>
        </w:rPr>
        <w:t xml:space="preserve">. Where Trustpilot reviewers documented Textbroker payment failures, the BBB complaint log corroborated the pattern. Where Worker Info Exchange documented algorithmic management opacity, the EU Platform Work Directive's transparency mandates validated the concern. This cross-tier verification protocol — community allegation, institutional confirmation — is the methodological signature of the Sindicato Project and the standard by which its findings should be evaluated.</w:t>
      </w:r>
    </w:p>
    <w:p>
      <w:pPr>
        <w:sectPr>
          <w:headerReference w:type="default" r:id="Rc1480d8c31fb41d0"/>
          <w:footerReference w:type="default" r:id="Rb7f03411427c4792"/>
          <w:pgSz w:w="11906" w:h="16838"/>
          <w:pgMar w:top="1800" w:right="1200" w:bottom="1440" w:left="120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f35973e2e7a14ffd"/>
                    <a:stretch>
                      <a:fillRect/>
                    </a:stretch>
                  </pic:blipFill>
                  <pic:spPr>
                    <a:xfrm>
                      <a:off x="0" y="0"/>
                      <a:ext cx="7560000" cy="10692000"/>
                    </a:xfrm>
                    <a:prstGeom prst="rect"/>
                  </pic:spPr>
                </pic:pic>
              </a:graphicData>
            </a:graphic>
          </wp:anchor>
        </w:drawing>
      </w:r>
    </w:p>
    <w:p>
      <w:pPr>
        <w:spacing w:after="200"/>
        <w:ind w:left="0"/>
        <w:jc w:val="center"/>
      </w:pPr>
      <w:r>
        <w:rPr>
          <w:b/>
          <w:color w:val="2C3E50"/>
          <w:sz w:val="48"/>
        </w:rPr>
        <w:t xml:space="preserve">sindicato.exposed</w:t>
      </w:r>
    </w:p>
    <w:p>
      <w:pPr>
        <w:spacing w:after="200"/>
        <w:ind w:left="0"/>
        <w:jc w:val="center"/>
      </w:pPr>
      <w:r>
        <w:rPr>
          <w:color w:val="5D6D7E"/>
          <w:sz w:val="24"/>
        </w:rPr>
        <w:t xml:space="preserve">Digital Labor Rights Platform</w:t>
      </w:r>
    </w:p>
    <w:p>
      <w:pPr>
        <w:spacing w:after="200"/>
        <w:ind w:left="0"/>
        <w:jc w:val="center"/>
      </w:pPr>
      <w:r>
        <w:rPr>
          <w:color w:val="7F8C8D"/>
          <w:sz w:val="18"/>
        </w:rPr>
        <w:t xml:space="preserve">Market Intelligence for Platform Expansion</w:t>
      </w:r>
    </w:p>
    <w:p>
      <w:pPr>
        <w:spacing w:after="200"/>
        <w:ind w:left="0"/>
        <w:jc w:val="center"/>
      </w:pPr>
      <w:r>
        <w:rPr>
          <w:color w:val="7F8C8D"/>
          <w:sz w:val="16"/>
        </w:rPr>
        <w:t xml:space="preserve">May 2026</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F8C8D"/>
        <w:sz w:val="16"/>
      </w:rPr>
      <w:t xml:space="preserve">Page </w:t>
    </w:r>
    <w:r>
      <w:rPr>
        <w:color w:val="7F8C8D"/>
        <w:sz w:val="16"/>
      </w:rPr>
      <w:fldChar w:fldCharType="begin"/>
    </w:r>
    <w:r>
      <w:rPr>
        <w:color w:val="7F8C8D"/>
        <w:sz w:val="16"/>
      </w:rPr>
      <w:instrText xml:space="preserve"> PAGE </w:instrText>
    </w:r>
    <w:r>
      <w:rPr>
        <w:color w:val="7F8C8D"/>
        <w:sz w:val="16"/>
      </w:rPr>
      <w:fldChar w:fldCharType="separate"/>
    </w:r>
    <w:r>
      <w:rPr>
        <w:color w:val="7F8C8D"/>
        <w:sz w:val="16"/>
      </w:rPr>
      <w:t>1</w:t>
    </w:r>
    <w:r>
      <w:rPr>
        <w:color w:val="7F8C8D"/>
        <w:sz w:val="16"/>
      </w:rPr>
      <w:fldChar w:fldCharType="end"/>
    </w:r>
    <w:r>
      <w:rPr>
        <w:color w:val="7F8C8D"/>
        <w:sz w:val="16"/>
      </w:rPr>
      <w:t xml:space="preserve"> of </w:t>
    </w:r>
    <w:r>
      <w:rPr>
        <w:color w:val="7F8C8D"/>
        <w:sz w:val="16"/>
      </w:rPr>
      <w:fldChar w:fldCharType="begin"/>
    </w:r>
    <w:r>
      <w:rPr>
        <w:color w:val="7F8C8D"/>
        <w:sz w:val="16"/>
      </w:rPr>
      <w:instrText xml:space="preserve"> NUMPAGES </w:instrText>
    </w:r>
    <w:r>
      <w:rPr>
        <w:color w:val="7F8C8D"/>
        <w:sz w:val="16"/>
      </w:rPr>
      <w:fldChar w:fldCharType="separate"/>
    </w:r>
    <w:r>
      <w:rPr>
        <w:color w:val="7F8C8D"/>
        <w:sz w:val="16"/>
      </w:rPr>
      <w:t>1</w:t>
    </w:r>
    <w:r>
      <w:rPr>
        <w:color w:val="7F8C8D"/>
        <w:sz w:val="16"/>
      </w:rPr>
      <w:fldChar w:fldCharType="end"/>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s>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a4f2636c66e044e5"/>
                  <a:stretch>
                    <a:fillRect/>
                  </a:stretch>
                </pic:blipFill>
                <pic:spPr>
                  <a:xfrm>
                    <a:off x="0" y="0"/>
                    <a:ext cx="7560000" cy="10692000"/>
                  </a:xfrm>
                  <a:prstGeom prst="rect"/>
                </pic:spPr>
              </pic:pic>
            </a:graphicData>
          </a:graphic>
        </wp:anchor>
      </w:drawing>
    </w:r>
  </w:p>
  <w:p>
    <w:pPr>
      <w:jc w:val="right"/>
    </w:pPr>
    <w:r>
      <w:rPr>
        <w:color w:val="7F8C8D"/>
        <w:sz w:val="16"/>
      </w:rPr>
      <w:t xml:space="preserve">Sindicato Project — Global Gig Economy Wage Theft Landscape Report</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300" w:lineRule="auto"/>
    </w:pPr>
    <w:rPr>
      <w:rFonts w:ascii="Calibri" w:hAnsi="Calibri" w:eastAsia="Microsoft YaHei"/>
      <w:color w:val="1A252F"/>
      <w:sz w:val="22"/>
    </w:rPr>
  </w:style>
  <w:style w:type="paragraph" w:styleId="Heading1">
    <w:name w:val="heading 1"/>
    <w:basedOn w:val="Normal"/>
    <w:pPr>
      <w:keepNext/>
      <w:keepLines/>
      <w:spacing w:before="480" w:after="240"/>
      <w:outlineLvl w:val="0"/>
    </w:pPr>
    <w:rPr>
      <w:rFonts w:ascii="Calibri" w:hAnsi="Calibri" w:eastAsia="Microsoft YaHei"/>
      <w:b/>
      <w:color w:val="2C3E50"/>
      <w:sz w:val="40"/>
    </w:rPr>
  </w:style>
  <w:style w:type="paragraph" w:styleId="Heading2">
    <w:name w:val="heading 2"/>
    <w:basedOn w:val="Normal"/>
    <w:pPr>
      <w:keepNext/>
      <w:keepLines/>
      <w:spacing w:before="360" w:after="160"/>
      <w:outlineLvl w:val="1"/>
    </w:pPr>
    <w:rPr>
      <w:b/>
      <w:color w:val="2C3E50"/>
      <w:sz w:val="30"/>
    </w:rPr>
  </w:style>
  <w:style w:type="paragraph" w:styleId="Heading3">
    <w:name w:val="heading 3"/>
    <w:basedOn w:val="Normal"/>
    <w:pPr>
      <w:keepNext/>
      <w:keepLines/>
      <w:spacing w:before="280" w:after="120"/>
      <w:outlineLvl w:val="2"/>
    </w:pPr>
    <w:rPr>
      <w:b/>
      <w:color w:val="5D6D7E"/>
      <w:sz w:val="26"/>
    </w:rPr>
  </w:style>
  <w:style w:type="paragraph" w:styleId="Heading4">
    <w:name w:val="heading 4"/>
    <w:basedOn w:val="Normal"/>
    <w:pPr>
      <w:keepNext/>
      <w:keepLines/>
      <w:spacing w:before="240" w:after="80"/>
      <w:outlineLvl w:val="3"/>
    </w:pPr>
    <w:rPr>
      <w:b/>
      <w:color w:val="1A252F"/>
      <w:sz w:val="24"/>
    </w:rPr>
  </w:style>
  <w:style w:type="paragraph" w:styleId="TOC1">
    <w:name w:val="toc 1"/>
    <w:basedOn w:val="Normal"/>
    <w:pPr>
      <w:tabs>
        <w:tab w:val="right" w:leader="dot" w:pos="9350"/>
      </w:tabs>
      <w:spacing w:before="200" w:after="60"/>
    </w:pPr>
    <w:rPr>
      <w:b/>
      <w:color w:val="1A252F"/>
    </w:rPr>
  </w:style>
  <w:style w:type="paragraph" w:styleId="TOC2">
    <w:name w:val="toc 2"/>
    <w:basedOn w:val="Normal"/>
    <w:pPr>
      <w:tabs>
        <w:tab w:val="right" w:leader="dot" w:pos="9350"/>
      </w:tabs>
      <w:spacing w:before="60" w:after="60"/>
      <w:ind w:left="360"/>
    </w:pPr>
    <w:rPr>
      <w:color w:val="5D6D7E"/>
    </w:rPr>
  </w:style>
  <w:style w:type="paragraph" w:styleId="TOC3">
    <w:name w:val="toc 3"/>
    <w:basedOn w:val="Normal"/>
    <w:pPr>
      <w:tabs>
        <w:tab w:val="right" w:leader="dot" w:pos="9350"/>
      </w:tabs>
      <w:spacing w:before="40" w:after="40"/>
      <w:ind w:left="720"/>
    </w:pPr>
    <w:rPr>
      <w:color w:val="7F8C8D"/>
    </w:rPr>
  </w:style>
</w:styles>
</file>

<file path=word/_rels/document.xml.rels><?xml version='1.0' encoding='UTF-8'?>
<Relationships xmlns="http://schemas.openxmlformats.org/package/2006/relationships"><Relationship Type="http://schemas.openxmlformats.org/officeDocument/2006/relationships/styles" Target="styles.xml" Id="R01d5ee66128a434f" /><Relationship Type="http://schemas.openxmlformats.org/officeDocument/2006/relationships/footnotes" Target="footnotes.xml" Id="R58a65fdcd344452f" /><Relationship Type="http://schemas.openxmlformats.org/officeDocument/2006/relationships/image" Target="media/image.png" Id="Ra7fe6945620c44fb" /><Relationship Type="http://schemas.openxmlformats.org/officeDocument/2006/relationships/image" Target="media/image2.png" Id="Rf35973e2e7a14ffd" /><Relationship Type="http://schemas.openxmlformats.org/officeDocument/2006/relationships/header" Target="header1.xml" Id="Rc1480d8c31fb41d0" /><Relationship Type="http://schemas.openxmlformats.org/officeDocument/2006/relationships/footer" Target="footer1.xml" Id="Rb7f03411427c4792" /><Relationship Type="http://schemas.openxmlformats.org/officeDocument/2006/relationships/settings" Target="settings.xml" Id="R0be611da67d24d3d" /></Relationships>
</file>

<file path=word/_rels/header1.xml.rels><?xml version='1.0' encoding='UTF-8'?>
<Relationships xmlns="http://schemas.openxmlformats.org/package/2006/relationships"><Relationship Type="http://schemas.openxmlformats.org/officeDocument/2006/relationships/image" Target="media/image3.png" Id="Ra4f2636c66e044e5" /></Relationships>
</file>