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6138bc6aad09439b"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357ab3394dfe4be9"/>
                    <a:stretch>
                      <a:fillRect/>
                    </a:stretch>
                  </pic:blipFill>
                  <pic:spPr>
                    <a:xfrm>
                      <a:off x="0" y="0"/>
                      <a:ext cx="7560000" cy="10692000"/>
                    </a:xfrm>
                    <a:prstGeom prst="rect"/>
                  </pic:spPr>
                </pic:pic>
              </a:graphicData>
            </a:graphic>
          </wp:anchor>
        </w:drawing>
      </w:r>
    </w:p>
    <w:p>
      <w:pPr>
        <w:spacing w:before="5000"/>
      </w:pPr>
      <w:r/>
    </w:p>
    <w:p>
      <w:pPr>
        <w:spacing w:after="600"/>
        <w:jc w:val="center"/>
      </w:pPr>
      <w:r>
        <w:rPr>
          <w:b/>
          <w:color w:val="C9A84C"/>
          <w:spacing w:val="60"/>
          <w:sz w:val="24"/>
        </w:rPr>
        <w:t>CONFIDENTIAL - ATTORNEY WORK PRODUCT</w:t>
      </w:r>
    </w:p>
    <w:p>
      <w:pPr>
        <w:spacing w:after="200"/>
        <w:jc w:val="center"/>
      </w:pPr>
      <w:r>
        <w:rPr>
          <w:b/>
          <w:color w:val="FFFFFF"/>
          <w:sz w:val="64"/>
        </w:rPr>
        <w:t>Sindicato Research Report</w:t>
      </w:r>
    </w:p>
    <w:p>
      <w:pPr>
        <w:spacing w:after="400"/>
        <w:jc w:val="center"/>
      </w:pPr>
      <w:r>
        <w:rPr>
          <w:color w:val="C9A84C"/>
          <w:sz w:val="32"/>
        </w:rPr>
        <w:t>Alignerr / Labelbox Wage Theft Investigation</w:t>
      </w:r>
    </w:p>
    <w:p>
      <w:pPr>
        <w:spacing w:after="2000"/>
        <w:jc w:val="center"/>
      </w:pPr>
      <w:r>
        <w:rPr>
          <w:color w:val="FFFFFF"/>
          <w:sz w:val="28"/>
        </w:rPr>
        <w:t>Case #001 - Collective Action Evidence Package</w:t>
      </w:r>
    </w:p>
    <w:p>
      <w:pPr>
        <w:spacing w:after="200"/>
        <w:jc w:val="center"/>
      </w:pPr>
      <w:r>
        <w:rPr>
          <w:color w:val="FFFFFF"/>
          <w:sz w:val="22"/>
        </w:rPr>
        <w:t>May 15, 2026</w:t>
      </w:r>
    </w:p>
    <w:p>
      <w:pPr>
        <w:spacing w:after="200"/>
        <w:jc w:val="center"/>
      </w:pPr>
      <w:r>
        <w:rPr>
          <w:color w:val="B0BEC5"/>
          <w:sz w:val="20"/>
        </w:rPr>
        <w:t>Prepared For: Sindicato (sindicato.exposed) - Case #001 Legal Strategy</w:t>
      </w:r>
    </w:p>
    <w:p>
      <w:pPr>
        <w:sectPr>
          <w:type w:val="nextPage"/>
          <w:pgSz w:w="11906" w:h="16838"/>
          <w:pgMar w:top="0" w:right="0" w:bottom="0" w:left="0" w:header="0" w:footer="0"/>
          <w:titlePg/>
        </w:sectPr>
      </w:pPr>
    </w:p>
    <w:p>
      <w:pPr>
        <w:spacing w:after="400"/>
        <w:jc w:val="center"/>
      </w:pPr>
      <w:r>
        <w:rPr>
          <w:b/>
          <w:color w:val="1B3A5C"/>
          <w:sz w:val="36"/>
        </w:rPr>
        <w:t>Table of Contents</w:t>
      </w:r>
    </w:p>
    <w:p>
      <w:pPr>
        <w:spacing w:after="200"/>
      </w:pPr>
      <w:r>
        <w:rPr>
          <w:i/>
          <w:color w:val="718096"/>
          <w:sz w:val="18"/>
        </w:rPr>
        <w:t>Right-click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1. Introduction &amp; Case #001 Context</w:t>
      </w:r>
      <w:r>
        <w:tab/>
      </w:r>
      <w:r>
        <w:t>5</w:t>
      </w:r>
    </w:p>
    <w:p>
      <w:pPr>
        <w:pStyle w:val="TOC1"/>
      </w:pPr>
      <w:r>
        <w:t>2. Public Complaint Aggregators</w:t>
      </w:r>
      <w:r>
        <w:tab/>
      </w:r>
      <w:r>
        <w:t>10</w:t>
      </w:r>
    </w:p>
    <w:p>
      <w:pPr>
        <w:pStyle w:val="TOC1"/>
      </w:pPr>
      <w:r>
        <w:t>3. Social Media &amp; Community Forums</w:t>
      </w:r>
      <w:r>
        <w:tab/>
      </w:r>
      <w:r>
        <w:t>18</w:t>
      </w:r>
    </w:p>
    <w:p>
      <w:pPr>
        <w:pStyle w:val="TOC1"/>
      </w:pPr>
      <w:r>
        <w:t>4. AI Training Worker Communities</w:t>
      </w:r>
      <w:r>
        <w:tab/>
      </w:r>
      <w:r>
        <w:t>25</w:t>
      </w:r>
    </w:p>
    <w:p>
      <w:pPr>
        <w:pStyle w:val="TOC1"/>
      </w:pPr>
      <w:r>
        <w:t>5. Legal &amp; Regulatory Records</w:t>
      </w:r>
      <w:r>
        <w:tab/>
      </w:r>
      <w:r>
        <w:t>30</w:t>
      </w:r>
    </w:p>
    <w:p>
      <w:pPr>
        <w:pStyle w:val="TOC1"/>
      </w:pPr>
      <w:r>
        <w:t>6. Corporate Intelligence</w:t>
      </w:r>
      <w:r>
        <w:tab/>
      </w:r>
      <w:r>
        <w:t>36</w:t>
      </w:r>
    </w:p>
    <w:p>
      <w:pPr>
        <w:pStyle w:val="TOC1"/>
      </w:pPr>
      <w:r>
        <w:t>7. Payment Pattern Analysis &amp; Quantification</w:t>
      </w:r>
      <w:r>
        <w:tab/>
      </w:r>
      <w:r>
        <w:t>40</w:t>
      </w:r>
    </w:p>
    <w:p>
      <w:pPr>
        <w:pStyle w:val="TOC1"/>
      </w:pPr>
      <w:r>
        <w:t>8. Worker Silencing &amp; Retaliation</w:t>
      </w:r>
      <w:r>
        <w:tab/>
      </w:r>
      <w:r>
        <w:t>46</w:t>
      </w:r>
    </w:p>
    <w:p>
      <w:pPr>
        <w:pStyle w:val="TOC1"/>
      </w:pPr>
      <w:r>
        <w:t>9. Class Action Viability Assessment</w:t>
      </w:r>
      <w:r>
        <w:tab/>
      </w:r>
      <w:r>
        <w:t>50</w:t>
      </w:r>
    </w:p>
    <w:p>
      <w:pPr>
        <w:pStyle w:val="TOC1"/>
      </w:pPr>
      <w:r>
        <w:t>10. Strategic Insights &amp; Recommendations</w:t>
      </w:r>
      <w:r>
        <w:tab/>
      </w:r>
      <w:r>
        <w:t>55</w:t>
      </w:r>
    </w:p>
    <w:p>
      <w:r>
        <w:fldChar w:fldCharType="end"/>
      </w:r>
    </w:p>
    <w:p>
      <w:pPr>
        <w:sectPr>
          <w:type w:val="nextPage"/>
          <w:pgSz w:w="11906" w:h="16838"/>
          <w:pgMar w:top="1440" w:right="1440" w:bottom="1440" w:left="1440" w:header="720" w:footer="720"/>
        </w:sectPr>
      </w:pPr>
    </w:p>
    <w:p>
      <w:pPr>
        <w:pStyle w:val="Heading1"/>
      </w:pPr>
      <w:r>
        <w:t>Executive Summary</w:t>
      </w:r>
      <w:bookmarkStart w:name="_TocExec" w:id="1"/>
      <w:bookmarkEnd w:id="1"/>
    </w:p>
    <w:p>
      <w:pPr>
        <w:pStyle w:val="Heading2"/>
      </w:pPr>
      <w:r>
        <w:t>Key Findings</w:t>
      </w:r>
    </w:p>
    <w:p>
      <w:pPr>
        <w:pStyle w:val="Heading3"/>
      </w:pPr>
      <w:r>
        <w:t>60+ Worker Complaints Document Systematic Wage Theft</w:t>
      </w:r>
    </w:p>
    <w:p>
      <w:pPr>
        <w:jc w:val="both"/>
      </w:pPr>
      <w:r>
        <w:t>This report documents systematic wage theft at Alignerr LLC, the worker-facing subsidiary of Labelbox Inc, confirmed by more than 60 unique worker complaints across 15+ platforms spanning 2024-2026. Individual unpaid claims range from $126 to over $3,000 per worker, with specifically quantified cases exceeding $6,800 and extrapolated claims reaching $10,000-$12,000. The Better Business Bureau has assigned Alignerr its lowest possible rating - F - for failure to respond to seven consecutive payment complaints, characterising the company as operating illegally.</w:t>
      </w:r>
    </w:p>
    <w:p>
      <w:pPr>
        <w:jc w:val="both"/>
      </w:pPr>
      <w:r>
        <w:t>The pattern is not random non-payment. Cross-verification identified eight distinct, repeatable payment mechanisms - from pre-payday account deactivation to retroactive flipping of "passed" tasks to "failed" status. Eighty percent of documented cases follow the same sequence: consistent payment for 2-4 months, then abrupt termination upon inquiring about back pay, reaching a cumulative balance of $800-$2,100, or completing a project milestone. This transforms individual disputes into a systematic operational model - what this report terms the "harvest-and-discard" business model.</w:t>
      </w:r>
    </w:p>
    <w:p>
      <w:pPr>
        <w:pStyle w:val="Heading3"/>
      </w:pPr>
      <w:r>
        <w:t>Active Class Action Confirms Legal Viability with $2.3M-$4.7M+ Exposure</w:t>
      </w:r>
    </w:p>
    <w:p>
      <w:pPr>
        <w:jc w:val="both"/>
      </w:pPr>
      <w:r>
        <w:t>The Stepan Malkov v. Labelbox, Inc. class action and PAGA suit (Case #25STCV25687), filed September 2, 2025 in Los Angeles County Superior Court, confirms the legal theories are viable. The complaint alleges willful misclassification under California Labor Code Section 226.8, PAGA representative claims, and unfair competition under Business &amp; Professions Code Section 17200 - with CEO Manu Sharma named personally. Trellis.law estimates class exposure at $2.3 million to $4.7 million, excluding PAGA penalties; with Section 226.8(c) pattern-or-practice enhancements at $10,000-$25,000 per violation and PAGA penalties at $100-$200 per aggrieved employee per pay period, total exposure crosses into eight-figure territory.</w:t>
      </w:r>
    </w:p>
    <w:p>
      <w:pPr>
        <w:pStyle w:val="Heading3"/>
      </w:pPr>
      <w:r>
        <w:t>CHP Claude Code: A Mass Wage Theft Event Directly Linking Case #001 to 500+ Affected Workers</w:t>
      </w:r>
    </w:p>
    <w:p>
      <w:pPr>
        <w:jc w:val="both"/>
      </w:pPr>
      <w:r>
        <w:t>The CHP Claude Code project - one of three in Case #001's evidence package - represents a mass payment default affecting 500+ workers simultaneously. A Reddit open letter naming Case #001's exact projects (CHP Claude Code, CC Review, NEXT, and Transcript) received 47 upvotes and 34 comments, documenting "weeks of completed work still unpaid." The Breaking Even newsletter independently confirmed 500+ workers affected by retroactive task failures. Project-level defaults share a common timeline, common evidence, and a collective witness pool - the ideal fact pattern for class certification.</w:t>
      </w:r>
    </w:p>
    <w:p>
      <w:pPr>
        <w:pStyle w:val="Heading3"/>
      </w:pPr>
      <w:r>
        <w:t>Class Action Viability Rated HIGH (8.5/10) with Multiple Viable Enforcement Paths</w:t>
      </w:r>
    </w:p>
    <w:p>
      <w:pPr>
        <w:jc w:val="both"/>
      </w:pPr>
      <w:r>
        <w:t>The evidence supports a class action viability rating of HIGH (8.5/10). Five factors underpin this: (1) pattern consistency across 60+ complaints; (2) California's plaintiff-friendly enforcement architecture - the ABC test presumption, PAGA actions that survive arbitration under Iskanian, and a four-year statute under UCL Section 17200; (3) industry precedent from Scale AI's four settlements and California exit; (4) corporate financial capacity - Labelbox has raised $189 million at a $1 billion+ valuation, making awards collectible; and (5) evidence strength including Hubstaff logs, AutoQA scores, and a support agent's written admission that a task "should be eligible for payment" - before the worker was still left unpaid.</w:t>
      </w:r>
    </w:p>
    <w:p>
      <w:pPr>
        <w:pStyle w:val="Heading4"/>
      </w:pPr>
      <w:r>
        <w:t>Summary Metrics</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4500"/>
        <w:gridCol w:w="4500"/>
      </w:tblGrid>
      <w:tr>
        <w:trPr>
          <w:tblHeader/>
        </w:trPr>
        <w:tc>
          <w:tcPr>
            <w:tcW w:w="4500" w:type="dxa"/>
            <w:shd w:val="clear" w:fill="EDF2F7"/>
          </w:tcPr>
          <w:p>
            <w:pPr>
              <w:spacing w:before="60" w:after="60"/>
            </w:pPr>
            <w:r>
              <w:rPr>
                <w:b/>
                <w:color w:val="1a1a2e"/>
                <w:sz w:val="20"/>
              </w:rPr>
              <w:t>Metric</w:t>
            </w:r>
          </w:p>
        </w:tc>
        <w:tc>
          <w:tcPr>
            <w:tcW w:w="4500" w:type="dxa"/>
            <w:shd w:val="clear" w:fill="EDF2F7"/>
          </w:tcPr>
          <w:p>
            <w:pPr>
              <w:spacing w:before="60" w:after="60"/>
            </w:pPr>
            <w:r>
              <w:rPr>
                <w:b/>
                <w:color w:val="1a1a2e"/>
                <w:sz w:val="20"/>
              </w:rPr>
              <w:t>Figure</w:t>
            </w:r>
          </w:p>
        </w:tc>
      </w:tr>
      <w:tr>
        <w:tc>
          <w:tcPr>
            <w:tcW w:w="4500" w:type="dxa"/>
          </w:tcPr>
          <w:p>
            <w:pPr>
              <w:spacing w:before="40" w:after="40"/>
            </w:pPr>
            <w:r>
              <w:rPr>
                <w:color w:val="1a1a2e"/>
                <w:sz w:val="20"/>
              </w:rPr>
              <w:t>Unique worker complaints documented</w:t>
            </w:r>
          </w:p>
        </w:tc>
        <w:tc>
          <w:tcPr>
            <w:tcW w:w="4500" w:type="dxa"/>
          </w:tcPr>
          <w:p>
            <w:pPr>
              <w:spacing w:before="40" w:after="40"/>
            </w:pPr>
            <w:r>
              <w:rPr>
                <w:color w:val="1a1a2e"/>
                <w:sz w:val="20"/>
              </w:rPr>
              <w:t>60+</w:t>
            </w:r>
          </w:p>
        </w:tc>
      </w:tr>
      <w:tr>
        <w:tc>
          <w:tcPr>
            <w:tcW w:w="4500" w:type="dxa"/>
            <w:shd w:val="clear" w:fill="F7FAFC"/>
          </w:tcPr>
          <w:p>
            <w:pPr>
              <w:spacing w:before="40" w:after="40"/>
            </w:pPr>
            <w:r>
              <w:rPr>
                <w:color w:val="1a1a2e"/>
                <w:sz w:val="20"/>
              </w:rPr>
              <w:t>Platforms with complaints</w:t>
            </w:r>
          </w:p>
        </w:tc>
        <w:tc>
          <w:tcPr>
            <w:tcW w:w="4500" w:type="dxa"/>
            <w:shd w:val="clear" w:fill="F7FAFC"/>
          </w:tcPr>
          <w:p>
            <w:pPr>
              <w:spacing w:before="40" w:after="40"/>
            </w:pPr>
            <w:r>
              <w:rPr>
                <w:color w:val="1a1a2e"/>
                <w:sz w:val="20"/>
              </w:rPr>
              <w:t>15+</w:t>
            </w:r>
          </w:p>
        </w:tc>
      </w:tr>
      <w:tr>
        <w:tc>
          <w:tcPr>
            <w:tcW w:w="4500" w:type="dxa"/>
          </w:tcPr>
          <w:p>
            <w:pPr>
              <w:spacing w:before="40" w:after="40"/>
            </w:pPr>
            <w:r>
              <w:rPr>
                <w:color w:val="1a1a2e"/>
                <w:sz w:val="20"/>
              </w:rPr>
              <w:t>Individual unpaid claims</w:t>
            </w:r>
          </w:p>
        </w:tc>
        <w:tc>
          <w:tcPr>
            <w:tcW w:w="4500" w:type="dxa"/>
          </w:tcPr>
          <w:p>
            <w:pPr>
              <w:spacing w:before="40" w:after="40"/>
            </w:pPr>
            <w:r>
              <w:rPr>
                <w:color w:val="1a1a2e"/>
                <w:sz w:val="20"/>
              </w:rPr>
              <w:t>$126 - $3,000+</w:t>
            </w:r>
          </w:p>
        </w:tc>
      </w:tr>
      <w:tr>
        <w:tc>
          <w:tcPr>
            <w:tcW w:w="4500" w:type="dxa"/>
            <w:shd w:val="clear" w:fill="F7FAFC"/>
          </w:tcPr>
          <w:p>
            <w:pPr>
              <w:spacing w:before="40" w:after="40"/>
            </w:pPr>
            <w:r>
              <w:rPr>
                <w:color w:val="1a1a2e"/>
                <w:sz w:val="20"/>
              </w:rPr>
              <w:t>Total quantified unpaid (documented cases)</w:t>
            </w:r>
          </w:p>
        </w:tc>
        <w:tc>
          <w:tcPr>
            <w:tcW w:w="4500" w:type="dxa"/>
            <w:shd w:val="clear" w:fill="F7FAFC"/>
          </w:tcPr>
          <w:p>
            <w:pPr>
              <w:spacing w:before="40" w:after="40"/>
            </w:pPr>
            <w:r>
              <w:rPr>
                <w:color w:val="1a1a2e"/>
                <w:sz w:val="20"/>
              </w:rPr>
              <w:t>$6,871.26+</w:t>
            </w:r>
          </w:p>
        </w:tc>
      </w:tr>
      <w:tr>
        <w:tc>
          <w:tcPr>
            <w:tcW w:w="4500" w:type="dxa"/>
          </w:tcPr>
          <w:p>
            <w:pPr>
              <w:spacing w:before="40" w:after="40"/>
            </w:pPr>
            <w:r>
              <w:rPr>
                <w:color w:val="1a1a2e"/>
                <w:sz w:val="20"/>
              </w:rPr>
              <w:t>Workers affected by CHP Claude Code default</w:t>
            </w:r>
          </w:p>
        </w:tc>
        <w:tc>
          <w:tcPr>
            <w:tcW w:w="4500" w:type="dxa"/>
          </w:tcPr>
          <w:p>
            <w:pPr>
              <w:spacing w:before="40" w:after="40"/>
            </w:pPr>
            <w:r>
              <w:rPr>
                <w:color w:val="1a1a2e"/>
                <w:sz w:val="20"/>
              </w:rPr>
              <w:t>500+</w:t>
            </w:r>
          </w:p>
        </w:tc>
      </w:tr>
      <w:tr>
        <w:tc>
          <w:tcPr>
            <w:tcW w:w="4500" w:type="dxa"/>
            <w:shd w:val="clear" w:fill="F7FAFC"/>
          </w:tcPr>
          <w:p>
            <w:pPr>
              <w:spacing w:before="40" w:after="40"/>
            </w:pPr>
            <w:r>
              <w:rPr>
                <w:color w:val="1a1a2e"/>
                <w:sz w:val="20"/>
              </w:rPr>
              <w:t>Active class action exposure</w:t>
            </w:r>
          </w:p>
        </w:tc>
        <w:tc>
          <w:tcPr>
            <w:tcW w:w="4500" w:type="dxa"/>
            <w:shd w:val="clear" w:fill="F7FAFC"/>
          </w:tcPr>
          <w:p>
            <w:pPr>
              <w:spacing w:before="40" w:after="40"/>
            </w:pPr>
            <w:r>
              <w:rPr>
                <w:color w:val="1a1a2e"/>
                <w:sz w:val="20"/>
              </w:rPr>
              <w:t>$2.3M - $4.7M+</w:t>
            </w:r>
          </w:p>
        </w:tc>
      </w:tr>
      <w:tr>
        <w:tc>
          <w:tcPr>
            <w:tcW w:w="4500" w:type="dxa"/>
          </w:tcPr>
          <w:p>
            <w:pPr>
              <w:spacing w:before="40" w:after="40"/>
            </w:pPr>
            <w:r>
              <w:rPr>
                <w:color w:val="1a1a2e"/>
                <w:sz w:val="20"/>
              </w:rPr>
              <w:t>PAGA penalty exposure (annual, 100 workers)</w:t>
            </w:r>
          </w:p>
        </w:tc>
        <w:tc>
          <w:tcPr>
            <w:tcW w:w="4500" w:type="dxa"/>
          </w:tcPr>
          <w:p>
            <w:pPr>
              <w:spacing w:before="40" w:after="40"/>
            </w:pPr>
            <w:r>
              <w:rPr>
                <w:color w:val="1a1a2e"/>
                <w:sz w:val="20"/>
              </w:rPr>
              <w:t>$520K - $1.04M</w:t>
            </w:r>
          </w:p>
        </w:tc>
      </w:tr>
      <w:tr>
        <w:tc>
          <w:tcPr>
            <w:tcW w:w="4500" w:type="dxa"/>
            <w:shd w:val="clear" w:fill="F7FAFC"/>
          </w:tcPr>
          <w:p>
            <w:pPr>
              <w:spacing w:before="40" w:after="40"/>
            </w:pPr>
            <w:r>
              <w:rPr>
                <w:color w:val="1a1a2e"/>
                <w:sz w:val="20"/>
              </w:rPr>
              <w:t>Class action viability rating</w:t>
            </w:r>
          </w:p>
        </w:tc>
        <w:tc>
          <w:tcPr>
            <w:tcW w:w="4500" w:type="dxa"/>
            <w:shd w:val="clear" w:fill="F7FAFC"/>
          </w:tcPr>
          <w:p>
            <w:pPr>
              <w:spacing w:before="40" w:after="40"/>
            </w:pPr>
            <w:r>
              <w:rPr>
                <w:color w:val="1a1a2e"/>
                <w:sz w:val="20"/>
              </w:rPr>
              <w:t>HIGH (8.5/10)</w:t>
            </w:r>
          </w:p>
        </w:tc>
      </w:tr>
      <w:tr>
        <w:tc>
          <w:tcPr>
            <w:tcW w:w="4500" w:type="dxa"/>
          </w:tcPr>
          <w:p>
            <w:pPr>
              <w:spacing w:before="40" w:after="40"/>
            </w:pPr>
            <w:r>
              <w:rPr>
                <w:color w:val="1a1a2e"/>
                <w:sz w:val="20"/>
              </w:rPr>
              <w:t>Scale AI settlements (industry precedent)</w:t>
            </w:r>
          </w:p>
        </w:tc>
        <w:tc>
          <w:tcPr>
            <w:tcW w:w="4500" w:type="dxa"/>
          </w:tcPr>
          <w:p>
            <w:pPr>
              <w:spacing w:before="40" w:after="40"/>
            </w:pPr>
            <w:r>
              <w:rPr>
                <w:color w:val="1a1a2e"/>
                <w:sz w:val="20"/>
              </w:rPr>
              <w:t>4</w:t>
            </w:r>
          </w:p>
        </w:tc>
      </w:tr>
      <w:tr>
        <w:tc>
          <w:tcPr>
            <w:tcW w:w="4500" w:type="dxa"/>
            <w:shd w:val="clear" w:fill="F7FAFC"/>
          </w:tcPr>
          <w:p>
            <w:pPr>
              <w:spacing w:before="40" w:after="40"/>
            </w:pPr>
            <w:r>
              <w:rPr>
                <w:color w:val="1a1a2e"/>
                <w:sz w:val="20"/>
              </w:rPr>
              <w:t>Labelbox venture funding</w:t>
            </w:r>
          </w:p>
        </w:tc>
        <w:tc>
          <w:tcPr>
            <w:tcW w:w="4500" w:type="dxa"/>
            <w:shd w:val="clear" w:fill="F7FAFC"/>
          </w:tcPr>
          <w:p>
            <w:pPr>
              <w:spacing w:before="40" w:after="40"/>
            </w:pPr>
            <w:r>
              <w:rPr>
                <w:color w:val="1a1a2e"/>
                <w:sz w:val="20"/>
              </w:rPr>
              <w:t>$189M</w:t>
            </w:r>
          </w:p>
        </w:tc>
      </w:tr>
      <w:tr>
        <w:tc>
          <w:tcPr>
            <w:tcW w:w="4500" w:type="dxa"/>
          </w:tcPr>
          <w:p>
            <w:pPr>
              <w:spacing w:before="40" w:after="40"/>
            </w:pPr>
            <w:r>
              <w:rPr>
                <w:color w:val="1a1a2e"/>
                <w:sz w:val="20"/>
              </w:rPr>
              <w:t>Labelbox in-house legal team</w:t>
            </w:r>
          </w:p>
        </w:tc>
        <w:tc>
          <w:tcPr>
            <w:tcW w:w="4500" w:type="dxa"/>
          </w:tcPr>
          <w:p>
            <w:pPr>
              <w:spacing w:before="40" w:after="40"/>
            </w:pPr>
            <w:r>
              <w:rPr>
                <w:color w:val="1a1a2e"/>
                <w:sz w:val="20"/>
              </w:rPr>
              <w:t>2 attorneys</w:t>
            </w:r>
          </w:p>
        </w:tc>
      </w:tr>
      <w:tr>
        <w:tc>
          <w:tcPr>
            <w:tcW w:w="4500" w:type="dxa"/>
            <w:shd w:val="clear" w:fill="F7FAFC"/>
          </w:tcPr>
          <w:p>
            <w:pPr>
              <w:spacing w:before="40" w:after="40"/>
            </w:pPr>
            <w:r>
              <w:rPr>
                <w:color w:val="1a1a2e"/>
                <w:sz w:val="20"/>
              </w:rPr>
              <w:t>Air Force contract ceiling</w:t>
            </w:r>
          </w:p>
        </w:tc>
        <w:tc>
          <w:tcPr>
            <w:tcW w:w="4500" w:type="dxa"/>
            <w:shd w:val="clear" w:fill="F7FAFC"/>
          </w:tcPr>
          <w:p>
            <w:pPr>
              <w:spacing w:before="40" w:after="40"/>
            </w:pPr>
            <w:r>
              <w:rPr>
                <w:color w:val="1a1a2e"/>
                <w:sz w:val="20"/>
              </w:rPr>
              <w:t>$950M</w:t>
            </w:r>
          </w:p>
        </w:tc>
      </w:tr>
    </w:tbl>
    <w:p>
      <w:pPr>
        <w:jc w:val="both"/>
      </w:pPr>
      <w:r>
        <w:t>The convergence is exceptional: a well-funded, pre-IPO defendant with a two-person legal team; an active class action on identical theories; industry precedent demonstrating existential vulnerability; California penalty law that compounds damages with every worker; and a documented pattern so consistent that 80% of cases follow the same sequence.</w:t>
      </w:r>
    </w:p>
    <w:p>
      <w:pPr>
        <w:pStyle w:val="Heading1"/>
      </w:pPr>
      <w:r>
        <w:t>1. Introduction &amp; Case #001 Context</w:t>
      </w:r>
      <w:bookmarkStart w:name="_Toc001" w:id="2"/>
      <w:bookmarkEnd w:id="2"/>
    </w:p>
    <w:p>
      <w:pPr>
        <w:pStyle w:val="Heading2"/>
      </w:pPr>
      <w:r>
        <w:t>1.1 Sindicato Project Overview</w:t>
      </w:r>
    </w:p>
    <w:p>
      <w:pPr>
        <w:jc w:val="both"/>
      </w:pPr>
      <w:r>
        <w:t>The Sindicato platform was built on a single observation: one unpaid worker is a statistic, but a hundred unpaid workers with matching documentation is a case. The platform aggregates isolated wage theft reports into collective, legally actionable evidence - transforming scattered individual grievances into the kind of pattern-based proof that solicitors can file and courts can recognise.</w:t>
      </w:r>
    </w:p>
    <w:p>
      <w:pPr>
        <w:jc w:val="both"/>
      </w:pPr>
      <w:r>
        <w:t>This principle has immediate practical force. Across the AI annotation industry, workers are recruited as "independent contractors" to perform data labelling, reinforcement learning from human feedback (RLHF), and model evaluation tasks that power the large language models behind consumer-facing AI products. When those workers are not paid, each individual faces a classic collective action problem: the amounts at stake are typically hundreds or a few thousand dollars - individually too small to justify legal action, but collectively representing millions in diverted labour value.</w:t>
      </w:r>
    </w:p>
    <w:p>
      <w:pPr>
        <w:pStyle w:val="Heading2"/>
      </w:pPr>
      <w:r>
        <w:t>1.2 Case #001: The Founding Case</w:t>
      </w:r>
    </w:p>
    <w:p>
      <w:pPr>
        <w:jc w:val="both"/>
      </w:pPr>
      <w:r>
        <w:t>This report is anchored by a single, thoroughly documented case that served as the catalyst for the broader Sindicato investigation. Case #001 involves a senior machine learning engineer who contracted with Alignerr - a subsidiary platform operated by Labelbox Inc - to perform quality review and evaluation work across three distinct projects: CC Review (coding evaluation), CHP Claude Code (preference ranking for Anthropic's Claude model), and NEXT (generalised AI training tasks).</w:t>
      </w:r>
    </w:p>
    <w:p>
      <w:pPr>
        <w:jc w:val="both"/>
      </w:pPr>
      <w:r>
        <w:t>The evidence package assembled by Case #001's founder is unusually comprehensive for this category of dispute. It includes Hubstaff time-tracking logs documenting hours worked; AutoQA quality scores demonstrating that completed tasks passed internal verification thresholds; Discord screenshots capturing platform policies and communications with project administrators; and a retaliation timeline showing that adverse actions followed directly after the worker escalated payment inquiries to senior management.</w:t>
      </w:r>
    </w:p>
    <w:p>
      <w:pPr>
        <w:pStyle w:val="Heading2"/>
      </w:pPr>
      <w:r>
        <w:t>1.3 Research Methodology</w:t>
      </w:r>
    </w:p>
    <w:p>
      <w:pPr>
        <w:jc w:val="both"/>
      </w:pPr>
      <w:r>
        <w:t>This report is the product of six parallel research tracks decomposed into twelve analytical dimensions. Each dimension was assigned to an independent research agent with a defined scope, source requirements, and confidence classification protocol. Cross-verification was performed across all dimension outputs, with findings classified into three confidence tiers: HIGH (confirmed by two or more independent agents), MEDIUM (single authoritative source), and LOW (unverified individual claims). The methodology produced eight high-confidence findings, five medium-confidence findings, and two low-confidence findings.</w:t>
      </w:r>
    </w:p>
    <w:p>
      <w:pPr>
        <w:pStyle w:val="Heading1"/>
      </w:pPr>
      <w:r>
        <w:t>2. Public Complaint Aggregators</w:t>
      </w:r>
      <w:bookmarkStart w:name="_Toc002" w:id="3"/>
      <w:bookmarkEnd w:id="3"/>
    </w:p>
    <w:p>
      <w:pPr>
        <w:pStyle w:val="Heading2"/>
      </w:pPr>
      <w:r>
        <w:t>2.1 Trustpilot Findings</w:t>
      </w:r>
    </w:p>
    <w:p>
      <w:pPr>
        <w:pStyle w:val="Heading3"/>
      </w:pPr>
      <w:r>
        <w:t>The Rating Mirage: 4.6/5 with a Hidden 8%</w:t>
      </w:r>
    </w:p>
    <w:p>
      <w:pPr>
        <w:jc w:val="both"/>
      </w:pPr>
      <w:r>
        <w:t>Alignerr's Trustpilot profile presents a deceptively favourable front. The platform carries a 4.6 out of 5 star rating across approximately 2,269 reviews. On the surface, this suggests a well-regarded employer. Closer inspection reveals a critical split: roughly 8% of all reviews - approximately 182 individual submissions - award the company a single star, the lowest possible rating. More significantly, Alignerr has responded to none of these negative reviews. The company's public response rate to critical feedback sits at exactly 0%, a silence that extends across every complaint of non-payment, unfair termination, and withheld earnings.</w:t>
      </w:r>
    </w:p>
    <w:p>
      <w:pPr>
        <w:pStyle w:val="Heading3"/>
      </w:pPr>
      <w:r>
        <w:t>Pay Rate Collapse: $50 to $1 Per Task</w:t>
      </w:r>
    </w:p>
    <w:p>
      <w:pPr>
        <w:jc w:val="both"/>
      </w:pPr>
      <w:r>
        <w:t>A January 2026 review documents what the reviewer called a systematic "scam" in pay rate manipulation. The worker described a progressive collapse in compensation: initial projects paid $50 per hour, which fell to $25 per hour, then dropped to $3 or even $1 per individual task. The documented decline from $50/hr to $1/task represents a 98% effective pay reduction. When combined with the additional finding that Asian workers receive only 30% of the per-task compensation paid to workers in other regions, the pay structure begins to resemble a discriminatory bait-and-switch operation.</w:t>
      </w:r>
    </w:p>
    <w:p>
      <w:pPr>
        <w:pStyle w:val="Heading3"/>
      </w:pPr>
      <w:r>
        <w:t>Fake Jobs and Account Deactivation</w:t>
      </w:r>
    </w:p>
    <w:p>
      <w:pPr>
        <w:jc w:val="both"/>
      </w:pPr>
      <w:r>
        <w:t>An April 2026 review describes a "fake jobs" pattern that aligns closely with the core allegations in Case #001: Alignerr posts job listings, requires workers to complete unpaid tasks as part of the application or evaluation process, and then deactivates the worker's account before any compensation materialises. This pattern transforms the evaluation process from a genuine hiring screen into a mechanism for extracting free labour.</w:t>
      </w:r>
    </w:p>
    <w:p>
      <w:pPr>
        <w:pStyle w:val="Heading2"/>
      </w:pPr>
      <w:r>
        <w:t>2.2 Glassdoor Findings</w:t>
      </w:r>
    </w:p>
    <w:p>
      <w:pPr>
        <w:pStyle w:val="Heading3"/>
      </w:pPr>
      <w:r>
        <w:t>A 2.2/5 Rating and Four Telling Tags</w:t>
      </w:r>
    </w:p>
    <w:p>
      <w:pPr>
        <w:jc w:val="both"/>
      </w:pPr>
      <w:r>
        <w:t>Glassdoor tells a radically different story from Trustpilot. Alignerr carries a 2.2 out of 5 rating based on 16 reviews - one of the lowest employer ratings documented for a venture-backed technology company. The platform's algorithmically generated tags for Alignerr read as a catalogue of labour exploitation: "Missing payments," "No transparency," "Stolen hours," and "Random termination." These are not labels applied by investigators; they are the most frequently occurring phrases across all submitted reviews, extracted by Glassdoor's own natural language processing.</w:t>
      </w:r>
    </w:p>
    <w:p>
      <w:pPr>
        <w:pStyle w:val="Heading3"/>
      </w:pPr>
      <w:r>
        <w:t>Specific Financial Claims: From $126 to $3,000</w:t>
      </w:r>
    </w:p>
    <w:p>
      <w:pPr>
        <w:jc w:val="both"/>
      </w:pPr>
      <w:r>
        <w:t>Glassdoor contains the most detailed and highest-value documented financial claims. One reviewer, identifying as a top performer with the highest quality and speed scores on their project, reported that Alignerr owed $126.26 for 4 hours and 10 minutes of completed work and had "repeatedly" refused to pay despite follow-up with support. At the higher end of documented claims, a Glassdoor reviewer reported that Alignerr attempted to withhold approximately $3,000 in wages related to an "ongoing dispute regarding the authorization of a project." The worker recovered the money only after threatening legal action.</w:t>
      </w:r>
    </w:p>
    <w:p>
      <w:pPr>
        <w:pStyle w:val="Heading2"/>
      </w:pPr>
      <w:r>
        <w:t>2.3 Better Business Bureau</w:t>
      </w:r>
    </w:p>
    <w:p>
      <w:pPr>
        <w:pStyle w:val="Heading3"/>
      </w:pPr>
      <w:r>
        <w:t>An F Rating and Seven Unanswered Complaints</w:t>
      </w:r>
    </w:p>
    <w:p>
      <w:pPr>
        <w:jc w:val="both"/>
      </w:pPr>
      <w:r>
        <w:t>The Better Business Bureau has assigned Alignerr its lowest possible rating: F. The BBB's rating rationale is unambiguous: "Failure to respond to 7 complaint(s) filed against business; 7 complaint(s) filed against business." All seven complaints were filed within the preceding three-year period, and all seven were closed within the last twelve months - not because the company resolved them, but because the BBB closed them administratively after Alignerr failed to respond at all.</w:t>
      </w:r>
    </w:p>
    <w:p>
      <w:pPr>
        <w:pStyle w:val="Heading2"/>
      </w:pPr>
      <w:r>
        <w:t>2.4 Cross-Platform Pattern Analysis</w:t>
      </w:r>
    </w:p>
    <w:p>
      <w:pPr>
        <w:pStyle w:val="Heading3"/>
      </w:pPr>
      <w:r>
        <w:t>Table 1: Documented Financial Claims</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1800"/>
        <w:gridCol w:w="1800"/>
        <w:gridCol w:w="1800"/>
        <w:gridCol w:w="1800"/>
        <w:gridCol w:w="1800"/>
      </w:tblGrid>
      <w:tr>
        <w:trPr>
          <w:tblHeader/>
        </w:trPr>
        <w:tc>
          <w:tcPr>
            <w:tcW w:w="1800" w:type="dxa"/>
            <w:shd w:val="clear" w:fill="EDF2F7"/>
          </w:tcPr>
          <w:p>
            <w:pPr>
              <w:spacing w:before="60" w:after="60"/>
            </w:pPr>
            <w:r>
              <w:rPr>
                <w:b/>
                <w:color w:val="1a1a2e"/>
                <w:sz w:val="20"/>
              </w:rPr>
              <w:t>Amount Owed</w:t>
            </w:r>
          </w:p>
        </w:tc>
        <w:tc>
          <w:tcPr>
            <w:tcW w:w="1800" w:type="dxa"/>
            <w:shd w:val="clear" w:fill="EDF2F7"/>
          </w:tcPr>
          <w:p>
            <w:pPr>
              <w:spacing w:before="60" w:after="60"/>
            </w:pPr>
            <w:r>
              <w:rPr>
                <w:b/>
                <w:color w:val="1a1a2e"/>
                <w:sz w:val="20"/>
              </w:rPr>
              <w:t>Worker Role / Status</w:t>
            </w:r>
          </w:p>
        </w:tc>
        <w:tc>
          <w:tcPr>
            <w:tcW w:w="1800" w:type="dxa"/>
            <w:shd w:val="clear" w:fill="EDF2F7"/>
          </w:tcPr>
          <w:p>
            <w:pPr>
              <w:spacing w:before="60" w:after="60"/>
            </w:pPr>
            <w:r>
              <w:rPr>
                <w:b/>
                <w:color w:val="1a1a2e"/>
                <w:sz w:val="20"/>
              </w:rPr>
              <w:t>Platform</w:t>
            </w:r>
          </w:p>
        </w:tc>
        <w:tc>
          <w:tcPr>
            <w:tcW w:w="1800" w:type="dxa"/>
            <w:shd w:val="clear" w:fill="EDF2F7"/>
          </w:tcPr>
          <w:p>
            <w:pPr>
              <w:spacing w:before="60" w:after="60"/>
            </w:pPr>
            <w:r>
              <w:rPr>
                <w:b/>
                <w:color w:val="1a1a2e"/>
                <w:sz w:val="20"/>
              </w:rPr>
              <w:t>Date</w:t>
            </w:r>
          </w:p>
        </w:tc>
        <w:tc>
          <w:tcPr>
            <w:tcW w:w="1800" w:type="dxa"/>
            <w:shd w:val="clear" w:fill="EDF2F7"/>
          </w:tcPr>
          <w:p>
            <w:pPr>
              <w:spacing w:before="60" w:after="60"/>
            </w:pPr>
            <w:r>
              <w:rPr>
                <w:b/>
                <w:color w:val="1a1a2e"/>
                <w:sz w:val="20"/>
              </w:rPr>
              <w:t>Resolution</w:t>
            </w:r>
          </w:p>
        </w:tc>
      </w:tr>
      <w:tr>
        <w:tc>
          <w:tcPr>
            <w:tcW w:w="1800" w:type="dxa"/>
          </w:tcPr>
          <w:p>
            <w:pPr>
              <w:spacing w:before="40" w:after="40"/>
            </w:pPr>
            <w:r>
              <w:rPr>
                <w:color w:val="1a1a2e"/>
                <w:sz w:val="20"/>
              </w:rPr>
              <w:t>$3,000+</w:t>
            </w:r>
          </w:p>
        </w:tc>
        <w:tc>
          <w:tcPr>
            <w:tcW w:w="1800" w:type="dxa"/>
          </w:tcPr>
          <w:p>
            <w:pPr>
              <w:spacing w:before="40" w:after="40"/>
            </w:pPr>
            <w:r>
              <w:rPr>
                <w:color w:val="1a1a2e"/>
                <w:sz w:val="20"/>
              </w:rPr>
              <w:t>Anonymous contractor</w:t>
            </w:r>
          </w:p>
        </w:tc>
        <w:tc>
          <w:tcPr>
            <w:tcW w:w="1800" w:type="dxa"/>
          </w:tcPr>
          <w:p>
            <w:pPr>
              <w:spacing w:before="40" w:after="40"/>
            </w:pPr>
            <w:r>
              <w:rPr>
                <w:color w:val="1a1a2e"/>
                <w:sz w:val="20"/>
              </w:rPr>
              <w:t>Glassdoor</w:t>
            </w:r>
          </w:p>
        </w:tc>
        <w:tc>
          <w:tcPr>
            <w:tcW w:w="1800" w:type="dxa"/>
          </w:tcPr>
          <w:p>
            <w:pPr>
              <w:spacing w:before="40" w:after="40"/>
            </w:pPr>
            <w:r>
              <w:rPr>
                <w:color w:val="1a1a2e"/>
                <w:sz w:val="20"/>
              </w:rPr>
              <w:t>2025</w:t>
            </w:r>
          </w:p>
        </w:tc>
        <w:tc>
          <w:tcPr>
            <w:tcW w:w="1800" w:type="dxa"/>
          </w:tcPr>
          <w:p>
            <w:pPr>
              <w:spacing w:before="40" w:after="40"/>
            </w:pPr>
            <w:r>
              <w:rPr>
                <w:color w:val="1a1a2e"/>
                <w:sz w:val="20"/>
              </w:rPr>
              <w:t>Recovered after legal threat</w:t>
            </w:r>
          </w:p>
        </w:tc>
      </w:tr>
      <w:tr>
        <w:tc>
          <w:tcPr>
            <w:tcW w:w="1800" w:type="dxa"/>
            <w:shd w:val="clear" w:fill="F7FAFC"/>
          </w:tcPr>
          <w:p>
            <w:pPr>
              <w:spacing w:before="40" w:after="40"/>
            </w:pPr>
            <w:r>
              <w:rPr>
                <w:color w:val="1a1a2e"/>
                <w:sz w:val="20"/>
              </w:rPr>
              <w:t>$2,100</w:t>
            </w:r>
          </w:p>
        </w:tc>
        <w:tc>
          <w:tcPr>
            <w:tcW w:w="1800" w:type="dxa"/>
            <w:shd w:val="clear" w:fill="F7FAFC"/>
          </w:tcPr>
          <w:p>
            <w:pPr>
              <w:spacing w:before="40" w:after="40"/>
            </w:pPr>
            <w:r>
              <w:rPr>
                <w:color w:val="1a1a2e"/>
                <w:sz w:val="20"/>
              </w:rPr>
              <w:t>Promoted reviewer ("Maria")</w:t>
            </w:r>
          </w:p>
        </w:tc>
        <w:tc>
          <w:tcPr>
            <w:tcW w:w="1800" w:type="dxa"/>
            <w:shd w:val="clear" w:fill="F7FAFC"/>
          </w:tcPr>
          <w:p>
            <w:pPr>
              <w:spacing w:before="40" w:after="40"/>
            </w:pPr>
            <w:r>
              <w:rPr>
                <w:color w:val="1a1a2e"/>
                <w:sz w:val="20"/>
              </w:rPr>
              <w:t>Icy Tales / Reddit</w:t>
            </w:r>
          </w:p>
        </w:tc>
        <w:tc>
          <w:tcPr>
            <w:tcW w:w="1800" w:type="dxa"/>
            <w:shd w:val="clear" w:fill="F7FAFC"/>
          </w:tcPr>
          <w:p>
            <w:pPr>
              <w:spacing w:before="40" w:after="40"/>
            </w:pPr>
            <w:r>
              <w:rPr>
                <w:color w:val="1a1a2e"/>
                <w:sz w:val="20"/>
              </w:rPr>
              <w:t>2025</w:t>
            </w:r>
          </w:p>
        </w:tc>
        <w:tc>
          <w:tcPr>
            <w:tcW w:w="1800" w:type="dxa"/>
            <w:shd w:val="clear" w:fill="F7FAFC"/>
          </w:tcPr>
          <w:p>
            <w:pPr>
              <w:spacing w:before="40" w:after="40"/>
            </w:pPr>
            <w:r>
              <w:rPr>
                <w:color w:val="1a1a2e"/>
                <w:sz w:val="20"/>
              </w:rPr>
              <w:t>Unresolved</w:t>
            </w:r>
          </w:p>
        </w:tc>
      </w:tr>
      <w:tr>
        <w:tc>
          <w:tcPr>
            <w:tcW w:w="1800" w:type="dxa"/>
          </w:tcPr>
          <w:p>
            <w:pPr>
              <w:spacing w:before="40" w:after="40"/>
            </w:pPr>
            <w:r>
              <w:rPr>
                <w:color w:val="1a1a2e"/>
                <w:sz w:val="20"/>
              </w:rPr>
              <w:t>$1,000-$2,000</w:t>
            </w:r>
          </w:p>
        </w:tc>
        <w:tc>
          <w:tcPr>
            <w:tcW w:w="1800" w:type="dxa"/>
          </w:tcPr>
          <w:p>
            <w:pPr>
              <w:spacing w:before="40" w:after="40"/>
            </w:pPr>
            <w:r>
              <w:rPr>
                <w:color w:val="1a1a2e"/>
                <w:sz w:val="20"/>
              </w:rPr>
              <w:t>Multiple workers</w:t>
            </w:r>
          </w:p>
        </w:tc>
        <w:tc>
          <w:tcPr>
            <w:tcW w:w="1800" w:type="dxa"/>
          </w:tcPr>
          <w:p>
            <w:pPr>
              <w:spacing w:before="40" w:after="40"/>
            </w:pPr>
            <w:r>
              <w:rPr>
                <w:color w:val="1a1a2e"/>
                <w:sz w:val="20"/>
              </w:rPr>
              <w:t>Icy Tales / Reddit</w:t>
            </w:r>
          </w:p>
        </w:tc>
        <w:tc>
          <w:tcPr>
            <w:tcW w:w="1800" w:type="dxa"/>
          </w:tcPr>
          <w:p>
            <w:pPr>
              <w:spacing w:before="40" w:after="40"/>
            </w:pPr>
            <w:r>
              <w:rPr>
                <w:color w:val="1a1a2e"/>
                <w:sz w:val="20"/>
              </w:rPr>
              <w:t>2025</w:t>
            </w:r>
          </w:p>
        </w:tc>
        <w:tc>
          <w:tcPr>
            <w:tcW w:w="1800" w:type="dxa"/>
          </w:tcPr>
          <w:p>
            <w:pPr>
              <w:spacing w:before="40" w:after="40"/>
            </w:pPr>
            <w:r>
              <w:rPr>
                <w:color w:val="1a1a2e"/>
                <w:sz w:val="20"/>
              </w:rPr>
              <w:t>Unresolved</w:t>
            </w:r>
          </w:p>
        </w:tc>
      </w:tr>
      <w:tr>
        <w:tc>
          <w:tcPr>
            <w:tcW w:w="1800" w:type="dxa"/>
            <w:shd w:val="clear" w:fill="F7FAFC"/>
          </w:tcPr>
          <w:p>
            <w:pPr>
              <w:spacing w:before="40" w:after="40"/>
            </w:pPr>
            <w:r>
              <w:rPr>
                <w:color w:val="1a1a2e"/>
                <w:sz w:val="20"/>
              </w:rPr>
              <w:t>$975</w:t>
            </w:r>
          </w:p>
        </w:tc>
        <w:tc>
          <w:tcPr>
            <w:tcW w:w="1800" w:type="dxa"/>
            <w:shd w:val="clear" w:fill="F7FAFC"/>
          </w:tcPr>
          <w:p>
            <w:pPr>
              <w:spacing w:before="40" w:after="40"/>
            </w:pPr>
            <w:r>
              <w:rPr>
                <w:color w:val="1a1a2e"/>
                <w:sz w:val="20"/>
              </w:rPr>
              <w:t>u/Wooden_Ad1472</w:t>
            </w:r>
          </w:p>
        </w:tc>
        <w:tc>
          <w:tcPr>
            <w:tcW w:w="1800" w:type="dxa"/>
            <w:shd w:val="clear" w:fill="F7FAFC"/>
          </w:tcPr>
          <w:p>
            <w:pPr>
              <w:spacing w:before="40" w:after="40"/>
            </w:pPr>
            <w:r>
              <w:rPr>
                <w:color w:val="1a1a2e"/>
                <w:sz w:val="20"/>
              </w:rPr>
              <w:t>Reddit r/selfemployed</w:t>
            </w:r>
          </w:p>
        </w:tc>
        <w:tc>
          <w:tcPr>
            <w:tcW w:w="1800" w:type="dxa"/>
            <w:shd w:val="clear" w:fill="F7FAFC"/>
          </w:tcPr>
          <w:p>
            <w:pPr>
              <w:spacing w:before="40" w:after="40"/>
            </w:pPr>
            <w:r>
              <w:rPr>
                <w:color w:val="1a1a2e"/>
                <w:sz w:val="20"/>
              </w:rPr>
              <w:t>2025</w:t>
            </w:r>
          </w:p>
        </w:tc>
        <w:tc>
          <w:tcPr>
            <w:tcW w:w="1800" w:type="dxa"/>
            <w:shd w:val="clear" w:fill="F7FAFC"/>
          </w:tcPr>
          <w:p>
            <w:pPr>
              <w:spacing w:before="40" w:after="40"/>
            </w:pPr>
            <w:r>
              <w:rPr>
                <w:color w:val="1a1a2e"/>
                <w:sz w:val="20"/>
              </w:rPr>
              <w:t>Unresolved</w:t>
            </w:r>
          </w:p>
        </w:tc>
      </w:tr>
      <w:tr>
        <w:tc>
          <w:tcPr>
            <w:tcW w:w="1800" w:type="dxa"/>
          </w:tcPr>
          <w:p>
            <w:pPr>
              <w:spacing w:before="40" w:after="40"/>
            </w:pPr>
            <w:r>
              <w:rPr>
                <w:color w:val="1a1a2e"/>
                <w:sz w:val="20"/>
              </w:rPr>
              <w:t>$800</w:t>
            </w:r>
          </w:p>
        </w:tc>
        <w:tc>
          <w:tcPr>
            <w:tcW w:w="1800" w:type="dxa"/>
          </w:tcPr>
          <w:p>
            <w:pPr>
              <w:spacing w:before="40" w:after="40"/>
            </w:pPr>
            <w:r>
              <w:rPr>
                <w:color w:val="1a1a2e"/>
                <w:sz w:val="20"/>
              </w:rPr>
              <w:t>u/Even-Ad-3759</w:t>
            </w:r>
          </w:p>
        </w:tc>
        <w:tc>
          <w:tcPr>
            <w:tcW w:w="1800" w:type="dxa"/>
          </w:tcPr>
          <w:p>
            <w:pPr>
              <w:spacing w:before="40" w:after="40"/>
            </w:pPr>
            <w:r>
              <w:rPr>
                <w:color w:val="1a1a2e"/>
                <w:sz w:val="20"/>
              </w:rPr>
              <w:t>Reddit r/selfemployed</w:t>
            </w:r>
          </w:p>
        </w:tc>
        <w:tc>
          <w:tcPr>
            <w:tcW w:w="1800" w:type="dxa"/>
          </w:tcPr>
          <w:p>
            <w:pPr>
              <w:spacing w:before="40" w:after="40"/>
            </w:pPr>
            <w:r>
              <w:rPr>
                <w:color w:val="1a1a2e"/>
                <w:sz w:val="20"/>
              </w:rPr>
              <w:t>2025</w:t>
            </w:r>
          </w:p>
        </w:tc>
        <w:tc>
          <w:tcPr>
            <w:tcW w:w="1800" w:type="dxa"/>
          </w:tcPr>
          <w:p>
            <w:pPr>
              <w:spacing w:before="40" w:after="40"/>
            </w:pPr>
            <w:r>
              <w:rPr>
                <w:color w:val="1a1a2e"/>
                <w:sz w:val="20"/>
              </w:rPr>
              <w:t>Unresolved</w:t>
            </w:r>
          </w:p>
        </w:tc>
      </w:tr>
      <w:tr>
        <w:tc>
          <w:tcPr>
            <w:tcW w:w="1800" w:type="dxa"/>
            <w:shd w:val="clear" w:fill="F7FAFC"/>
          </w:tcPr>
          <w:p>
            <w:pPr>
              <w:spacing w:before="40" w:after="40"/>
            </w:pPr>
            <w:r>
              <w:rPr>
                <w:color w:val="1a1a2e"/>
                <w:sz w:val="20"/>
              </w:rPr>
              <w:t>$126.26</w:t>
            </w:r>
          </w:p>
        </w:tc>
        <w:tc>
          <w:tcPr>
            <w:tcW w:w="1800" w:type="dxa"/>
            <w:shd w:val="clear" w:fill="F7FAFC"/>
          </w:tcPr>
          <w:p>
            <w:pPr>
              <w:spacing w:before="40" w:after="40"/>
            </w:pPr>
            <w:r>
              <w:rPr>
                <w:color w:val="1a1a2e"/>
                <w:sz w:val="20"/>
              </w:rPr>
              <w:t>Top performer</w:t>
            </w:r>
          </w:p>
        </w:tc>
        <w:tc>
          <w:tcPr>
            <w:tcW w:w="1800" w:type="dxa"/>
            <w:shd w:val="clear" w:fill="F7FAFC"/>
          </w:tcPr>
          <w:p>
            <w:pPr>
              <w:spacing w:before="40" w:after="40"/>
            </w:pPr>
            <w:r>
              <w:rPr>
                <w:color w:val="1a1a2e"/>
                <w:sz w:val="20"/>
              </w:rPr>
              <w:t>Glassdoor</w:t>
            </w:r>
          </w:p>
        </w:tc>
        <w:tc>
          <w:tcPr>
            <w:tcW w:w="1800" w:type="dxa"/>
            <w:shd w:val="clear" w:fill="F7FAFC"/>
          </w:tcPr>
          <w:p>
            <w:pPr>
              <w:spacing w:before="40" w:after="40"/>
            </w:pPr>
            <w:r>
              <w:rPr>
                <w:color w:val="1a1a2e"/>
                <w:sz w:val="20"/>
              </w:rPr>
              <w:t>Sep 2025</w:t>
            </w:r>
          </w:p>
        </w:tc>
        <w:tc>
          <w:tcPr>
            <w:tcW w:w="1800" w:type="dxa"/>
            <w:shd w:val="clear" w:fill="F7FAFC"/>
          </w:tcPr>
          <w:p>
            <w:pPr>
              <w:spacing w:before="40" w:after="40"/>
            </w:pPr>
            <w:r>
              <w:rPr>
                <w:color w:val="1a1a2e"/>
                <w:sz w:val="20"/>
              </w:rPr>
              <w:t>Unresolved</w:t>
            </w:r>
          </w:p>
        </w:tc>
      </w:tr>
      <w:tr>
        <w:tc>
          <w:tcPr>
            <w:tcW w:w="1800" w:type="dxa"/>
          </w:tcPr>
          <w:p>
            <w:pPr>
              <w:spacing w:before="40" w:after="40"/>
            </w:pPr>
            <w:r>
              <w:rPr>
                <w:color w:val="1a1a2e"/>
                <w:sz w:val="20"/>
              </w:rPr>
              <w:t>70 hours</w:t>
            </w:r>
          </w:p>
        </w:tc>
        <w:tc>
          <w:tcPr>
            <w:tcW w:w="1800" w:type="dxa"/>
          </w:tcPr>
          <w:p>
            <w:pPr>
              <w:spacing w:before="40" w:after="40"/>
            </w:pPr>
            <w:r>
              <w:rPr>
                <w:color w:val="1a1a2e"/>
                <w:sz w:val="20"/>
              </w:rPr>
              <w:t>Anonymous contractor</w:t>
            </w:r>
          </w:p>
        </w:tc>
        <w:tc>
          <w:tcPr>
            <w:tcW w:w="1800" w:type="dxa"/>
          </w:tcPr>
          <w:p>
            <w:pPr>
              <w:spacing w:before="40" w:after="40"/>
            </w:pPr>
            <w:r>
              <w:rPr>
                <w:color w:val="1a1a2e"/>
                <w:sz w:val="20"/>
              </w:rPr>
              <w:t>Glassdoor</w:t>
            </w:r>
          </w:p>
        </w:tc>
        <w:tc>
          <w:tcPr>
            <w:tcW w:w="1800" w:type="dxa"/>
          </w:tcPr>
          <w:p>
            <w:pPr>
              <w:spacing w:before="40" w:after="40"/>
            </w:pPr>
            <w:r>
              <w:rPr>
                <w:color w:val="1a1a2e"/>
                <w:sz w:val="20"/>
              </w:rPr>
              <w:t>2025</w:t>
            </w:r>
          </w:p>
        </w:tc>
        <w:tc>
          <w:tcPr>
            <w:tcW w:w="1800" w:type="dxa"/>
          </w:tcPr>
          <w:p>
            <w:pPr>
              <w:spacing w:before="40" w:after="40"/>
            </w:pPr>
            <w:r>
              <w:rPr>
                <w:color w:val="1a1a2e"/>
                <w:sz w:val="20"/>
              </w:rPr>
              <w:t>Unresolved</w:t>
            </w:r>
          </w:p>
        </w:tc>
      </w:tr>
      <w:tr>
        <w:tc>
          <w:tcPr>
            <w:tcW w:w="1800" w:type="dxa"/>
            <w:shd w:val="clear" w:fill="F7FAFC"/>
          </w:tcPr>
          <w:p>
            <w:pPr>
              <w:spacing w:before="40" w:after="40"/>
            </w:pPr>
            <w:r>
              <w:rPr>
                <w:color w:val="1a1a2e"/>
                <w:sz w:val="20"/>
              </w:rPr>
              <w:t>~10 hours</w:t>
            </w:r>
          </w:p>
        </w:tc>
        <w:tc>
          <w:tcPr>
            <w:tcW w:w="1800" w:type="dxa"/>
            <w:shd w:val="clear" w:fill="F7FAFC"/>
          </w:tcPr>
          <w:p>
            <w:pPr>
              <w:spacing w:before="40" w:after="40"/>
            </w:pPr>
            <w:r>
              <w:rPr>
                <w:color w:val="1a1a2e"/>
                <w:sz w:val="20"/>
              </w:rPr>
              <w:t>Anonymous contractor</w:t>
            </w:r>
          </w:p>
        </w:tc>
        <w:tc>
          <w:tcPr>
            <w:tcW w:w="1800" w:type="dxa"/>
            <w:shd w:val="clear" w:fill="F7FAFC"/>
          </w:tcPr>
          <w:p>
            <w:pPr>
              <w:spacing w:before="40" w:after="40"/>
            </w:pPr>
            <w:r>
              <w:rPr>
                <w:color w:val="1a1a2e"/>
                <w:sz w:val="20"/>
              </w:rPr>
              <w:t>Glassdoor</w:t>
            </w:r>
          </w:p>
        </w:tc>
        <w:tc>
          <w:tcPr>
            <w:tcW w:w="1800" w:type="dxa"/>
            <w:shd w:val="clear" w:fill="F7FAFC"/>
          </w:tcPr>
          <w:p>
            <w:pPr>
              <w:spacing w:before="40" w:after="40"/>
            </w:pPr>
            <w:r>
              <w:rPr>
                <w:color w:val="1a1a2e"/>
                <w:sz w:val="20"/>
              </w:rPr>
              <w:t>2025</w:t>
            </w:r>
          </w:p>
        </w:tc>
        <w:tc>
          <w:tcPr>
            <w:tcW w:w="1800" w:type="dxa"/>
            <w:shd w:val="clear" w:fill="F7FAFC"/>
          </w:tcPr>
          <w:p>
            <w:pPr>
              <w:spacing w:before="40" w:after="40"/>
            </w:pPr>
            <w:r>
              <w:rPr>
                <w:color w:val="1a1a2e"/>
                <w:sz w:val="20"/>
              </w:rPr>
              <w:t>Unresolved</w:t>
            </w:r>
          </w:p>
        </w:tc>
      </w:tr>
      <w:tr>
        <w:tc>
          <w:tcPr>
            <w:tcW w:w="1800" w:type="dxa"/>
          </w:tcPr>
          <w:p>
            <w:pPr>
              <w:spacing w:before="40" w:after="40"/>
            </w:pPr>
            <w:r>
              <w:rPr>
                <w:color w:val="1a1a2e"/>
                <w:sz w:val="20"/>
              </w:rPr>
              <w:t>40 hours</w:t>
            </w:r>
          </w:p>
        </w:tc>
        <w:tc>
          <w:tcPr>
            <w:tcW w:w="1800" w:type="dxa"/>
          </w:tcPr>
          <w:p>
            <w:pPr>
              <w:spacing w:before="40" w:after="40"/>
            </w:pPr>
            <w:r>
              <w:rPr>
                <w:color w:val="1a1a2e"/>
                <w:sz w:val="20"/>
              </w:rPr>
              <w:t>Anonymous contractor</w:t>
            </w:r>
          </w:p>
        </w:tc>
        <w:tc>
          <w:tcPr>
            <w:tcW w:w="1800" w:type="dxa"/>
          </w:tcPr>
          <w:p>
            <w:pPr>
              <w:spacing w:before="40" w:after="40"/>
            </w:pPr>
            <w:r>
              <w:rPr>
                <w:color w:val="1a1a2e"/>
                <w:sz w:val="20"/>
              </w:rPr>
              <w:t>Glassdoor</w:t>
            </w:r>
          </w:p>
        </w:tc>
        <w:tc>
          <w:tcPr>
            <w:tcW w:w="1800" w:type="dxa"/>
          </w:tcPr>
          <w:p>
            <w:pPr>
              <w:spacing w:before="40" w:after="40"/>
            </w:pPr>
            <w:r>
              <w:rPr>
                <w:color w:val="1a1a2e"/>
                <w:sz w:val="20"/>
              </w:rPr>
              <w:t>Sep 2025</w:t>
            </w:r>
          </w:p>
        </w:tc>
        <w:tc>
          <w:tcPr>
            <w:tcW w:w="1800" w:type="dxa"/>
          </w:tcPr>
          <w:p>
            <w:pPr>
              <w:spacing w:before="40" w:after="40"/>
            </w:pPr>
            <w:r>
              <w:rPr>
                <w:color w:val="1a1a2e"/>
                <w:sz w:val="20"/>
              </w:rPr>
              <w:t>Unresolved</w:t>
            </w:r>
          </w:p>
        </w:tc>
      </w:tr>
      <w:tr>
        <w:tc>
          <w:tcPr>
            <w:tcW w:w="1800" w:type="dxa"/>
            <w:shd w:val="clear" w:fill="F7FAFC"/>
          </w:tcPr>
          <w:p>
            <w:pPr>
              <w:spacing w:before="40" w:after="40"/>
            </w:pPr>
            <w:r>
              <w:rPr>
                <w:color w:val="1a1a2e"/>
                <w:sz w:val="20"/>
              </w:rPr>
              <w:t>155 tasks</w:t>
            </w:r>
          </w:p>
        </w:tc>
        <w:tc>
          <w:tcPr>
            <w:tcW w:w="1800" w:type="dxa"/>
            <w:shd w:val="clear" w:fill="F7FAFC"/>
          </w:tcPr>
          <w:p>
            <w:pPr>
              <w:spacing w:before="40" w:after="40"/>
            </w:pPr>
            <w:r>
              <w:rPr>
                <w:color w:val="1a1a2e"/>
                <w:sz w:val="20"/>
              </w:rPr>
              <w:t>Anonymous contractor</w:t>
            </w:r>
          </w:p>
        </w:tc>
        <w:tc>
          <w:tcPr>
            <w:tcW w:w="1800" w:type="dxa"/>
            <w:shd w:val="clear" w:fill="F7FAFC"/>
          </w:tcPr>
          <w:p>
            <w:pPr>
              <w:spacing w:before="40" w:after="40"/>
            </w:pPr>
            <w:r>
              <w:rPr>
                <w:color w:val="1a1a2e"/>
                <w:sz w:val="20"/>
              </w:rPr>
              <w:t>Trustpilot (Labelbox)</w:t>
            </w:r>
          </w:p>
        </w:tc>
        <w:tc>
          <w:tcPr>
            <w:tcW w:w="1800" w:type="dxa"/>
            <w:shd w:val="clear" w:fill="F7FAFC"/>
          </w:tcPr>
          <w:p>
            <w:pPr>
              <w:spacing w:before="40" w:after="40"/>
            </w:pPr>
            <w:r>
              <w:rPr>
                <w:color w:val="1a1a2e"/>
                <w:sz w:val="20"/>
              </w:rPr>
              <w:t>Oct 2025</w:t>
            </w:r>
          </w:p>
        </w:tc>
        <w:tc>
          <w:tcPr>
            <w:tcW w:w="1800" w:type="dxa"/>
            <w:shd w:val="clear" w:fill="F7FAFC"/>
          </w:tcPr>
          <w:p>
            <w:pPr>
              <w:spacing w:before="40" w:after="40"/>
            </w:pPr>
            <w:r>
              <w:rPr>
                <w:color w:val="1a1a2e"/>
                <w:sz w:val="20"/>
              </w:rPr>
              <w:t>Unresolved</w:t>
            </w:r>
          </w:p>
        </w:tc>
      </w:tr>
    </w:tbl>
    <w:p>
      <w:pPr>
        <w:pStyle w:val="Heading3"/>
      </w:pPr>
      <w:r>
        <w:t>Table 2: Platform-by-Platform Complaint Summary</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1800"/>
        <w:gridCol w:w="1800"/>
        <w:gridCol w:w="1800"/>
        <w:gridCol w:w="1800"/>
        <w:gridCol w:w="1800"/>
      </w:tblGrid>
      <w:tr>
        <w:trPr>
          <w:tblHeader/>
        </w:trPr>
        <w:tc>
          <w:tcPr>
            <w:tcW w:w="1800" w:type="dxa"/>
            <w:shd w:val="clear" w:fill="EDF2F7"/>
          </w:tcPr>
          <w:p>
            <w:pPr>
              <w:spacing w:before="60" w:after="60"/>
            </w:pPr>
            <w:r>
              <w:rPr>
                <w:b/>
                <w:color w:val="1a1a2e"/>
                <w:sz w:val="20"/>
              </w:rPr>
              <w:t>Platform</w:t>
            </w:r>
          </w:p>
        </w:tc>
        <w:tc>
          <w:tcPr>
            <w:tcW w:w="1800" w:type="dxa"/>
            <w:shd w:val="clear" w:fill="EDF2F7"/>
          </w:tcPr>
          <w:p>
            <w:pPr>
              <w:spacing w:before="60" w:after="60"/>
            </w:pPr>
            <w:r>
              <w:rPr>
                <w:b/>
                <w:color w:val="1a1a2e"/>
                <w:sz w:val="20"/>
              </w:rPr>
              <w:t>Rating</w:t>
            </w:r>
          </w:p>
        </w:tc>
        <w:tc>
          <w:tcPr>
            <w:tcW w:w="1800" w:type="dxa"/>
            <w:shd w:val="clear" w:fill="EDF2F7"/>
          </w:tcPr>
          <w:p>
            <w:pPr>
              <w:spacing w:before="60" w:after="60"/>
            </w:pPr>
            <w:r>
              <w:rPr>
                <w:b/>
                <w:color w:val="1a1a2e"/>
                <w:sz w:val="20"/>
              </w:rPr>
              <w:t>Complaints</w:t>
            </w:r>
          </w:p>
        </w:tc>
        <w:tc>
          <w:tcPr>
            <w:tcW w:w="1800" w:type="dxa"/>
            <w:shd w:val="clear" w:fill="EDF2F7"/>
          </w:tcPr>
          <w:p>
            <w:pPr>
              <w:spacing w:before="60" w:after="60"/>
            </w:pPr>
            <w:r>
              <w:rPr>
                <w:b/>
                <w:color w:val="1a1a2e"/>
                <w:sz w:val="20"/>
              </w:rPr>
              <w:t>Response Rate</w:t>
            </w:r>
          </w:p>
        </w:tc>
        <w:tc>
          <w:tcPr>
            <w:tcW w:w="1800" w:type="dxa"/>
            <w:shd w:val="clear" w:fill="EDF2F7"/>
          </w:tcPr>
          <w:p>
            <w:pPr>
              <w:spacing w:before="60" w:after="60"/>
            </w:pPr>
            <w:r>
              <w:rPr>
                <w:b/>
                <w:color w:val="1a1a2e"/>
                <w:sz w:val="20"/>
              </w:rPr>
              <w:t>Key Categories</w:t>
            </w:r>
          </w:p>
        </w:tc>
      </w:tr>
      <w:tr>
        <w:tc>
          <w:tcPr>
            <w:tcW w:w="1800" w:type="dxa"/>
          </w:tcPr>
          <w:p>
            <w:pPr>
              <w:spacing w:before="40" w:after="40"/>
            </w:pPr>
            <w:r>
              <w:rPr>
                <w:color w:val="1a1a2e"/>
                <w:sz w:val="20"/>
              </w:rPr>
              <w:t>Trustpilot (Alignerr)</w:t>
            </w:r>
          </w:p>
        </w:tc>
        <w:tc>
          <w:tcPr>
            <w:tcW w:w="1800" w:type="dxa"/>
          </w:tcPr>
          <w:p>
            <w:pPr>
              <w:spacing w:before="40" w:after="40"/>
            </w:pPr>
            <w:r>
              <w:rPr>
                <w:color w:val="1a1a2e"/>
                <w:sz w:val="20"/>
              </w:rPr>
              <w:t>4.6/5 (2,269)</w:t>
            </w:r>
          </w:p>
        </w:tc>
        <w:tc>
          <w:tcPr>
            <w:tcW w:w="1800" w:type="dxa"/>
          </w:tcPr>
          <w:p>
            <w:pPr>
              <w:spacing w:before="40" w:after="40"/>
            </w:pPr>
            <w:r>
              <w:rPr>
                <w:color w:val="1a1a2e"/>
                <w:sz w:val="20"/>
              </w:rPr>
              <w:t>~182 one-star (~8%)</w:t>
            </w:r>
          </w:p>
        </w:tc>
        <w:tc>
          <w:tcPr>
            <w:tcW w:w="1800" w:type="dxa"/>
          </w:tcPr>
          <w:p>
            <w:pPr>
              <w:spacing w:before="40" w:after="40"/>
            </w:pPr>
            <w:r>
              <w:rPr>
                <w:color w:val="1a1a2e"/>
                <w:sz w:val="20"/>
              </w:rPr>
              <w:t>0%</w:t>
            </w:r>
          </w:p>
        </w:tc>
        <w:tc>
          <w:tcPr>
            <w:tcW w:w="1800" w:type="dxa"/>
          </w:tcPr>
          <w:p>
            <w:pPr>
              <w:spacing w:before="40" w:after="40"/>
            </w:pPr>
            <w:r>
              <w:rPr>
                <w:color w:val="1a1a2e"/>
                <w:sz w:val="20"/>
              </w:rPr>
              <w:t>Pay collapse; fake jobs; discrimination</w:t>
            </w:r>
          </w:p>
        </w:tc>
      </w:tr>
      <w:tr>
        <w:tc>
          <w:tcPr>
            <w:tcW w:w="1800" w:type="dxa"/>
            <w:shd w:val="clear" w:fill="F7FAFC"/>
          </w:tcPr>
          <w:p>
            <w:pPr>
              <w:spacing w:before="40" w:after="40"/>
            </w:pPr>
            <w:r>
              <w:rPr>
                <w:color w:val="1a1a2e"/>
                <w:sz w:val="20"/>
              </w:rPr>
              <w:t>Glassdoor (Alignerr)</w:t>
            </w:r>
          </w:p>
        </w:tc>
        <w:tc>
          <w:tcPr>
            <w:tcW w:w="1800" w:type="dxa"/>
            <w:shd w:val="clear" w:fill="F7FAFC"/>
          </w:tcPr>
          <w:p>
            <w:pPr>
              <w:spacing w:before="40" w:after="40"/>
            </w:pPr>
            <w:r>
              <w:rPr>
                <w:color w:val="1a1a2e"/>
                <w:sz w:val="20"/>
              </w:rPr>
              <w:t>2.2/5 (16)</w:t>
            </w:r>
          </w:p>
        </w:tc>
        <w:tc>
          <w:tcPr>
            <w:tcW w:w="1800" w:type="dxa"/>
            <w:shd w:val="clear" w:fill="F7FAFC"/>
          </w:tcPr>
          <w:p>
            <w:pPr>
              <w:spacing w:before="40" w:after="40"/>
            </w:pPr>
            <w:r>
              <w:rPr>
                <w:color w:val="1a1a2e"/>
                <w:sz w:val="20"/>
              </w:rPr>
              <w:t>16, overwhelmingly negative</w:t>
            </w:r>
          </w:p>
        </w:tc>
        <w:tc>
          <w:tcPr>
            <w:tcW w:w="1800" w:type="dxa"/>
            <w:shd w:val="clear" w:fill="F7FAFC"/>
          </w:tcPr>
          <w:p>
            <w:pPr>
              <w:spacing w:before="40" w:after="40"/>
            </w:pPr>
            <w:r>
              <w:rPr>
                <w:color w:val="1a1a2e"/>
                <w:sz w:val="20"/>
              </w:rPr>
              <w:t>Unknown</w:t>
            </w:r>
          </w:p>
        </w:tc>
        <w:tc>
          <w:tcPr>
            <w:tcW w:w="1800" w:type="dxa"/>
            <w:shd w:val="clear" w:fill="F7FAFC"/>
          </w:tcPr>
          <w:p>
            <w:pPr>
              <w:spacing w:before="40" w:after="40"/>
            </w:pPr>
            <w:r>
              <w:rPr>
                <w:color w:val="1a1a2e"/>
                <w:sz w:val="20"/>
              </w:rPr>
              <w:t>Missing payments; stolen hours; termination</w:t>
            </w:r>
          </w:p>
        </w:tc>
      </w:tr>
      <w:tr>
        <w:tc>
          <w:tcPr>
            <w:tcW w:w="1800" w:type="dxa"/>
          </w:tcPr>
          <w:p>
            <w:pPr>
              <w:spacing w:before="40" w:after="40"/>
            </w:pPr>
            <w:r>
              <w:rPr>
                <w:color w:val="1a1a2e"/>
                <w:sz w:val="20"/>
              </w:rPr>
              <w:t>Better Business Bureau</w:t>
            </w:r>
          </w:p>
        </w:tc>
        <w:tc>
          <w:tcPr>
            <w:tcW w:w="1800" w:type="dxa"/>
          </w:tcPr>
          <w:p>
            <w:pPr>
              <w:spacing w:before="40" w:after="40"/>
            </w:pPr>
            <w:r>
              <w:rPr>
                <w:color w:val="1a1a2e"/>
                <w:sz w:val="20"/>
              </w:rPr>
              <w:t>F (lowest)</w:t>
            </w:r>
          </w:p>
        </w:tc>
        <w:tc>
          <w:tcPr>
            <w:tcW w:w="1800" w:type="dxa"/>
          </w:tcPr>
          <w:p>
            <w:pPr>
              <w:spacing w:before="40" w:after="40"/>
            </w:pPr>
            <w:r>
              <w:rPr>
                <w:color w:val="1a1a2e"/>
                <w:sz w:val="20"/>
              </w:rPr>
              <w:t>7 formal complaints</w:t>
            </w:r>
          </w:p>
        </w:tc>
        <w:tc>
          <w:tcPr>
            <w:tcW w:w="1800" w:type="dxa"/>
          </w:tcPr>
          <w:p>
            <w:pPr>
              <w:spacing w:before="40" w:after="40"/>
            </w:pPr>
            <w:r>
              <w:rPr>
                <w:color w:val="1a1a2e"/>
                <w:sz w:val="20"/>
              </w:rPr>
              <w:t>0% (7/7)</w:t>
            </w:r>
          </w:p>
        </w:tc>
        <w:tc>
          <w:tcPr>
            <w:tcW w:w="1800" w:type="dxa"/>
          </w:tcPr>
          <w:p>
            <w:pPr>
              <w:spacing w:before="40" w:after="40"/>
            </w:pPr>
            <w:r>
              <w:rPr>
                <w:color w:val="1a1a2e"/>
                <w:sz w:val="20"/>
              </w:rPr>
              <w:t>Non-payment; illegal operation (per BBB)</w:t>
            </w:r>
          </w:p>
        </w:tc>
      </w:tr>
      <w:tr>
        <w:tc>
          <w:tcPr>
            <w:tcW w:w="1800" w:type="dxa"/>
            <w:shd w:val="clear" w:fill="F7FAFC"/>
          </w:tcPr>
          <w:p>
            <w:pPr>
              <w:spacing w:before="40" w:after="40"/>
            </w:pPr>
            <w:r>
              <w:rPr>
                <w:color w:val="1a1a2e"/>
                <w:sz w:val="20"/>
              </w:rPr>
              <w:t>Reddit (multiple)</w:t>
            </w:r>
          </w:p>
        </w:tc>
        <w:tc>
          <w:tcPr>
            <w:tcW w:w="1800" w:type="dxa"/>
            <w:shd w:val="clear" w:fill="F7FAFC"/>
          </w:tcPr>
          <w:p>
            <w:pPr>
              <w:spacing w:before="40" w:after="40"/>
            </w:pPr>
            <w:r>
              <w:rPr>
                <w:color w:val="1a1a2e"/>
                <w:sz w:val="20"/>
              </w:rPr>
              <w:t>N/A</w:t>
            </w:r>
          </w:p>
        </w:tc>
        <w:tc>
          <w:tcPr>
            <w:tcW w:w="1800" w:type="dxa"/>
            <w:shd w:val="clear" w:fill="F7FAFC"/>
          </w:tcPr>
          <w:p>
            <w:pPr>
              <w:spacing w:before="40" w:after="40"/>
            </w:pPr>
            <w:r>
              <w:rPr>
                <w:color w:val="1a1a2e"/>
                <w:sz w:val="20"/>
              </w:rPr>
              <w:t>60+ across 5+ subreddits</w:t>
            </w:r>
          </w:p>
        </w:tc>
        <w:tc>
          <w:tcPr>
            <w:tcW w:w="1800" w:type="dxa"/>
            <w:shd w:val="clear" w:fill="F7FAFC"/>
          </w:tcPr>
          <w:p>
            <w:pPr>
              <w:spacing w:before="40" w:after="40"/>
            </w:pPr>
            <w:r>
              <w:rPr>
                <w:color w:val="1a1a2e"/>
                <w:sz w:val="20"/>
              </w:rPr>
              <w:t>Suppression</w:t>
            </w:r>
          </w:p>
        </w:tc>
        <w:tc>
          <w:tcPr>
            <w:tcW w:w="1800" w:type="dxa"/>
            <w:shd w:val="clear" w:fill="F7FAFC"/>
          </w:tcPr>
          <w:p>
            <w:pPr>
              <w:spacing w:before="40" w:after="40"/>
            </w:pPr>
            <w:r>
              <w:rPr>
                <w:color w:val="1a1a2e"/>
                <w:sz w:val="20"/>
              </w:rPr>
              <w:t>Pre-payday suspension; unpaid evals</w:t>
            </w:r>
          </w:p>
        </w:tc>
      </w:tr>
      <w:tr>
        <w:tc>
          <w:tcPr>
            <w:tcW w:w="1800" w:type="dxa"/>
          </w:tcPr>
          <w:p>
            <w:pPr>
              <w:spacing w:before="40" w:after="40"/>
            </w:pPr>
            <w:r>
              <w:rPr>
                <w:color w:val="1a1a2e"/>
                <w:sz w:val="20"/>
              </w:rPr>
              <w:t>TeamBlind (Labelbox)</w:t>
            </w:r>
          </w:p>
        </w:tc>
        <w:tc>
          <w:tcPr>
            <w:tcW w:w="1800" w:type="dxa"/>
          </w:tcPr>
          <w:p>
            <w:pPr>
              <w:spacing w:before="40" w:after="40"/>
            </w:pPr>
            <w:r>
              <w:rPr>
                <w:color w:val="1a1a2e"/>
                <w:sz w:val="20"/>
              </w:rPr>
              <w:t>2.9/5 (39)</w:t>
            </w:r>
          </w:p>
        </w:tc>
        <w:tc>
          <w:tcPr>
            <w:tcW w:w="1800" w:type="dxa"/>
          </w:tcPr>
          <w:p>
            <w:pPr>
              <w:spacing w:before="40" w:after="40"/>
            </w:pPr>
            <w:r>
              <w:rPr>
                <w:color w:val="1a1a2e"/>
                <w:sz w:val="20"/>
              </w:rPr>
              <w:t>Multiple negative</w:t>
            </w:r>
          </w:p>
        </w:tc>
        <w:tc>
          <w:tcPr>
            <w:tcW w:w="1800" w:type="dxa"/>
          </w:tcPr>
          <w:p>
            <w:pPr>
              <w:spacing w:before="40" w:after="40"/>
            </w:pPr>
            <w:r>
              <w:rPr>
                <w:color w:val="1a1a2e"/>
                <w:sz w:val="20"/>
              </w:rPr>
              <w:t>N/A</w:t>
            </w:r>
          </w:p>
        </w:tc>
        <w:tc>
          <w:tcPr>
            <w:tcW w:w="1800" w:type="dxa"/>
          </w:tcPr>
          <w:p>
            <w:pPr>
              <w:spacing w:before="40" w:after="40"/>
            </w:pPr>
            <w:r>
              <w:rPr>
                <w:color w:val="1a1a2e"/>
                <w:sz w:val="20"/>
              </w:rPr>
              <w:t>Incompetent management; near collapse</w:t>
            </w:r>
          </w:p>
        </w:tc>
      </w:tr>
    </w:tbl>
    <w:p>
      <w:pPr>
        <w:pStyle w:val="Heading1"/>
      </w:pPr>
      <w:r>
        <w:t>3. Social Media &amp; Community Forums</w:t>
      </w:r>
      <w:bookmarkStart w:name="_Toc003" w:id="4"/>
      <w:bookmarkEnd w:id="4"/>
    </w:p>
    <w:p>
      <w:pPr>
        <w:pStyle w:val="Heading2"/>
      </w:pPr>
      <w:r>
        <w:t>3.1 Reddit Ecosystem</w:t>
      </w:r>
    </w:p>
    <w:p>
      <w:pPr>
        <w:jc w:val="both"/>
      </w:pPr>
      <w:r>
        <w:t>Reddit is the primary battlefield. Research identified over sixty unique worker complaint posts across fifteen subreddits, with documented unpaid amounts ranging from $30 to $3,500 per worker. The concentration of complaints in r/WFHJobs, r/alignerr, and r/alignerrunofficial tells a story not just of individual grievance but of an escalating arms race between workers seeking accountability and a company deploying increasingly sophisticated tools to silence them.</w:t>
      </w:r>
    </w:p>
    <w:p>
      <w:pPr>
        <w:pStyle w:val="Heading3"/>
      </w:pPr>
      <w:r>
        <w:t>r/alignerr as Company-Controlled Reputation Management Tool</w:t>
      </w:r>
    </w:p>
    <w:p>
      <w:pPr>
        <w:jc w:val="both"/>
      </w:pPr>
      <w:r>
        <w:t>The official r/alignerr subreddit presents itself as a community forum for workers. In practice, it operates as a reputation management asset controlled by Alignerr or its affiliates. Multiple independent workers report that posts raising payment concerns are deleted and the authors banned, often within hours of posting. u/ThumbsUpForCake stated: "I haven't received payment for one project I worked on in September, and when I stated that on their subreddit, I got banned."</w:t>
      </w:r>
    </w:p>
    <w:p>
      <w:pPr>
        <w:pStyle w:val="Heading3"/>
      </w:pPr>
      <w:r>
        <w:t>The Suppression Playbook</w:t>
      </w:r>
    </w:p>
    <w:p>
      <w:pPr>
        <w:jc w:val="both"/>
      </w:pPr>
      <w:r>
        <w:t>What elevates these complaints from anecdote to legally relevant evidence is the documented consistency of the suppression technique. u/LurkSkyStalker provided a step-by-step breakdown: "The mod will message you publicly saying 'We're listening, I just DMed you' and then instruct you to email support in that DM. You'll never speak to a human from support and the mod will never respond after that." This four-stage mechanism - public acknowledgment, private redirect, support black hole, silent deletion - serves a dual corporate function.</w:t>
      </w:r>
    </w:p>
    <w:p>
      <w:pPr>
        <w:pStyle w:val="Heading3"/>
      </w:pPr>
      <w:r>
        <w:t>Critical Finding: The Open Letter and Case #001</w:t>
      </w:r>
    </w:p>
    <w:p>
      <w:pPr>
        <w:jc w:val="both"/>
      </w:pPr>
      <w:r>
        <w:t>The most strategically significant Reddit finding is an open letter posted to r/alignerr by u/Antiso6ial naming four projects - CHP Claude Code, CC Review, NEXT, and Transcript - as having "weeks of completed work still unpaid." These are the exact same projects at issue in Case #001. The post received 47 upvotes and 34 comments, with follow-up comments including "Still no payment. Completely fucking insane" and "Another Friday with no resolutions."</w:t>
      </w:r>
    </w:p>
    <w:p>
      <w:pPr>
        <w:pStyle w:val="Heading2"/>
      </w:pPr>
      <w:r>
        <w:t>3.2 Key Worker Testimonies</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Worker ID</w:t>
            </w:r>
          </w:p>
        </w:tc>
        <w:tc>
          <w:tcPr>
            <w:tcW w:w="2250" w:type="dxa"/>
            <w:shd w:val="clear" w:fill="EDF2F7"/>
          </w:tcPr>
          <w:p>
            <w:pPr>
              <w:spacing w:before="60" w:after="60"/>
            </w:pPr>
            <w:r>
              <w:rPr>
                <w:b/>
                <w:color w:val="1a1a2e"/>
                <w:sz w:val="20"/>
              </w:rPr>
              <w:t>Amount</w:t>
            </w:r>
          </w:p>
        </w:tc>
        <w:tc>
          <w:tcPr>
            <w:tcW w:w="2250" w:type="dxa"/>
            <w:shd w:val="clear" w:fill="EDF2F7"/>
          </w:tcPr>
          <w:p>
            <w:pPr>
              <w:spacing w:before="60" w:after="60"/>
            </w:pPr>
            <w:r>
              <w:rPr>
                <w:b/>
                <w:color w:val="1a1a2e"/>
                <w:sz w:val="20"/>
              </w:rPr>
              <w:t>Platform(s)</w:t>
            </w:r>
          </w:p>
        </w:tc>
        <w:tc>
          <w:tcPr>
            <w:tcW w:w="2250" w:type="dxa"/>
            <w:shd w:val="clear" w:fill="EDF2F7"/>
          </w:tcPr>
          <w:p>
            <w:pPr>
              <w:spacing w:before="60" w:after="60"/>
            </w:pPr>
            <w:r>
              <w:rPr>
                <w:b/>
                <w:color w:val="1a1a2e"/>
                <w:sz w:val="20"/>
              </w:rPr>
              <w:t>Core Allegation</w:t>
            </w:r>
          </w:p>
        </w:tc>
      </w:tr>
      <w:tr>
        <w:tc>
          <w:tcPr>
            <w:tcW w:w="2250" w:type="dxa"/>
          </w:tcPr>
          <w:p>
            <w:pPr>
              <w:spacing w:before="40" w:after="40"/>
            </w:pPr>
            <w:r>
              <w:rPr>
                <w:color w:val="1a1a2e"/>
                <w:sz w:val="20"/>
              </w:rPr>
              <w:t>u/Wooden_Ad1472</w:t>
            </w:r>
          </w:p>
        </w:tc>
        <w:tc>
          <w:tcPr>
            <w:tcW w:w="2250" w:type="dxa"/>
          </w:tcPr>
          <w:p>
            <w:pPr>
              <w:spacing w:before="40" w:after="40"/>
            </w:pPr>
            <w:r>
              <w:rPr>
                <w:color w:val="1a1a2e"/>
                <w:sz w:val="20"/>
              </w:rPr>
              <w:t>$975</w:t>
            </w:r>
          </w:p>
        </w:tc>
        <w:tc>
          <w:tcPr>
            <w:tcW w:w="2250" w:type="dxa"/>
          </w:tcPr>
          <w:p>
            <w:pPr>
              <w:spacing w:before="40" w:after="40"/>
            </w:pPr>
            <w:r>
              <w:rPr>
                <w:color w:val="1a1a2e"/>
                <w:sz w:val="20"/>
              </w:rPr>
              <w:t>r/WFHJobs</w:t>
            </w:r>
          </w:p>
        </w:tc>
        <w:tc>
          <w:tcPr>
            <w:tcW w:w="2250" w:type="dxa"/>
          </w:tcPr>
          <w:p>
            <w:pPr>
              <w:spacing w:before="40" w:after="40"/>
            </w:pPr>
            <w:r>
              <w:rPr>
                <w:color w:val="1a1a2e"/>
                <w:sz w:val="20"/>
              </w:rPr>
              <w:t>Deactivated after calling out team dynamics</w:t>
            </w:r>
          </w:p>
        </w:tc>
      </w:tr>
      <w:tr>
        <w:tc>
          <w:tcPr>
            <w:tcW w:w="2250" w:type="dxa"/>
            <w:shd w:val="clear" w:fill="F7FAFC"/>
          </w:tcPr>
          <w:p>
            <w:pPr>
              <w:spacing w:before="40" w:after="40"/>
            </w:pPr>
            <w:r>
              <w:rPr>
                <w:color w:val="1a1a2e"/>
                <w:sz w:val="20"/>
              </w:rPr>
              <w:t>u/Even-Ad-3759</w:t>
            </w:r>
          </w:p>
        </w:tc>
        <w:tc>
          <w:tcPr>
            <w:tcW w:w="2250" w:type="dxa"/>
            <w:shd w:val="clear" w:fill="F7FAFC"/>
          </w:tcPr>
          <w:p>
            <w:pPr>
              <w:spacing w:before="40" w:after="40"/>
            </w:pPr>
            <w:r>
              <w:rPr>
                <w:color w:val="1a1a2e"/>
                <w:sz w:val="20"/>
              </w:rPr>
              <w:t>$800</w:t>
            </w:r>
          </w:p>
        </w:tc>
        <w:tc>
          <w:tcPr>
            <w:tcW w:w="2250" w:type="dxa"/>
            <w:shd w:val="clear" w:fill="F7FAFC"/>
          </w:tcPr>
          <w:p>
            <w:pPr>
              <w:spacing w:before="40" w:after="40"/>
            </w:pPr>
            <w:r>
              <w:rPr>
                <w:color w:val="1a1a2e"/>
                <w:sz w:val="20"/>
              </w:rPr>
              <w:t>r/WFHJobs</w:t>
            </w:r>
          </w:p>
        </w:tc>
        <w:tc>
          <w:tcPr>
            <w:tcW w:w="2250" w:type="dxa"/>
            <w:shd w:val="clear" w:fill="F7FAFC"/>
          </w:tcPr>
          <w:p>
            <w:pPr>
              <w:spacing w:before="40" w:after="40"/>
            </w:pPr>
            <w:r>
              <w:rPr>
                <w:color w:val="1a1a2e"/>
                <w:sz w:val="20"/>
              </w:rPr>
              <w:t>Paid 4 months, cutoff upon inquiry about back pay</w:t>
            </w:r>
          </w:p>
        </w:tc>
      </w:tr>
      <w:tr>
        <w:tc>
          <w:tcPr>
            <w:tcW w:w="2250" w:type="dxa"/>
          </w:tcPr>
          <w:p>
            <w:pPr>
              <w:spacing w:before="40" w:after="40"/>
            </w:pPr>
            <w:r>
              <w:rPr>
                <w:color w:val="1a1a2e"/>
                <w:sz w:val="20"/>
              </w:rPr>
              <w:t>"Maria" (Icy Tales)</w:t>
            </w:r>
          </w:p>
        </w:tc>
        <w:tc>
          <w:tcPr>
            <w:tcW w:w="2250" w:type="dxa"/>
          </w:tcPr>
          <w:p>
            <w:pPr>
              <w:spacing w:before="40" w:after="40"/>
            </w:pPr>
            <w:r>
              <w:rPr>
                <w:color w:val="1a1a2e"/>
                <w:sz w:val="20"/>
              </w:rPr>
              <w:t>$2,100</w:t>
            </w:r>
          </w:p>
        </w:tc>
        <w:tc>
          <w:tcPr>
            <w:tcW w:w="2250" w:type="dxa"/>
          </w:tcPr>
          <w:p>
            <w:pPr>
              <w:spacing w:before="40" w:after="40"/>
            </w:pPr>
            <w:r>
              <w:rPr>
                <w:color w:val="1a1a2e"/>
                <w:sz w:val="20"/>
              </w:rPr>
              <w:t>IcyTales.com</w:t>
            </w:r>
          </w:p>
        </w:tc>
        <w:tc>
          <w:tcPr>
            <w:tcW w:w="2250" w:type="dxa"/>
          </w:tcPr>
          <w:p>
            <w:pPr>
              <w:spacing w:before="40" w:after="40"/>
            </w:pPr>
            <w:r>
              <w:rPr>
                <w:color w:val="1a1a2e"/>
                <w:sz w:val="20"/>
              </w:rPr>
              <w:t>62 tasks at 4.4/5, promoted, then terminated</w:t>
            </w:r>
          </w:p>
        </w:tc>
      </w:tr>
      <w:tr>
        <w:tc>
          <w:tcPr>
            <w:tcW w:w="2250" w:type="dxa"/>
            <w:shd w:val="clear" w:fill="F7FAFC"/>
          </w:tcPr>
          <w:p>
            <w:pPr>
              <w:spacing w:before="40" w:after="40"/>
            </w:pPr>
            <w:r>
              <w:rPr>
                <w:color w:val="1a1a2e"/>
                <w:sz w:val="20"/>
              </w:rPr>
              <w:t>u/Comfortable-Market22</w:t>
            </w:r>
          </w:p>
        </w:tc>
        <w:tc>
          <w:tcPr>
            <w:tcW w:w="2250" w:type="dxa"/>
            <w:shd w:val="clear" w:fill="F7FAFC"/>
          </w:tcPr>
          <w:p>
            <w:pPr>
              <w:spacing w:before="40" w:after="40"/>
            </w:pPr>
            <w:r>
              <w:rPr>
                <w:color w:val="1a1a2e"/>
                <w:sz w:val="20"/>
              </w:rPr>
              <w:t>$1,000-$2,000</w:t>
            </w:r>
          </w:p>
        </w:tc>
        <w:tc>
          <w:tcPr>
            <w:tcW w:w="2250" w:type="dxa"/>
            <w:shd w:val="clear" w:fill="F7FAFC"/>
          </w:tcPr>
          <w:p>
            <w:pPr>
              <w:spacing w:before="40" w:after="40"/>
            </w:pPr>
            <w:r>
              <w:rPr>
                <w:color w:val="1a1a2e"/>
                <w:sz w:val="20"/>
              </w:rPr>
              <w:t>r/WFHJobs</w:t>
            </w:r>
          </w:p>
        </w:tc>
        <w:tc>
          <w:tcPr>
            <w:tcW w:w="2250" w:type="dxa"/>
            <w:shd w:val="clear" w:fill="F7FAFC"/>
          </w:tcPr>
          <w:p>
            <w:pPr>
              <w:spacing w:before="40" w:after="40"/>
            </w:pPr>
            <w:r>
              <w:rPr>
                <w:color w:val="1a1a2e"/>
                <w:sz w:val="20"/>
              </w:rPr>
              <w:t>Payment bug affecting 100+ reviewers</w:t>
            </w:r>
          </w:p>
        </w:tc>
      </w:tr>
      <w:tr>
        <w:tc>
          <w:tcPr>
            <w:tcW w:w="2250" w:type="dxa"/>
          </w:tcPr>
          <w:p>
            <w:pPr>
              <w:spacing w:before="40" w:after="40"/>
            </w:pPr>
            <w:r>
              <w:rPr>
                <w:color w:val="1a1a2e"/>
                <w:sz w:val="20"/>
              </w:rPr>
              <w:t>u/kingoflosers8</w:t>
            </w:r>
          </w:p>
        </w:tc>
        <w:tc>
          <w:tcPr>
            <w:tcW w:w="2250" w:type="dxa"/>
          </w:tcPr>
          <w:p>
            <w:pPr>
              <w:spacing w:before="40" w:after="40"/>
            </w:pPr>
            <w:r>
              <w:rPr>
                <w:color w:val="1a1a2e"/>
                <w:sz w:val="20"/>
              </w:rPr>
              <w:t>~6 hrs (~$180-$240)</w:t>
            </w:r>
          </w:p>
        </w:tc>
        <w:tc>
          <w:tcPr>
            <w:tcW w:w="2250" w:type="dxa"/>
          </w:tcPr>
          <w:p>
            <w:pPr>
              <w:spacing w:before="40" w:after="40"/>
            </w:pPr>
            <w:r>
              <w:rPr>
                <w:color w:val="1a1a2e"/>
                <w:sz w:val="20"/>
              </w:rPr>
              <w:t>r/alignerr</w:t>
            </w:r>
          </w:p>
        </w:tc>
        <w:tc>
          <w:tcPr>
            <w:tcW w:w="2250" w:type="dxa"/>
          </w:tcPr>
          <w:p>
            <w:pPr>
              <w:spacing w:before="40" w:after="40"/>
            </w:pPr>
            <w:r>
              <w:rPr>
                <w:color w:val="1a1a2e"/>
                <w:sz w:val="20"/>
              </w:rPr>
              <w:t>CHP Claude Code: 6 hrs work, 6 weeks silence</w:t>
            </w:r>
          </w:p>
        </w:tc>
      </w:tr>
    </w:tbl>
    <w:p>
      <w:pPr>
        <w:pStyle w:val="Heading2"/>
      </w:pPr>
      <w:r>
        <w:t>3.3 Twitter/X, LinkedIn &amp; Other Platforms</w:t>
      </w:r>
    </w:p>
    <w:p>
      <w:pPr>
        <w:pStyle w:val="Heading3"/>
      </w:pPr>
      <w:r>
        <w:t>Breaking Even Newsletter: Data-Driven Sentiment Collapse</w:t>
      </w:r>
    </w:p>
    <w:p>
      <w:pPr>
        <w:jc w:val="both"/>
      </w:pPr>
      <w:r>
        <w:t>The Breaking Even newsletter (breakingeven.online), which tracks AI gig platform health through automated sentiment analysis of community posts, provides the most quantified external assessment of Alignerr's worker relations. In its April 22, 2026 edition, Breaking Even rated Alignerr sentiment at 27 out of 100 - "still the lowest of any platform we track" and "still trending down." Payment issues appeared in 13.7% of all posts - "one in seven" - an extraordinary concentration for a single issue category.</w:t>
      </w:r>
    </w:p>
    <w:p>
      <w:pPr>
        <w:pStyle w:val="Heading3"/>
      </w:pPr>
      <w:r>
        <w:t>Blind Anonymous Posts: Internal Confirmation of Financial Distress</w:t>
      </w:r>
    </w:p>
    <w:p>
      <w:pPr>
        <w:jc w:val="both"/>
      </w:pPr>
      <w:r>
        <w:t>A senior software engineer posted in October 2024: "They've burned the rest of their runway on this shitty Alignerr platform, and are not getting enough contracts to justify it. I expect them to declare bankruptcy soon." A second Blind post from March 2026 added: "Fired people at whim, and sue who jump to opponent."</w:t>
      </w:r>
    </w:p>
    <w:p>
      <w:pPr>
        <w:pStyle w:val="Heading1"/>
      </w:pPr>
      <w:r>
        <w:t>4. AI Training Worker Communities</w:t>
      </w:r>
      <w:bookmarkStart w:name="_Toc004" w:id="5"/>
      <w:bookmarkEnd w:id="5"/>
    </w:p>
    <w:p>
      <w:pPr>
        <w:pStyle w:val="Heading2"/>
      </w:pPr>
      <w:r>
        <w:t>4.1 Cross-Platform Pattern Documentation</w:t>
      </w:r>
    </w:p>
    <w:p>
      <w:pPr>
        <w:pStyle w:val="Heading3"/>
      </w:pPr>
      <w:r>
        <w:t>Workers Describe a "Small, Incestuous World"</w:t>
      </w:r>
    </w:p>
    <w:p>
      <w:pPr>
        <w:jc w:val="both"/>
      </w:pPr>
      <w:r>
        <w:t>AI data annotation workers do not migrate between platforms by accident. They move because each platform follows the same script - generous onboarding, months of consistent payment, then sudden termination the moment a worker questions unpaid wages or reaches a cumulative balance threshold. A veteran annotator with experience at Appen, Outlier, and Alignerr captured this cycle: "They're only nice to you because you're still new. Wait until 6 months in, and they'll show their true colors."</w:t>
      </w:r>
    </w:p>
    <w:p>
      <w:pPr>
        <w:pStyle w:val="Heading3"/>
      </w:pPr>
      <w:r>
        <w:t>Fear of Blacklisting and the Silence Economy</w:t>
      </w:r>
    </w:p>
    <w:p>
      <w:pPr>
        <w:jc w:val="both"/>
      </w:pPr>
      <w:r>
        <w:t>The reason these patterns persist is not that workers fail to recognize them. It is that speaking out carries what amounts to professional exile. The Icy Tales investigation found that workers uniformly requested anonymity, "fearing that speaking publicly could torpedo her chances of finding work on other platforms in the small, incestuous world of AI data annotation."</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Platform</w:t>
            </w:r>
          </w:p>
        </w:tc>
        <w:tc>
          <w:tcPr>
            <w:tcW w:w="2250" w:type="dxa"/>
            <w:shd w:val="clear" w:fill="EDF2F7"/>
          </w:tcPr>
          <w:p>
            <w:pPr>
              <w:spacing w:before="60" w:after="60"/>
            </w:pPr>
            <w:r>
              <w:rPr>
                <w:b/>
                <w:color w:val="1a1a2e"/>
                <w:sz w:val="20"/>
              </w:rPr>
              <w:t>Class Action Filed</w:t>
            </w:r>
          </w:p>
        </w:tc>
        <w:tc>
          <w:tcPr>
            <w:tcW w:w="2250" w:type="dxa"/>
            <w:shd w:val="clear" w:fill="EDF2F7"/>
          </w:tcPr>
          <w:p>
            <w:pPr>
              <w:spacing w:before="60" w:after="60"/>
            </w:pPr>
            <w:r>
              <w:rPr>
                <w:b/>
                <w:color w:val="1a1a2e"/>
                <w:sz w:val="20"/>
              </w:rPr>
              <w:t>Core Allegations</w:t>
            </w:r>
          </w:p>
        </w:tc>
        <w:tc>
          <w:tcPr>
            <w:tcW w:w="2250" w:type="dxa"/>
            <w:shd w:val="clear" w:fill="EDF2F7"/>
          </w:tcPr>
          <w:p>
            <w:pPr>
              <w:spacing w:before="60" w:after="60"/>
            </w:pPr>
            <w:r>
              <w:rPr>
                <w:b/>
                <w:color w:val="1a1a2e"/>
                <w:sz w:val="20"/>
              </w:rPr>
              <w:t>Status</w:t>
            </w:r>
          </w:p>
        </w:tc>
      </w:tr>
      <w:tr>
        <w:tc>
          <w:tcPr>
            <w:tcW w:w="2250" w:type="dxa"/>
          </w:tcPr>
          <w:p>
            <w:pPr>
              <w:spacing w:before="40" w:after="40"/>
            </w:pPr>
            <w:r>
              <w:rPr>
                <w:color w:val="1a1a2e"/>
                <w:sz w:val="20"/>
              </w:rPr>
              <w:t>Scale AI / Outlier (Clarkson)</w:t>
            </w:r>
          </w:p>
        </w:tc>
        <w:tc>
          <w:tcPr>
            <w:tcW w:w="2250" w:type="dxa"/>
          </w:tcPr>
          <w:p>
            <w:pPr>
              <w:spacing w:before="40" w:after="40"/>
            </w:pPr>
            <w:r>
              <w:rPr>
                <w:color w:val="1a1a2e"/>
                <w:sz w:val="20"/>
              </w:rPr>
              <w:t>Dec 2024</w:t>
            </w:r>
          </w:p>
        </w:tc>
        <w:tc>
          <w:tcPr>
            <w:tcW w:w="2250" w:type="dxa"/>
          </w:tcPr>
          <w:p>
            <w:pPr>
              <w:spacing w:before="40" w:after="40"/>
            </w:pPr>
            <w:r>
              <w:rPr>
                <w:color w:val="1a1a2e"/>
                <w:sz w:val="20"/>
              </w:rPr>
              <w:t>Misclassification, wage theft, unpaid training, psychological harm</w:t>
            </w:r>
          </w:p>
        </w:tc>
        <w:tc>
          <w:tcPr>
            <w:tcW w:w="2250" w:type="dxa"/>
          </w:tcPr>
          <w:p>
            <w:pPr>
              <w:spacing w:before="40" w:after="40"/>
            </w:pPr>
            <w:r>
              <w:rPr>
                <w:color w:val="1a1a2e"/>
                <w:sz w:val="20"/>
              </w:rPr>
              <w:t>Active, SF Superior Court</w:t>
            </w:r>
          </w:p>
        </w:tc>
      </w:tr>
      <w:tr>
        <w:tc>
          <w:tcPr>
            <w:tcW w:w="2250" w:type="dxa"/>
            <w:shd w:val="clear" w:fill="F7FAFC"/>
          </w:tcPr>
          <w:p>
            <w:pPr>
              <w:spacing w:before="40" w:after="40"/>
            </w:pPr>
            <w:r>
              <w:rPr>
                <w:color w:val="1a1a2e"/>
                <w:sz w:val="20"/>
              </w:rPr>
              <w:t>Scale AI / Outlier (Bryan Schwartz)</w:t>
            </w:r>
          </w:p>
        </w:tc>
        <w:tc>
          <w:tcPr>
            <w:tcW w:w="2250" w:type="dxa"/>
            <w:shd w:val="clear" w:fill="F7FAFC"/>
          </w:tcPr>
          <w:p>
            <w:pPr>
              <w:spacing w:before="40" w:after="40"/>
            </w:pPr>
            <w:r>
              <w:rPr>
                <w:color w:val="1a1a2e"/>
                <w:sz w:val="20"/>
              </w:rPr>
              <w:t>Jan 2025</w:t>
            </w:r>
          </w:p>
        </w:tc>
        <w:tc>
          <w:tcPr>
            <w:tcW w:w="2250" w:type="dxa"/>
            <w:shd w:val="clear" w:fill="F7FAFC"/>
          </w:tcPr>
          <w:p>
            <w:pPr>
              <w:spacing w:before="40" w:after="40"/>
            </w:pPr>
            <w:r>
              <w:rPr>
                <w:color w:val="1a1a2e"/>
                <w:sz w:val="20"/>
              </w:rPr>
              <w:t>PAGA action: effective $15/hr wage below CA minimum</w:t>
            </w:r>
          </w:p>
        </w:tc>
        <w:tc>
          <w:tcPr>
            <w:tcW w:w="2250" w:type="dxa"/>
            <w:shd w:val="clear" w:fill="F7FAFC"/>
          </w:tcPr>
          <w:p>
            <w:pPr>
              <w:spacing w:before="40" w:after="40"/>
            </w:pPr>
            <w:r>
              <w:rPr>
                <w:color w:val="1a1a2e"/>
                <w:sz w:val="20"/>
              </w:rPr>
              <w:t>Active</w:t>
            </w:r>
          </w:p>
        </w:tc>
      </w:tr>
      <w:tr>
        <w:tc>
          <w:tcPr>
            <w:tcW w:w="2250" w:type="dxa"/>
          </w:tcPr>
          <w:p>
            <w:pPr>
              <w:spacing w:before="40" w:after="40"/>
            </w:pPr>
            <w:r>
              <w:rPr>
                <w:color w:val="1a1a2e"/>
                <w:sz w:val="20"/>
              </w:rPr>
              <w:t>Surge AI / DataAnnotation.Tech (Clarkson)</w:t>
            </w:r>
          </w:p>
        </w:tc>
        <w:tc>
          <w:tcPr>
            <w:tcW w:w="2250" w:type="dxa"/>
          </w:tcPr>
          <w:p>
            <w:pPr>
              <w:spacing w:before="40" w:after="40"/>
            </w:pPr>
            <w:r>
              <w:rPr>
                <w:color w:val="1a1a2e"/>
                <w:sz w:val="20"/>
              </w:rPr>
              <w:t>May 2025</w:t>
            </w:r>
          </w:p>
        </w:tc>
        <w:tc>
          <w:tcPr>
            <w:tcW w:w="2250" w:type="dxa"/>
          </w:tcPr>
          <w:p>
            <w:pPr>
              <w:spacing w:before="40" w:after="40"/>
            </w:pPr>
            <w:r>
              <w:rPr>
                <w:color w:val="1a1a2e"/>
                <w:sz w:val="20"/>
              </w:rPr>
              <w:t>Deliberate misclassification, unpaid training, impossible time limits</w:t>
            </w:r>
          </w:p>
        </w:tc>
        <w:tc>
          <w:tcPr>
            <w:tcW w:w="2250" w:type="dxa"/>
          </w:tcPr>
          <w:p>
            <w:pPr>
              <w:spacing w:before="40" w:after="40"/>
            </w:pPr>
            <w:r>
              <w:rPr>
                <w:color w:val="1a1a2e"/>
                <w:sz w:val="20"/>
              </w:rPr>
              <w:t>Active</w:t>
            </w:r>
          </w:p>
        </w:tc>
      </w:tr>
      <w:tr>
        <w:tc>
          <w:tcPr>
            <w:tcW w:w="2250" w:type="dxa"/>
            <w:shd w:val="clear" w:fill="F7FAFC"/>
          </w:tcPr>
          <w:p>
            <w:pPr>
              <w:spacing w:before="40" w:after="40"/>
            </w:pPr>
            <w:r>
              <w:rPr>
                <w:color w:val="1a1a2e"/>
                <w:sz w:val="20"/>
              </w:rPr>
              <w:t>Alignerr / Labelbox</w:t>
            </w:r>
          </w:p>
        </w:tc>
        <w:tc>
          <w:tcPr>
            <w:tcW w:w="2250" w:type="dxa"/>
            <w:shd w:val="clear" w:fill="F7FAFC"/>
          </w:tcPr>
          <w:p>
            <w:pPr>
              <w:spacing w:before="40" w:after="40"/>
            </w:pPr>
            <w:r>
              <w:rPr>
                <w:color w:val="1a1a2e"/>
                <w:sz w:val="20"/>
              </w:rPr>
              <w:t>Not yet</w:t>
            </w:r>
          </w:p>
        </w:tc>
        <w:tc>
          <w:tcPr>
            <w:tcW w:w="2250" w:type="dxa"/>
            <w:shd w:val="clear" w:fill="F7FAFC"/>
          </w:tcPr>
          <w:p>
            <w:pPr>
              <w:spacing w:before="40" w:after="40"/>
            </w:pPr>
            <w:r>
              <w:rPr>
                <w:color w:val="1a1a2e"/>
                <w:sz w:val="20"/>
              </w:rPr>
              <w:t>-</w:t>
            </w:r>
          </w:p>
        </w:tc>
        <w:tc>
          <w:tcPr>
            <w:tcW w:w="2250" w:type="dxa"/>
            <w:shd w:val="clear" w:fill="F7FAFC"/>
          </w:tcPr>
          <w:p>
            <w:pPr>
              <w:spacing w:before="40" w:after="40"/>
            </w:pPr>
            <w:r>
              <w:rPr>
                <w:color w:val="1a1a2e"/>
                <w:sz w:val="20"/>
              </w:rPr>
              <w:t>Organizing underway</w:t>
            </w:r>
          </w:p>
        </w:tc>
      </w:tr>
    </w:tbl>
    <w:p>
      <w:pPr>
        <w:pStyle w:val="Heading2"/>
      </w:pPr>
      <w:r>
        <w:t>4.2 Industry-Scale Analysis</w:t>
      </w:r>
    </w:p>
    <w:p>
      <w:pPr>
        <w:pStyle w:val="Heading3"/>
      </w:pPr>
      <w:r>
        <w:t>Oxford Fairwork: No Platform Meets the Bare Minimum</w:t>
      </w:r>
    </w:p>
    <w:p>
      <w:pPr>
        <w:jc w:val="both"/>
      </w:pPr>
      <w:r>
        <w:t>The Oxford Internet Institute's Fairwork project scored companies across five dimensions: fair pay, fair conditions, fair contracts, fair management, and fair representation. The 2023 Cloudwork Ratings found that none of the fifteen assessed platforms scored better than the "bare minimum." Appen received 3 out of 10 points. Scale AI's Remotasks received 1 out of 10. Microworkers and Amazon's Mechanical Turk scored zero.</w:t>
      </w:r>
    </w:p>
    <w:p>
      <w:pPr>
        <w:pStyle w:val="Heading3"/>
      </w:pPr>
      <w:r>
        <w:t>Brookings Institution: Systemic Wage Theft and Psychological Harm</w:t>
      </w:r>
    </w:p>
    <w:p>
      <w:pPr>
        <w:jc w:val="both"/>
      </w:pPr>
      <w:r>
        <w:t>The Brookings Institution's October 2025 report, "Reimagining the Future of Data and AI Labor in the Global South," drawing on a 2025 Equidem survey of 76 workers from Colombia, Ghana, and Kenya, documented 60 independent incidents of psychological harm, including anxiety, depression, irritability, panic attacks, post-traumatic stress disorder, and substance dependence.</w:t>
      </w:r>
    </w:p>
    <w:p>
      <w:pPr>
        <w:pStyle w:val="Heading3"/>
      </w:pPr>
      <w:r>
        <w:t>CWA: "Ghost Workers in the AI Machine"</w:t>
      </w:r>
    </w:p>
    <w:p>
      <w:pPr>
        <w:jc w:val="both"/>
      </w:pPr>
      <w:r>
        <w:t>The Communications Workers of America's July 2025 report, "Ghost Workers in the AI Machine," brought union legitimacy to the documentation of AI worker exploitation. The report's survey of data raters found a median wage of $15 per hour and revealed that 86 percent of workers worried about meeting basic needs.</w:t>
      </w:r>
    </w:p>
    <w:p>
      <w:pPr>
        <w:pStyle w:val="Heading2"/>
      </w:pPr>
      <w:r>
        <w:t>4.3 Worker Organizing Evidence</w:t>
      </w:r>
    </w:p>
    <w:p>
      <w:pPr>
        <w:pStyle w:val="Heading3"/>
      </w:pPr>
      <w:r>
        <w:t>Independent Discord Communities: 1,500+ Members</w:t>
      </w:r>
    </w:p>
    <w:p>
      <w:pPr>
        <w:jc w:val="both"/>
      </w:pPr>
      <w:r>
        <w:t>As company-controlled channels have become instruments of suppression, workers have built independent communication infrastructure. An AI annotation worker with 1.5 years of cross-platform experience launched a Discord community in September 2025 that grew to over 1,500 members within months. A second server, "Open Info Hub," launched in December 2025 as an explicitly disaffiliated community resource.</w:t>
      </w:r>
    </w:p>
    <w:p>
      <w:pPr>
        <w:pStyle w:val="Heading3"/>
      </w:pPr>
      <w:r>
        <w:t>Data Workers' Inquiry: Global Participatory Research</w:t>
      </w:r>
    </w:p>
    <w:p>
      <w:pPr>
        <w:jc w:val="both"/>
      </w:pPr>
      <w:r>
        <w:t>The Data Workers' Inquiry, led by Dr. Milagros Miceli at the Weizenbaum Institute in Berlin and supported by the Distributed AI Research Institute (DAIR), represents a methodological breakthrough in labor documentation. Rather than academics studying workers as objects, the project makes data workers themselves community researchers across nine countries and five continents.</w:t>
      </w:r>
    </w:p>
    <w:p>
      <w:pPr>
        <w:pStyle w:val="Heading3"/>
      </w:pPr>
      <w:r>
        <w:t>Data Labelers Association (Kenya): Worker-Formed Advocacy</w:t>
      </w:r>
    </w:p>
    <w:p>
      <w:pPr>
        <w:jc w:val="both"/>
      </w:pPr>
      <w:r>
        <w:t>The most concrete expression of worker organizing is the Data Labelers Association, founded in Kenya in 2025. Kenya has become an unexpected epicenter of AI labor organizing. The Data Labelers Association joined forces with the African Content Moderators Union and the Global Trade Union Alliance of Content Moderators to pursue legal action against Remotasks for mass account closures without payment.</w:t>
      </w:r>
    </w:p>
    <w:p>
      <w:pPr>
        <w:pStyle w:val="Heading1"/>
      </w:pPr>
      <w:r>
        <w:t>5. Legal &amp; Regulatory Records</w:t>
      </w:r>
      <w:bookmarkStart w:name="_Toc005" w:id="6"/>
      <w:bookmarkEnd w:id="6"/>
    </w:p>
    <w:p>
      <w:pPr>
        <w:pStyle w:val="Heading2"/>
      </w:pPr>
      <w:r>
        <w:t>5.1 Active Litigation</w:t>
      </w:r>
    </w:p>
    <w:p>
      <w:pPr>
        <w:pStyle w:val="Heading3"/>
      </w:pPr>
      <w:r>
        <w:t>5.1.1 Stepan Malkov v. Labelbox, Inc. (Case #25STCV25687)</w:t>
      </w:r>
    </w:p>
    <w:p>
      <w:pPr>
        <w:jc w:val="both"/>
      </w:pPr>
      <w:r>
        <w:t>The centerpiece action is a class-action and PAGA suit filed September 2, 2025, in the Los Angeles County Superior Court, assigned to the Hon. Samantha Jessner. Plaintiff Stepan Malkov alleges that Labelbox - operating its worker-facing platform as Alignerr - systematically misclassified hourly, non-exempt employees as independent contractors to avoid paying minimum wages, overtime, meal and rest period premiums, and other wage-and-hour protections.</w:t>
      </w:r>
    </w:p>
    <w:p>
      <w:pPr>
        <w:jc w:val="both"/>
      </w:pPr>
      <w:r>
        <w:t>Trellis.law analysis estimates the financial exposure: unpaid wages of $616,822.75; rest break violations ranging from $1,644,725.53 to $4,111,813.83; and total potential class exposure between $2.3 million and $4.7 million, exclusive of PAGA penalties. Adding PAGA penalties at $100-$200 per aggrieved employee per pay period, plus enhanced civil penalties under Section 226.8 for willful misclassification ($5,000-$25,000 per violation), total exposure easily crosses into eight-figure territory.</w:t>
      </w:r>
    </w:p>
    <w:p>
      <w:pPr>
        <w:pStyle w:val="Heading3"/>
      </w:pPr>
      <w:r>
        <w:t>5.1.2 Labelbox, Inc. v. Kshitij Gujarati (3:25-cv-10159)</w:t>
      </w:r>
    </w:p>
    <w:p>
      <w:pPr>
        <w:jc w:val="both"/>
      </w:pPr>
      <w:r>
        <w:t>This Northern District of California action reveals Labelbox's litigation posture and settlement willingness. Labelbox sued former Head of Product for DTSA trade-secret misappropriation. The court granted a TRO the day after filing and stayed proceedings to facilitate settlement negotiations. The settlement negotiations demonstrate that Labelbox will resolve disputes through negotiation when litigation costs become apparent.</w:t>
      </w:r>
    </w:p>
    <w:p>
      <w:pPr>
        <w:pStyle w:val="Heading2"/>
      </w:pPr>
      <w:r>
        <w:t>5.2 Regulatory Complaints</w:t>
      </w:r>
    </w:p>
    <w:p>
      <w:pPr>
        <w:pStyle w:val="Heading3"/>
      </w:pPr>
      <w:r>
        <w:t>5.2.1 PAGA Notice Filed with the California LWDA</w:t>
      </w:r>
    </w:p>
    <w:p>
      <w:pPr>
        <w:jc w:val="both"/>
      </w:pPr>
      <w:r>
        <w:t>Stepan Malkov filed his PAGA notice on July 24, 2025, six weeks before the civil complaint, alleging Labor Code violations by Labelbox Inc operating as Alignerr. The LWDA's decision not to intervene cleared the path for private enforcement and placed Labelbox on formal regulatory notice.</w:t>
      </w:r>
    </w:p>
    <w:p>
      <w:pPr>
        <w:pStyle w:val="Heading3"/>
      </w:pPr>
      <w:r>
        <w:t>5.2.2 FTC and State Attorney General Complaints</w:t>
      </w:r>
    </w:p>
    <w:p>
      <w:pPr>
        <w:jc w:val="both"/>
      </w:pPr>
      <w:r>
        <w:t>Workers have also pursued federal and state consumer-protection channels. Step-by-step guides posted to Reddit advise filing with the Federal Trade Commission and state Attorneys General. At least one worker confirmed filing with both the FTC and the Ohio Attorney General.</w:t>
      </w:r>
    </w:p>
    <w:p>
      <w:pPr>
        <w:pStyle w:val="Heading2"/>
      </w:pPr>
      <w:r>
        <w:t>5.3 Legal Framework Analysis</w:t>
      </w:r>
    </w:p>
    <w:p>
      <w:pPr>
        <w:pStyle w:val="Heading3"/>
      </w:pPr>
      <w:r>
        <w:t>5.3.1 Applicable California Labor Code Provisions</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Statute</w:t>
            </w:r>
          </w:p>
        </w:tc>
        <w:tc>
          <w:tcPr>
            <w:tcW w:w="2250" w:type="dxa"/>
            <w:shd w:val="clear" w:fill="EDF2F7"/>
          </w:tcPr>
          <w:p>
            <w:pPr>
              <w:spacing w:before="60" w:after="60"/>
            </w:pPr>
            <w:r>
              <w:rPr>
                <w:b/>
                <w:color w:val="1a1a2e"/>
                <w:sz w:val="20"/>
              </w:rPr>
              <w:t>Violation</w:t>
            </w:r>
          </w:p>
        </w:tc>
        <w:tc>
          <w:tcPr>
            <w:tcW w:w="2250" w:type="dxa"/>
            <w:shd w:val="clear" w:fill="EDF2F7"/>
          </w:tcPr>
          <w:p>
            <w:pPr>
              <w:spacing w:before="60" w:after="60"/>
            </w:pPr>
            <w:r>
              <w:rPr>
                <w:b/>
                <w:color w:val="1a1a2e"/>
                <w:sz w:val="20"/>
              </w:rPr>
              <w:t>Penalty per Violation</w:t>
            </w:r>
          </w:p>
        </w:tc>
        <w:tc>
          <w:tcPr>
            <w:tcW w:w="2250" w:type="dxa"/>
            <w:shd w:val="clear" w:fill="EDF2F7"/>
          </w:tcPr>
          <w:p>
            <w:pPr>
              <w:spacing w:before="60" w:after="60"/>
            </w:pPr>
            <w:r>
              <w:rPr>
                <w:b/>
                <w:color w:val="1a1a2e"/>
                <w:sz w:val="20"/>
              </w:rPr>
              <w:t>Est. Aggregate (62 Workers)</w:t>
            </w:r>
          </w:p>
        </w:tc>
      </w:tr>
      <w:tr>
        <w:tc>
          <w:tcPr>
            <w:tcW w:w="2250" w:type="dxa"/>
          </w:tcPr>
          <w:p>
            <w:pPr>
              <w:spacing w:before="40" w:after="40"/>
            </w:pPr>
            <w:r>
              <w:rPr>
                <w:color w:val="1a1a2e"/>
                <w:sz w:val="20"/>
              </w:rPr>
              <w:t>Lab. Code Section 226.8(b)</w:t>
            </w:r>
          </w:p>
        </w:tc>
        <w:tc>
          <w:tcPr>
            <w:tcW w:w="2250" w:type="dxa"/>
          </w:tcPr>
          <w:p>
            <w:pPr>
              <w:spacing w:before="40" w:after="40"/>
            </w:pPr>
            <w:r>
              <w:rPr>
                <w:color w:val="1a1a2e"/>
                <w:sz w:val="20"/>
              </w:rPr>
              <w:t>Willful misclassification</w:t>
            </w:r>
          </w:p>
        </w:tc>
        <w:tc>
          <w:tcPr>
            <w:tcW w:w="2250" w:type="dxa"/>
          </w:tcPr>
          <w:p>
            <w:pPr>
              <w:spacing w:before="40" w:after="40"/>
            </w:pPr>
            <w:r>
              <w:rPr>
                <w:color w:val="1a1a2e"/>
                <w:sz w:val="20"/>
              </w:rPr>
              <w:t>$5,000-$15,000</w:t>
            </w:r>
          </w:p>
        </w:tc>
        <w:tc>
          <w:tcPr>
            <w:tcW w:w="2250" w:type="dxa"/>
          </w:tcPr>
          <w:p>
            <w:pPr>
              <w:spacing w:before="40" w:after="40"/>
            </w:pPr>
            <w:r>
              <w:rPr>
                <w:color w:val="1a1a2e"/>
                <w:sz w:val="20"/>
              </w:rPr>
              <w:t>$310,000-$930,000</w:t>
            </w:r>
          </w:p>
        </w:tc>
      </w:tr>
      <w:tr>
        <w:tc>
          <w:tcPr>
            <w:tcW w:w="2250" w:type="dxa"/>
            <w:shd w:val="clear" w:fill="F7FAFC"/>
          </w:tcPr>
          <w:p>
            <w:pPr>
              <w:spacing w:before="40" w:after="40"/>
            </w:pPr>
            <w:r>
              <w:rPr>
                <w:color w:val="1a1a2e"/>
                <w:sz w:val="20"/>
              </w:rPr>
              <w:t>Lab. Code Section 226.8(c)</w:t>
            </w:r>
          </w:p>
        </w:tc>
        <w:tc>
          <w:tcPr>
            <w:tcW w:w="2250" w:type="dxa"/>
            <w:shd w:val="clear" w:fill="F7FAFC"/>
          </w:tcPr>
          <w:p>
            <w:pPr>
              <w:spacing w:before="40" w:after="40"/>
            </w:pPr>
            <w:r>
              <w:rPr>
                <w:color w:val="1a1a2e"/>
                <w:sz w:val="20"/>
              </w:rPr>
              <w:t>Pattern/practice misclassification</w:t>
            </w:r>
          </w:p>
        </w:tc>
        <w:tc>
          <w:tcPr>
            <w:tcW w:w="2250" w:type="dxa"/>
            <w:shd w:val="clear" w:fill="F7FAFC"/>
          </w:tcPr>
          <w:p>
            <w:pPr>
              <w:spacing w:before="40" w:after="40"/>
            </w:pPr>
            <w:r>
              <w:rPr>
                <w:color w:val="1a1a2e"/>
                <w:sz w:val="20"/>
              </w:rPr>
              <w:t>$10,000-$25,000</w:t>
            </w:r>
          </w:p>
        </w:tc>
        <w:tc>
          <w:tcPr>
            <w:tcW w:w="2250" w:type="dxa"/>
            <w:shd w:val="clear" w:fill="F7FAFC"/>
          </w:tcPr>
          <w:p>
            <w:pPr>
              <w:spacing w:before="40" w:after="40"/>
            </w:pPr>
            <w:r>
              <w:rPr>
                <w:color w:val="1a1a2e"/>
                <w:sz w:val="20"/>
              </w:rPr>
              <w:t>$620,000-$1,550,000</w:t>
            </w:r>
          </w:p>
        </w:tc>
      </w:tr>
      <w:tr>
        <w:tc>
          <w:tcPr>
            <w:tcW w:w="2250" w:type="dxa"/>
          </w:tcPr>
          <w:p>
            <w:pPr>
              <w:spacing w:before="40" w:after="40"/>
            </w:pPr>
            <w:r>
              <w:rPr>
                <w:color w:val="1a1a2e"/>
                <w:sz w:val="20"/>
              </w:rPr>
              <w:t>Lab. Code Section 226.7</w:t>
            </w:r>
          </w:p>
        </w:tc>
        <w:tc>
          <w:tcPr>
            <w:tcW w:w="2250" w:type="dxa"/>
          </w:tcPr>
          <w:p>
            <w:pPr>
              <w:spacing w:before="40" w:after="40"/>
            </w:pPr>
            <w:r>
              <w:rPr>
                <w:color w:val="1a1a2e"/>
                <w:sz w:val="20"/>
              </w:rPr>
              <w:t>Failure to provide meal/rest periods</w:t>
            </w:r>
          </w:p>
        </w:tc>
        <w:tc>
          <w:tcPr>
            <w:tcW w:w="2250" w:type="dxa"/>
          </w:tcPr>
          <w:p>
            <w:pPr>
              <w:spacing w:before="40" w:after="40"/>
            </w:pPr>
            <w:r>
              <w:rPr>
                <w:color w:val="1a1a2e"/>
                <w:sz w:val="20"/>
              </w:rPr>
              <w:t>1 hr premium/day</w:t>
            </w:r>
          </w:p>
        </w:tc>
        <w:tc>
          <w:tcPr>
            <w:tcW w:w="2250" w:type="dxa"/>
          </w:tcPr>
          <w:p>
            <w:pPr>
              <w:spacing w:before="40" w:after="40"/>
            </w:pPr>
            <w:r>
              <w:rPr>
                <w:color w:val="1a1a2e"/>
                <w:sz w:val="20"/>
              </w:rPr>
              <w:t>$1.6M-$4.1M</w:t>
            </w:r>
          </w:p>
        </w:tc>
      </w:tr>
      <w:tr>
        <w:tc>
          <w:tcPr>
            <w:tcW w:w="2250" w:type="dxa"/>
            <w:shd w:val="clear" w:fill="F7FAFC"/>
          </w:tcPr>
          <w:p>
            <w:pPr>
              <w:spacing w:before="40" w:after="40"/>
            </w:pPr>
            <w:r>
              <w:rPr>
                <w:color w:val="1a1a2e"/>
                <w:sz w:val="20"/>
              </w:rPr>
              <w:t>Lab. Code Section 1197</w:t>
            </w:r>
          </w:p>
        </w:tc>
        <w:tc>
          <w:tcPr>
            <w:tcW w:w="2250" w:type="dxa"/>
            <w:shd w:val="clear" w:fill="F7FAFC"/>
          </w:tcPr>
          <w:p>
            <w:pPr>
              <w:spacing w:before="40" w:after="40"/>
            </w:pPr>
            <w:r>
              <w:rPr>
                <w:color w:val="1a1a2e"/>
                <w:sz w:val="20"/>
              </w:rPr>
              <w:t>Failure to pay minimum wage</w:t>
            </w:r>
          </w:p>
        </w:tc>
        <w:tc>
          <w:tcPr>
            <w:tcW w:w="2250" w:type="dxa"/>
            <w:shd w:val="clear" w:fill="F7FAFC"/>
          </w:tcPr>
          <w:p>
            <w:pPr>
              <w:spacing w:before="40" w:after="40"/>
            </w:pPr>
            <w:r>
              <w:rPr>
                <w:color w:val="1a1a2e"/>
                <w:sz w:val="20"/>
              </w:rPr>
              <w:t>Unpaid wages + 2x</w:t>
            </w:r>
          </w:p>
        </w:tc>
        <w:tc>
          <w:tcPr>
            <w:tcW w:w="2250" w:type="dxa"/>
            <w:shd w:val="clear" w:fill="F7FAFC"/>
          </w:tcPr>
          <w:p>
            <w:pPr>
              <w:spacing w:before="40" w:after="40"/>
            </w:pPr>
            <w:r>
              <w:rPr>
                <w:color w:val="1a1a2e"/>
                <w:sz w:val="20"/>
              </w:rPr>
              <w:t>$616,822.75</w:t>
            </w:r>
          </w:p>
        </w:tc>
      </w:tr>
      <w:tr>
        <w:tc>
          <w:tcPr>
            <w:tcW w:w="2250" w:type="dxa"/>
          </w:tcPr>
          <w:p>
            <w:pPr>
              <w:spacing w:before="40" w:after="40"/>
            </w:pPr>
            <w:r>
              <w:rPr>
                <w:color w:val="1a1a2e"/>
                <w:sz w:val="20"/>
              </w:rPr>
              <w:t>Lab. Code Section 203</w:t>
            </w:r>
          </w:p>
        </w:tc>
        <w:tc>
          <w:tcPr>
            <w:tcW w:w="2250" w:type="dxa"/>
          </w:tcPr>
          <w:p>
            <w:pPr>
              <w:spacing w:before="40" w:after="40"/>
            </w:pPr>
            <w:r>
              <w:rPr>
                <w:color w:val="1a1a2e"/>
                <w:sz w:val="20"/>
              </w:rPr>
              <w:t>Waiting time penalties</w:t>
            </w:r>
          </w:p>
        </w:tc>
        <w:tc>
          <w:tcPr>
            <w:tcW w:w="2250" w:type="dxa"/>
          </w:tcPr>
          <w:p>
            <w:pPr>
              <w:spacing w:before="40" w:after="40"/>
            </w:pPr>
            <w:r>
              <w:rPr>
                <w:color w:val="1a1a2e"/>
                <w:sz w:val="20"/>
              </w:rPr>
              <w:t>Up to 30 days' wages</w:t>
            </w:r>
          </w:p>
        </w:tc>
        <w:tc>
          <w:tcPr>
            <w:tcW w:w="2250" w:type="dxa"/>
          </w:tcPr>
          <w:p>
            <w:pPr>
              <w:spacing w:before="40" w:after="40"/>
            </w:pPr>
            <w:r>
              <w:rPr>
                <w:color w:val="1a1a2e"/>
                <w:sz w:val="20"/>
              </w:rPr>
              <w:t>$93,000-$186,000</w:t>
            </w:r>
          </w:p>
        </w:tc>
      </w:tr>
      <w:tr>
        <w:tc>
          <w:tcPr>
            <w:tcW w:w="2250" w:type="dxa"/>
            <w:shd w:val="clear" w:fill="F7FAFC"/>
          </w:tcPr>
          <w:p>
            <w:pPr>
              <w:spacing w:before="40" w:after="40"/>
            </w:pPr>
            <w:r>
              <w:rPr>
                <w:color w:val="1a1a2e"/>
                <w:sz w:val="20"/>
              </w:rPr>
              <w:t>Lab. Code Section 2699 (PAGA)</w:t>
            </w:r>
          </w:p>
        </w:tc>
        <w:tc>
          <w:tcPr>
            <w:tcW w:w="2250" w:type="dxa"/>
            <w:shd w:val="clear" w:fill="F7FAFC"/>
          </w:tcPr>
          <w:p>
            <w:pPr>
              <w:spacing w:before="40" w:after="40"/>
            </w:pPr>
            <w:r>
              <w:rPr>
                <w:color w:val="1a1a2e"/>
                <w:sz w:val="20"/>
              </w:rPr>
              <w:t>Any Labor Code violation</w:t>
            </w:r>
          </w:p>
        </w:tc>
        <w:tc>
          <w:tcPr>
            <w:tcW w:w="2250" w:type="dxa"/>
            <w:shd w:val="clear" w:fill="F7FAFC"/>
          </w:tcPr>
          <w:p>
            <w:pPr>
              <w:spacing w:before="40" w:after="40"/>
            </w:pPr>
            <w:r>
              <w:rPr>
                <w:color w:val="1a1a2e"/>
                <w:sz w:val="20"/>
              </w:rPr>
              <w:t>$100-$200/employee/pay period</w:t>
            </w:r>
          </w:p>
        </w:tc>
        <w:tc>
          <w:tcPr>
            <w:tcW w:w="2250" w:type="dxa"/>
            <w:shd w:val="clear" w:fill="F7FAFC"/>
          </w:tcPr>
          <w:p>
            <w:pPr>
              <w:spacing w:before="40" w:after="40"/>
            </w:pPr>
            <w:r>
              <w:rPr>
                <w:color w:val="1a1a2e"/>
                <w:sz w:val="20"/>
              </w:rPr>
              <w:t>$520,000-$1,040,000+</w:t>
            </w:r>
          </w:p>
        </w:tc>
      </w:tr>
      <w:tr>
        <w:tc>
          <w:tcPr>
            <w:tcW w:w="2250" w:type="dxa"/>
          </w:tcPr>
          <w:p>
            <w:pPr>
              <w:spacing w:before="40" w:after="40"/>
            </w:pPr>
            <w:r>
              <w:rPr>
                <w:color w:val="1a1a2e"/>
                <w:sz w:val="20"/>
              </w:rPr>
              <w:t>Bus. &amp; Prof. Code Section 17200</w:t>
            </w:r>
          </w:p>
        </w:tc>
        <w:tc>
          <w:tcPr>
            <w:tcW w:w="2250" w:type="dxa"/>
          </w:tcPr>
          <w:p>
            <w:pPr>
              <w:spacing w:before="40" w:after="40"/>
            </w:pPr>
            <w:r>
              <w:rPr>
                <w:color w:val="1a1a2e"/>
                <w:sz w:val="20"/>
              </w:rPr>
              <w:t>Unfair competition</w:t>
            </w:r>
          </w:p>
        </w:tc>
        <w:tc>
          <w:tcPr>
            <w:tcW w:w="2250" w:type="dxa"/>
          </w:tcPr>
          <w:p>
            <w:pPr>
              <w:spacing w:before="40" w:after="40"/>
            </w:pPr>
            <w:r>
              <w:rPr>
                <w:color w:val="1a1a2e"/>
                <w:sz w:val="20"/>
              </w:rPr>
              <w:t>Restitution (4-yr lookback)</w:t>
            </w:r>
          </w:p>
        </w:tc>
        <w:tc>
          <w:tcPr>
            <w:tcW w:w="2250" w:type="dxa"/>
          </w:tcPr>
          <w:p>
            <w:pPr>
              <w:spacing w:before="40" w:after="40"/>
            </w:pPr>
            <w:r>
              <w:rPr>
                <w:color w:val="1a1a2e"/>
                <w:sz w:val="20"/>
              </w:rPr>
              <w:t>Extends recovery</w:t>
            </w:r>
          </w:p>
        </w:tc>
      </w:tr>
    </w:tbl>
    <w:p>
      <w:pPr>
        <w:pStyle w:val="Heading3"/>
      </w:pPr>
      <w:r>
        <w:t>5.3.2 Parallel AI Annotation Litigation Landscape</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
            </w:r>
          </w:p>
        </w:tc>
        <w:tc>
          <w:tcPr>
            <w:tcW w:w="2250" w:type="dxa"/>
            <w:shd w:val="clear" w:fill="EDF2F7"/>
          </w:tcPr>
          <w:p>
            <w:pPr>
              <w:spacing w:before="60" w:after="60"/>
            </w:pPr>
            <w:r>
              <w:rPr>
                <w:b/>
                <w:color w:val="1a1a2e"/>
                <w:sz w:val="20"/>
              </w:rPr>
              <w:t>Scale AI</w:t>
            </w:r>
          </w:p>
        </w:tc>
        <w:tc>
          <w:tcPr>
            <w:tcW w:w="2250" w:type="dxa"/>
            <w:shd w:val="clear" w:fill="EDF2F7"/>
          </w:tcPr>
          <w:p>
            <w:pPr>
              <w:spacing w:before="60" w:after="60"/>
            </w:pPr>
            <w:r>
              <w:rPr>
                <w:b/>
                <w:color w:val="1a1a2e"/>
                <w:sz w:val="20"/>
              </w:rPr>
              <w:t>Surge AI</w:t>
            </w:r>
          </w:p>
        </w:tc>
        <w:tc>
          <w:tcPr>
            <w:tcW w:w="2250" w:type="dxa"/>
            <w:shd w:val="clear" w:fill="EDF2F7"/>
          </w:tcPr>
          <w:p>
            <w:pPr>
              <w:spacing w:before="60" w:after="60"/>
            </w:pPr>
            <w:r>
              <w:rPr>
                <w:b/>
                <w:color w:val="1a1a2e"/>
                <w:sz w:val="20"/>
              </w:rPr>
              <w:t>Labelbox/Alignerr</w:t>
            </w:r>
          </w:p>
        </w:tc>
      </w:tr>
      <w:tr>
        <w:tc>
          <w:tcPr>
            <w:tcW w:w="2250" w:type="dxa"/>
          </w:tcPr>
          <w:p>
            <w:pPr>
              <w:spacing w:before="40" w:after="40"/>
            </w:pPr>
            <w:r>
              <w:rPr>
                <w:color w:val="1a1a2e"/>
                <w:sz w:val="20"/>
              </w:rPr>
              <w:t>Valuation</w:t>
            </w:r>
          </w:p>
        </w:tc>
        <w:tc>
          <w:tcPr>
            <w:tcW w:w="2250" w:type="dxa"/>
          </w:tcPr>
          <w:p>
            <w:pPr>
              <w:spacing w:before="40" w:after="40"/>
            </w:pPr>
            <w:r>
              <w:rPr>
                <w:color w:val="1a1a2e"/>
                <w:sz w:val="20"/>
              </w:rPr>
              <w:t>$13.8 billion</w:t>
            </w:r>
          </w:p>
        </w:tc>
        <w:tc>
          <w:tcPr>
            <w:tcW w:w="2250" w:type="dxa"/>
          </w:tcPr>
          <w:p>
            <w:pPr>
              <w:spacing w:before="40" w:after="40"/>
            </w:pPr>
            <w:r>
              <w:rPr>
                <w:color w:val="1a1a2e"/>
                <w:sz w:val="20"/>
              </w:rPr>
              <w:t>Private</w:t>
            </w:r>
          </w:p>
        </w:tc>
        <w:tc>
          <w:tcPr>
            <w:tcW w:w="2250" w:type="dxa"/>
          </w:tcPr>
          <w:p>
            <w:pPr>
              <w:spacing w:before="40" w:after="40"/>
            </w:pPr>
            <w:r>
              <w:rPr>
                <w:color w:val="1a1a2e"/>
                <w:sz w:val="20"/>
              </w:rPr>
              <w:t>~$1B ($189M raised)</w:t>
            </w:r>
          </w:p>
        </w:tc>
      </w:tr>
      <w:tr>
        <w:tc>
          <w:tcPr>
            <w:tcW w:w="2250" w:type="dxa"/>
            <w:shd w:val="clear" w:fill="F7FAFC"/>
          </w:tcPr>
          <w:p>
            <w:pPr>
              <w:spacing w:before="40" w:after="40"/>
            </w:pPr>
            <w:r>
              <w:rPr>
                <w:color w:val="1a1a2e"/>
                <w:sz w:val="20"/>
              </w:rPr>
              <w:t>Lawsuits Filed</w:t>
            </w:r>
          </w:p>
        </w:tc>
        <w:tc>
          <w:tcPr>
            <w:tcW w:w="2250" w:type="dxa"/>
            <w:shd w:val="clear" w:fill="F7FAFC"/>
          </w:tcPr>
          <w:p>
            <w:pPr>
              <w:spacing w:before="40" w:after="40"/>
            </w:pPr>
            <w:r>
              <w:rPr>
                <w:color w:val="1a1a2e"/>
                <w:sz w:val="20"/>
              </w:rPr>
              <w:t>4 class actions</w:t>
            </w:r>
          </w:p>
        </w:tc>
        <w:tc>
          <w:tcPr>
            <w:tcW w:w="2250" w:type="dxa"/>
            <w:shd w:val="clear" w:fill="F7FAFC"/>
          </w:tcPr>
          <w:p>
            <w:pPr>
              <w:spacing w:before="40" w:after="40"/>
            </w:pPr>
            <w:r>
              <w:rPr>
                <w:color w:val="1a1a2e"/>
                <w:sz w:val="20"/>
              </w:rPr>
              <w:t>1 class action</w:t>
            </w:r>
          </w:p>
        </w:tc>
        <w:tc>
          <w:tcPr>
            <w:tcW w:w="2250" w:type="dxa"/>
            <w:shd w:val="clear" w:fill="F7FAFC"/>
          </w:tcPr>
          <w:p>
            <w:pPr>
              <w:spacing w:before="40" w:after="40"/>
            </w:pPr>
            <w:r>
              <w:rPr>
                <w:color w:val="1a1a2e"/>
                <w:sz w:val="20"/>
              </w:rPr>
              <w:t>1 class action + 1 consumer</w:t>
            </w:r>
          </w:p>
        </w:tc>
      </w:tr>
      <w:tr>
        <w:tc>
          <w:tcPr>
            <w:tcW w:w="2250" w:type="dxa"/>
          </w:tcPr>
          <w:p>
            <w:pPr>
              <w:spacing w:before="40" w:after="40"/>
            </w:pPr>
            <w:r>
              <w:rPr>
                <w:color w:val="1a1a2e"/>
                <w:sz w:val="20"/>
              </w:rPr>
              <w:t>Settlement Status</w:t>
            </w:r>
          </w:p>
        </w:tc>
        <w:tc>
          <w:tcPr>
            <w:tcW w:w="2250" w:type="dxa"/>
          </w:tcPr>
          <w:p>
            <w:pPr>
              <w:spacing w:before="40" w:after="40"/>
            </w:pPr>
            <w:r>
              <w:rPr>
                <w:color w:val="1a1a2e"/>
                <w:sz w:val="20"/>
              </w:rPr>
              <w:t>Settled all 4 (Oct 2025)</w:t>
            </w:r>
          </w:p>
        </w:tc>
        <w:tc>
          <w:tcPr>
            <w:tcW w:w="2250" w:type="dxa"/>
          </w:tcPr>
          <w:p>
            <w:pPr>
              <w:spacing w:before="40" w:after="40"/>
            </w:pPr>
            <w:r>
              <w:rPr>
                <w:color w:val="1a1a2e"/>
                <w:sz w:val="20"/>
              </w:rPr>
              <w:t>Active</w:t>
            </w:r>
          </w:p>
        </w:tc>
        <w:tc>
          <w:tcPr>
            <w:tcW w:w="2250" w:type="dxa"/>
          </w:tcPr>
          <w:p>
            <w:pPr>
              <w:spacing w:before="40" w:after="40"/>
            </w:pPr>
            <w:r>
              <w:rPr>
                <w:color w:val="1a1a2e"/>
                <w:sz w:val="20"/>
              </w:rPr>
              <w:t>Active</w:t>
            </w:r>
          </w:p>
        </w:tc>
      </w:tr>
      <w:tr>
        <w:tc>
          <w:tcPr>
            <w:tcW w:w="2250" w:type="dxa"/>
            <w:shd w:val="clear" w:fill="F7FAFC"/>
          </w:tcPr>
          <w:p>
            <w:pPr>
              <w:spacing w:before="40" w:after="40"/>
            </w:pPr>
            <w:r>
              <w:rPr>
                <w:color w:val="1a1a2e"/>
                <w:sz w:val="20"/>
              </w:rPr>
              <w:t>Strategic Response</w:t>
            </w:r>
          </w:p>
        </w:tc>
        <w:tc>
          <w:tcPr>
            <w:tcW w:w="2250" w:type="dxa"/>
            <w:shd w:val="clear" w:fill="F7FAFC"/>
          </w:tcPr>
          <w:p>
            <w:pPr>
              <w:spacing w:before="40" w:after="40"/>
            </w:pPr>
            <w:r>
              <w:rPr>
                <w:color w:val="1a1a2e"/>
                <w:sz w:val="20"/>
              </w:rPr>
              <w:t>Exited CA entirely</w:t>
            </w:r>
          </w:p>
        </w:tc>
        <w:tc>
          <w:tcPr>
            <w:tcW w:w="2250" w:type="dxa"/>
            <w:shd w:val="clear" w:fill="F7FAFC"/>
          </w:tcPr>
          <w:p>
            <w:pPr>
              <w:spacing w:before="40" w:after="40"/>
            </w:pPr>
            <w:r>
              <w:rPr>
                <w:color w:val="1a1a2e"/>
                <w:sz w:val="20"/>
              </w:rPr>
              <w:t>Pending</w:t>
            </w:r>
          </w:p>
        </w:tc>
        <w:tc>
          <w:tcPr>
            <w:tcW w:w="2250" w:type="dxa"/>
            <w:shd w:val="clear" w:fill="F7FAFC"/>
          </w:tcPr>
          <w:p>
            <w:pPr>
              <w:spacing w:before="40" w:after="40"/>
            </w:pPr>
            <w:r>
              <w:rPr>
                <w:color w:val="1a1a2e"/>
                <w:sz w:val="20"/>
              </w:rPr>
              <w:t>Continuing CA operations</w:t>
            </w:r>
          </w:p>
        </w:tc>
      </w:tr>
      <w:tr>
        <w:tc>
          <w:tcPr>
            <w:tcW w:w="2250" w:type="dxa"/>
          </w:tcPr>
          <w:p>
            <w:pPr>
              <w:spacing w:before="40" w:after="40"/>
            </w:pPr>
            <w:r>
              <w:rPr>
                <w:color w:val="1a1a2e"/>
                <w:sz w:val="20"/>
              </w:rPr>
              <w:t>Legal Theories</w:t>
            </w:r>
          </w:p>
        </w:tc>
        <w:tc>
          <w:tcPr>
            <w:tcW w:w="2250" w:type="dxa"/>
          </w:tcPr>
          <w:p>
            <w:pPr>
              <w:spacing w:before="40" w:after="40"/>
            </w:pPr>
            <w:r>
              <w:rPr>
                <w:color w:val="1a1a2e"/>
                <w:sz w:val="20"/>
              </w:rPr>
              <w:t>Misclassification, FLSA, PAGA</w:t>
            </w:r>
          </w:p>
        </w:tc>
        <w:tc>
          <w:tcPr>
            <w:tcW w:w="2250" w:type="dxa"/>
          </w:tcPr>
          <w:p>
            <w:pPr>
              <w:spacing w:before="40" w:after="40"/>
            </w:pPr>
            <w:r>
              <w:rPr>
                <w:color w:val="1a1a2e"/>
                <w:sz w:val="20"/>
              </w:rPr>
              <w:t>Willful misclassification, PAGA</w:t>
            </w:r>
          </w:p>
        </w:tc>
        <w:tc>
          <w:tcPr>
            <w:tcW w:w="2250" w:type="dxa"/>
          </w:tcPr>
          <w:p>
            <w:pPr>
              <w:spacing w:before="40" w:after="40"/>
            </w:pPr>
            <w:r>
              <w:rPr>
                <w:color w:val="1a1a2e"/>
                <w:sz w:val="20"/>
              </w:rPr>
              <w:t>Section 226.8, PAGA, UCL 17200</w:t>
            </w:r>
          </w:p>
        </w:tc>
      </w:tr>
      <w:tr>
        <w:tc>
          <w:tcPr>
            <w:tcW w:w="2250" w:type="dxa"/>
            <w:shd w:val="clear" w:fill="F7FAFC"/>
          </w:tcPr>
          <w:p>
            <w:pPr>
              <w:spacing w:before="40" w:after="40"/>
            </w:pPr>
            <w:r>
              <w:rPr>
                <w:color w:val="1a1a2e"/>
                <w:sz w:val="20"/>
              </w:rPr>
              <w:t>Damages Exposure</w:t>
            </w:r>
          </w:p>
        </w:tc>
        <w:tc>
          <w:tcPr>
            <w:tcW w:w="2250" w:type="dxa"/>
            <w:shd w:val="clear" w:fill="F7FAFC"/>
          </w:tcPr>
          <w:p>
            <w:pPr>
              <w:spacing w:before="40" w:after="40"/>
            </w:pPr>
            <w:r>
              <w:rPr>
                <w:color w:val="1a1a2e"/>
                <w:sz w:val="20"/>
              </w:rPr>
              <w:t>Confidential (compelled exit)</w:t>
            </w:r>
          </w:p>
        </w:tc>
        <w:tc>
          <w:tcPr>
            <w:tcW w:w="2250" w:type="dxa"/>
            <w:shd w:val="clear" w:fill="F7FAFC"/>
          </w:tcPr>
          <w:p>
            <w:pPr>
              <w:spacing w:before="40" w:after="40"/>
            </w:pPr>
            <w:r>
              <w:rPr>
                <w:color w:val="1a1a2e"/>
                <w:sz w:val="20"/>
              </w:rPr>
              <w:t>Pending</w:t>
            </w:r>
          </w:p>
        </w:tc>
        <w:tc>
          <w:tcPr>
            <w:tcW w:w="2250" w:type="dxa"/>
            <w:shd w:val="clear" w:fill="F7FAFC"/>
          </w:tcPr>
          <w:p>
            <w:pPr>
              <w:spacing w:before="40" w:after="40"/>
            </w:pPr>
            <w:r>
              <w:rPr>
                <w:color w:val="1a1a2e"/>
                <w:sz w:val="20"/>
              </w:rPr>
              <w:t>$2.3M-$4.7M+</w:t>
            </w:r>
          </w:p>
        </w:tc>
      </w:tr>
    </w:tbl>
    <w:p>
      <w:pPr>
        <w:pStyle w:val="Heading1"/>
      </w:pPr>
      <w:r>
        <w:t>6. Corporate Intelligence</w:t>
      </w:r>
      <w:bookmarkStart w:name="_Toc006" w:id="7"/>
      <w:bookmarkEnd w:id="7"/>
    </w:p>
    <w:p>
      <w:pPr>
        <w:pStyle w:val="Heading2"/>
      </w:pPr>
      <w:r>
        <w:t>6.1 Labelbox Corporate Profile</w:t>
      </w:r>
    </w:p>
    <w:p>
      <w:pPr>
        <w:pStyle w:val="Heading3"/>
      </w:pPr>
      <w:r>
        <w:t>6.1.1 Entity Structure</w:t>
      </w:r>
    </w:p>
    <w:p>
      <w:pPr>
        <w:jc w:val="both"/>
      </w:pPr>
      <w:r>
        <w:t>Labelbox, Inc. is incorporated in Delaware and foreign-qualified in California and Florida. Its Employer Identification Number is 82-4724328, with IRS classification NAICS 511210 (Software Publishers). Its principal place of business is 510 Treat Avenue, San Francisco, CA 94110. The labor-facing arm is Alignerr LLC, a separate Delaware entity that contracts directly with workers.</w:t>
      </w:r>
    </w:p>
    <w:p>
      <w:pPr>
        <w:pStyle w:val="Heading3"/>
      </w:pPr>
      <w:r>
        <w:t>6.1.2 Funding and Valuation</w:t>
      </w:r>
    </w:p>
    <w:p>
      <w:pPr>
        <w:jc w:val="both"/>
      </w:pPr>
      <w:r>
        <w:t>Labelbox has raised $189 million in confirmed primary venture funding across eight rounds, with its most recent infusion being a $110 million Series D led by SoftBank Vision Fund 2 in January 2022. CEO Manu Sharma told Forbes that the round made Labelbox "basically a unicorn" - placing its market value at approximately $1 billion or higher.</w:t>
      </w:r>
    </w:p>
    <w:p>
      <w:pPr>
        <w:pStyle w:val="Heading3"/>
      </w:pPr>
      <w:r>
        <w:t>6.1.3 Investor Register</w:t>
      </w:r>
    </w:p>
    <w:p>
      <w:pPr>
        <w:jc w:val="both"/>
      </w:pPr>
      <w:r>
        <w:t>Confirmed investors include Andreessen Horowitz (a16z), SoftBank Vision Fund 2, Kleiner Perkins, Gradient Ventures (Google's AI-focused fund), B Capital Group, Snowpoint Ventures, Databricks Ventures, and Cathie Wood's ARK Invest. Each of these firms has portfolio-wide reputational exposure.</w:t>
      </w:r>
    </w:p>
    <w:p>
      <w:pPr>
        <w:pStyle w:val="Heading2"/>
      </w:pPr>
      <w:r>
        <w:t>6.2 Leadership and Legal Team</w:t>
      </w:r>
    </w:p>
    <w:p>
      <w:pPr>
        <w:pStyle w:val="Heading3"/>
      </w:pPr>
      <w:r>
        <w:t>6.2.1 Board of Directors</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Board Member</w:t>
            </w:r>
          </w:p>
        </w:tc>
        <w:tc>
          <w:tcPr>
            <w:tcW w:w="2250" w:type="dxa"/>
            <w:shd w:val="clear" w:fill="EDF2F7"/>
          </w:tcPr>
          <w:p>
            <w:pPr>
              <w:spacing w:before="60" w:after="60"/>
            </w:pPr>
            <w:r>
              <w:rPr>
                <w:b/>
                <w:color w:val="1a1a2e"/>
                <w:sz w:val="20"/>
              </w:rPr>
              <w:t>Role</w:t>
            </w:r>
          </w:p>
        </w:tc>
        <w:tc>
          <w:tcPr>
            <w:tcW w:w="2250" w:type="dxa"/>
            <w:shd w:val="clear" w:fill="EDF2F7"/>
          </w:tcPr>
          <w:p>
            <w:pPr>
              <w:spacing w:before="60" w:after="60"/>
            </w:pPr>
            <w:r>
              <w:rPr>
                <w:b/>
                <w:color w:val="1a1a2e"/>
                <w:sz w:val="20"/>
              </w:rPr>
              <w:t>Affiliation</w:t>
            </w:r>
          </w:p>
        </w:tc>
        <w:tc>
          <w:tcPr>
            <w:tcW w:w="2250" w:type="dxa"/>
            <w:shd w:val="clear" w:fill="EDF2F7"/>
          </w:tcPr>
          <w:p>
            <w:pPr>
              <w:spacing w:before="60" w:after="60"/>
            </w:pPr>
            <w:r>
              <w:rPr>
                <w:b/>
                <w:color w:val="1a1a2e"/>
                <w:sz w:val="20"/>
              </w:rPr>
              <w:t>Leverage Points</w:t>
            </w:r>
          </w:p>
        </w:tc>
      </w:tr>
      <w:tr>
        <w:tc>
          <w:tcPr>
            <w:tcW w:w="2250" w:type="dxa"/>
          </w:tcPr>
          <w:p>
            <w:pPr>
              <w:spacing w:before="40" w:after="40"/>
            </w:pPr>
            <w:r>
              <w:rPr>
                <w:color w:val="1a1a2e"/>
                <w:sz w:val="20"/>
              </w:rPr>
              <w:t>Manu Sharma</w:t>
            </w:r>
          </w:p>
        </w:tc>
        <w:tc>
          <w:tcPr>
            <w:tcW w:w="2250" w:type="dxa"/>
          </w:tcPr>
          <w:p>
            <w:pPr>
              <w:spacing w:before="40" w:after="40"/>
            </w:pPr>
            <w:r>
              <w:rPr>
                <w:color w:val="1a1a2e"/>
                <w:sz w:val="20"/>
              </w:rPr>
              <w:t>Co-Founder &amp; CEO</w:t>
            </w:r>
          </w:p>
        </w:tc>
        <w:tc>
          <w:tcPr>
            <w:tcW w:w="2250" w:type="dxa"/>
          </w:tcPr>
          <w:p>
            <w:pPr>
              <w:spacing w:before="40" w:after="40"/>
            </w:pPr>
            <w:r>
              <w:rPr>
                <w:color w:val="1a1a2e"/>
                <w:sz w:val="20"/>
              </w:rPr>
              <w:t>Founder equity</w:t>
            </w:r>
          </w:p>
        </w:tc>
        <w:tc>
          <w:tcPr>
            <w:tcW w:w="2250" w:type="dxa"/>
          </w:tcPr>
          <w:p>
            <w:pPr>
              <w:spacing w:before="40" w:after="40"/>
            </w:pPr>
            <w:r>
              <w:rPr>
                <w:color w:val="1a1a2e"/>
                <w:sz w:val="20"/>
              </w:rPr>
              <w:t>Named personally in Malkov lawsuit</w:t>
            </w:r>
          </w:p>
        </w:tc>
      </w:tr>
      <w:tr>
        <w:tc>
          <w:tcPr>
            <w:tcW w:w="2250" w:type="dxa"/>
            <w:shd w:val="clear" w:fill="F7FAFC"/>
          </w:tcPr>
          <w:p>
            <w:pPr>
              <w:spacing w:before="40" w:after="40"/>
            </w:pPr>
            <w:r>
              <w:rPr>
                <w:color w:val="1a1a2e"/>
                <w:sz w:val="20"/>
              </w:rPr>
              <w:t>Keshav Sahoo</w:t>
            </w:r>
          </w:p>
        </w:tc>
        <w:tc>
          <w:tcPr>
            <w:tcW w:w="2250" w:type="dxa"/>
            <w:shd w:val="clear" w:fill="F7FAFC"/>
          </w:tcPr>
          <w:p>
            <w:pPr>
              <w:spacing w:before="40" w:after="40"/>
            </w:pPr>
            <w:r>
              <w:rPr>
                <w:color w:val="1a1a2e"/>
                <w:sz w:val="20"/>
              </w:rPr>
              <w:t>CTO</w:t>
            </w:r>
          </w:p>
        </w:tc>
        <w:tc>
          <w:tcPr>
            <w:tcW w:w="2250" w:type="dxa"/>
            <w:shd w:val="clear" w:fill="F7FAFC"/>
          </w:tcPr>
          <w:p>
            <w:pPr>
              <w:spacing w:before="40" w:after="40"/>
            </w:pPr>
            <w:r>
              <w:rPr>
                <w:color w:val="1a1a2e"/>
                <w:sz w:val="20"/>
              </w:rPr>
              <w:t>Executive equity</w:t>
            </w:r>
          </w:p>
        </w:tc>
        <w:tc>
          <w:tcPr>
            <w:tcW w:w="2250" w:type="dxa"/>
            <w:shd w:val="clear" w:fill="F7FAFC"/>
          </w:tcPr>
          <w:p>
            <w:pPr>
              <w:spacing w:before="40" w:after="40"/>
            </w:pPr>
            <w:r>
              <w:rPr>
                <w:color w:val="1a1a2e"/>
                <w:sz w:val="20"/>
              </w:rPr>
              <w:t>Technical oversight of payment systems</w:t>
            </w:r>
          </w:p>
        </w:tc>
      </w:tr>
      <w:tr>
        <w:tc>
          <w:tcPr>
            <w:tcW w:w="2250" w:type="dxa"/>
          </w:tcPr>
          <w:p>
            <w:pPr>
              <w:spacing w:before="40" w:after="40"/>
            </w:pPr>
            <w:r>
              <w:rPr>
                <w:color w:val="1a1a2e"/>
                <w:sz w:val="20"/>
              </w:rPr>
              <w:t>Peter Levine</w:t>
            </w:r>
          </w:p>
        </w:tc>
        <w:tc>
          <w:tcPr>
            <w:tcW w:w="2250" w:type="dxa"/>
          </w:tcPr>
          <w:p>
            <w:pPr>
              <w:spacing w:before="40" w:after="40"/>
            </w:pPr>
            <w:r>
              <w:rPr>
                <w:color w:val="1a1a2e"/>
                <w:sz w:val="20"/>
              </w:rPr>
              <w:t>Board Member</w:t>
            </w:r>
          </w:p>
        </w:tc>
        <w:tc>
          <w:tcPr>
            <w:tcW w:w="2250" w:type="dxa"/>
          </w:tcPr>
          <w:p>
            <w:pPr>
              <w:spacing w:before="40" w:after="40"/>
            </w:pPr>
            <w:r>
              <w:rPr>
                <w:color w:val="1a1a2e"/>
                <w:sz w:val="20"/>
              </w:rPr>
              <w:t>General Partner, a16z</w:t>
            </w:r>
          </w:p>
        </w:tc>
        <w:tc>
          <w:tcPr>
            <w:tcW w:w="2250" w:type="dxa"/>
          </w:tcPr>
          <w:p>
            <w:pPr>
              <w:spacing w:before="40" w:after="40"/>
            </w:pPr>
            <w:r>
              <w:rPr>
                <w:color w:val="1a1a2e"/>
                <w:sz w:val="20"/>
              </w:rPr>
              <w:t>ESG-sensitive; 10+ board seats</w:t>
            </w:r>
          </w:p>
        </w:tc>
      </w:tr>
      <w:tr>
        <w:tc>
          <w:tcPr>
            <w:tcW w:w="2250" w:type="dxa"/>
            <w:shd w:val="clear" w:fill="F7FAFC"/>
          </w:tcPr>
          <w:p>
            <w:pPr>
              <w:spacing w:before="40" w:after="40"/>
            </w:pPr>
            <w:r>
              <w:rPr>
                <w:color w:val="1a1a2e"/>
                <w:sz w:val="20"/>
              </w:rPr>
              <w:t>David Fialkow</w:t>
            </w:r>
          </w:p>
        </w:tc>
        <w:tc>
          <w:tcPr>
            <w:tcW w:w="2250" w:type="dxa"/>
            <w:shd w:val="clear" w:fill="F7FAFC"/>
          </w:tcPr>
          <w:p>
            <w:pPr>
              <w:spacing w:before="40" w:after="40"/>
            </w:pPr>
            <w:r>
              <w:rPr>
                <w:color w:val="1a1a2e"/>
                <w:sz w:val="20"/>
              </w:rPr>
              <w:t>Board Member</w:t>
            </w:r>
          </w:p>
        </w:tc>
        <w:tc>
          <w:tcPr>
            <w:tcW w:w="2250" w:type="dxa"/>
            <w:shd w:val="clear" w:fill="F7FAFC"/>
          </w:tcPr>
          <w:p>
            <w:pPr>
              <w:spacing w:before="40" w:after="40"/>
            </w:pPr>
            <w:r>
              <w:rPr>
                <w:color w:val="1a1a2e"/>
                <w:sz w:val="20"/>
              </w:rPr>
              <w:t>Co-Founder, General Catalyst</w:t>
            </w:r>
          </w:p>
        </w:tc>
        <w:tc>
          <w:tcPr>
            <w:tcW w:w="2250" w:type="dxa"/>
            <w:shd w:val="clear" w:fill="F7FAFC"/>
          </w:tcPr>
          <w:p>
            <w:pPr>
              <w:spacing w:before="40" w:after="40"/>
            </w:pPr>
            <w:r>
              <w:rPr>
                <w:color w:val="1a1a2e"/>
                <w:sz w:val="20"/>
              </w:rPr>
              <w:t>Academy Award-winning filmmaker</w:t>
            </w:r>
          </w:p>
        </w:tc>
      </w:tr>
      <w:tr>
        <w:tc>
          <w:tcPr>
            <w:tcW w:w="2250" w:type="dxa"/>
          </w:tcPr>
          <w:p>
            <w:pPr>
              <w:spacing w:before="40" w:after="40"/>
            </w:pPr>
            <w:r>
              <w:rPr>
                <w:color w:val="1a1a2e"/>
                <w:sz w:val="20"/>
              </w:rPr>
              <w:t>Robert Kaplan</w:t>
            </w:r>
          </w:p>
        </w:tc>
        <w:tc>
          <w:tcPr>
            <w:tcW w:w="2250" w:type="dxa"/>
          </w:tcPr>
          <w:p>
            <w:pPr>
              <w:spacing w:before="40" w:after="40"/>
            </w:pPr>
            <w:r>
              <w:rPr>
                <w:color w:val="1a1a2e"/>
                <w:sz w:val="20"/>
              </w:rPr>
              <w:t>Board Observer</w:t>
            </w:r>
          </w:p>
        </w:tc>
        <w:tc>
          <w:tcPr>
            <w:tcW w:w="2250" w:type="dxa"/>
          </w:tcPr>
          <w:p>
            <w:pPr>
              <w:spacing w:before="40" w:after="40"/>
            </w:pPr>
            <w:r>
              <w:rPr>
                <w:color w:val="1a1a2e"/>
                <w:sz w:val="20"/>
              </w:rPr>
              <w:t>SoftBank Vision Fund 2</w:t>
            </w:r>
          </w:p>
        </w:tc>
        <w:tc>
          <w:tcPr>
            <w:tcW w:w="2250" w:type="dxa"/>
          </w:tcPr>
          <w:p>
            <w:pPr>
              <w:spacing w:before="40" w:after="40"/>
            </w:pPr>
            <w:r>
              <w:rPr>
                <w:color w:val="1a1a2e"/>
                <w:sz w:val="20"/>
              </w:rPr>
              <w:t>$110M lead investor observer</w:t>
            </w:r>
          </w:p>
        </w:tc>
      </w:tr>
    </w:tbl>
    <w:p>
      <w:pPr>
        <w:pStyle w:val="Heading3"/>
      </w:pPr>
      <w:r>
        <w:t>6.2.2 Legal Team</w:t>
      </w:r>
    </w:p>
    <w:p>
      <w:pPr>
        <w:jc w:val="both"/>
      </w:pPr>
      <w:r>
        <w:t>Labelbox's in-house legal function is extraordinarily lean for a company of its scale: two attorneys. Nathana Sharma serves as General Counsel (JD/MBA from Yale). Ross Barbash serves as Chief Legal Officer (previously at SPZ Legal). This two-person team is responsible for all legal matters across a government contractor with a $950 million ceiling IDIQ, a multi-national contractor workforce, an imminent IPO, and an active wrongful termination lawsuit.</w:t>
      </w:r>
    </w:p>
    <w:p>
      <w:pPr>
        <w:pStyle w:val="Heading2"/>
      </w:pPr>
      <w:r>
        <w:t>6.3 Strategic Leverage Points</w:t>
      </w:r>
    </w:p>
    <w:p>
      <w:pPr>
        <w:pStyle w:val="Heading3"/>
      </w:pPr>
      <w:r>
        <w:t>6.3.1 IPO Timeline: The 2026-2027 Window</w:t>
      </w:r>
    </w:p>
    <w:p>
      <w:pPr>
        <w:jc w:val="both"/>
      </w:pPr>
      <w:r>
        <w:t>Labelbox is widely expected to pursue an initial public offering or strategic sale in 2026-2027. Its shares already trade on pre-IPO secondary marketplaces including EquityZen, Hiive, and Forge Global. A documented pattern of wage theft, an active class action lawsuit, and regulatory complaints filed during the pre-IPO quiet period are material disclosure items that underwriters cannot ignore.</w:t>
      </w:r>
    </w:p>
    <w:p>
      <w:pPr>
        <w:pStyle w:val="Heading3"/>
      </w:pPr>
      <w:r>
        <w:t>6.3.2 Government Contractor Status: The $950M Ceiling IDIQ</w:t>
      </w:r>
    </w:p>
    <w:p>
      <w:pPr>
        <w:jc w:val="both"/>
      </w:pPr>
      <w:r>
        <w:t>In August 2022, Labelbox was awarded a $950 million ceiling indefinite-delivery/indefinite-quantity (IDIQ) contract by the U.S. Air Force for the Joint All-Domain Command and Control (JADC2) program. Government contractor status creates reporting avenues unavailable to purely private companies. The Defense Contract Management Agency (DCMA), the Small Business Administration (SBA), and the Air Force contracting officer each have authority to investigate labor compliance.</w:t>
      </w:r>
    </w:p>
    <w:p>
      <w:pPr>
        <w:pStyle w:val="Heading3"/>
      </w:pPr>
      <w:r>
        <w:t>6.3.3 Arbitration Clause Vulnerabilities</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3000"/>
        <w:gridCol w:w="3000"/>
        <w:gridCol w:w="3000"/>
      </w:tblGrid>
      <w:tr>
        <w:trPr>
          <w:tblHeader/>
        </w:trPr>
        <w:tc>
          <w:tcPr>
            <w:tcW w:w="3000" w:type="dxa"/>
            <w:shd w:val="clear" w:fill="EDF2F7"/>
          </w:tcPr>
          <w:p>
            <w:pPr>
              <w:spacing w:before="60" w:after="60"/>
            </w:pPr>
            <w:r>
              <w:rPr>
                <w:b/>
                <w:color w:val="1a1a2e"/>
                <w:sz w:val="20"/>
              </w:rPr>
              <w:t>Clause Element</w:t>
            </w:r>
          </w:p>
        </w:tc>
        <w:tc>
          <w:tcPr>
            <w:tcW w:w="3000" w:type="dxa"/>
            <w:shd w:val="clear" w:fill="EDF2F7"/>
          </w:tcPr>
          <w:p>
            <w:pPr>
              <w:spacing w:before="60" w:after="60"/>
            </w:pPr>
            <w:r>
              <w:rPr>
                <w:b/>
                <w:color w:val="1a1a2e"/>
                <w:sz w:val="20"/>
              </w:rPr>
              <w:t>What Labelbox's ToS Says</w:t>
            </w:r>
          </w:p>
        </w:tc>
        <w:tc>
          <w:tcPr>
            <w:tcW w:w="3000" w:type="dxa"/>
            <w:shd w:val="clear" w:fill="EDF2F7"/>
          </w:tcPr>
          <w:p>
            <w:pPr>
              <w:spacing w:before="60" w:after="60"/>
            </w:pPr>
            <w:r>
              <w:rPr>
                <w:b/>
                <w:color w:val="1a1a2e"/>
                <w:sz w:val="20"/>
              </w:rPr>
              <w:t>Strategic Implication</w:t>
            </w:r>
          </w:p>
        </w:tc>
      </w:tr>
      <w:tr>
        <w:tc>
          <w:tcPr>
            <w:tcW w:w="3000" w:type="dxa"/>
          </w:tcPr>
          <w:p>
            <w:pPr>
              <w:spacing w:before="40" w:after="40"/>
            </w:pPr>
            <w:r>
              <w:rPr>
                <w:color w:val="1a1a2e"/>
                <w:sz w:val="20"/>
              </w:rPr>
              <w:t>30-Day Opt-Out</w:t>
            </w:r>
          </w:p>
        </w:tc>
        <w:tc>
          <w:tcPr>
            <w:tcW w:w="3000" w:type="dxa"/>
          </w:tcPr>
          <w:p>
            <w:pPr>
              <w:spacing w:before="40" w:after="40"/>
            </w:pPr>
            <w:r>
              <w:rPr>
                <w:color w:val="1a1a2e"/>
                <w:sz w:val="20"/>
              </w:rPr>
              <w:t>Written notice postmarked within 30 days</w:t>
            </w:r>
          </w:p>
        </w:tc>
        <w:tc>
          <w:tcPr>
            <w:tcW w:w="3000" w:type="dxa"/>
          </w:tcPr>
          <w:p>
            <w:pPr>
              <w:spacing w:before="40" w:after="40"/>
            </w:pPr>
            <w:r>
              <w:rPr>
                <w:color w:val="1a1a2e"/>
                <w:sz w:val="20"/>
              </w:rPr>
              <w:t>Preserves right to sue in court</w:t>
            </w:r>
          </w:p>
        </w:tc>
      </w:tr>
      <w:tr>
        <w:tc>
          <w:tcPr>
            <w:tcW w:w="3000" w:type="dxa"/>
            <w:shd w:val="clear" w:fill="F7FAFC"/>
          </w:tcPr>
          <w:p>
            <w:pPr>
              <w:spacing w:before="40" w:after="40"/>
            </w:pPr>
            <w:r>
              <w:rPr>
                <w:color w:val="1a1a2e"/>
                <w:sz w:val="20"/>
              </w:rPr>
              <w:t>Small Claims Carve-Out</w:t>
            </w:r>
          </w:p>
        </w:tc>
        <w:tc>
          <w:tcPr>
            <w:tcW w:w="3000" w:type="dxa"/>
            <w:shd w:val="clear" w:fill="F7FAFC"/>
          </w:tcPr>
          <w:p>
            <w:pPr>
              <w:spacing w:before="40" w:after="40"/>
            </w:pPr>
            <w:r>
              <w:rPr>
                <w:color w:val="1a1a2e"/>
                <w:sz w:val="20"/>
              </w:rPr>
              <w:t>Claims in plaintiff's home county up to $12,500</w:t>
            </w:r>
          </w:p>
        </w:tc>
        <w:tc>
          <w:tcPr>
            <w:tcW w:w="3000" w:type="dxa"/>
            <w:shd w:val="clear" w:fill="F7FAFC"/>
          </w:tcPr>
          <w:p>
            <w:pPr>
              <w:spacing w:before="40" w:after="40"/>
            </w:pPr>
            <w:r>
              <w:rPr>
                <w:color w:val="1a1a2e"/>
                <w:sz w:val="20"/>
              </w:rPr>
              <w:t>50+ filings across counties overwhelms 2-person team</w:t>
            </w:r>
          </w:p>
        </w:tc>
      </w:tr>
      <w:tr>
        <w:tc>
          <w:tcPr>
            <w:tcW w:w="3000" w:type="dxa"/>
          </w:tcPr>
          <w:p>
            <w:pPr>
              <w:spacing w:before="40" w:after="40"/>
            </w:pPr>
            <w:r>
              <w:rPr>
                <w:color w:val="1a1a2e"/>
                <w:sz w:val="20"/>
              </w:rPr>
              <w:t>Fee-Shifting</w:t>
            </w:r>
          </w:p>
        </w:tc>
        <w:tc>
          <w:tcPr>
            <w:tcW w:w="3000" w:type="dxa"/>
          </w:tcPr>
          <w:p>
            <w:pPr>
              <w:spacing w:before="40" w:after="40"/>
            </w:pPr>
            <w:r>
              <w:rPr>
                <w:color w:val="1a1a2e"/>
                <w:sz w:val="20"/>
              </w:rPr>
              <w:t>Labelbox pays all arbitration fees under $75,000</w:t>
            </w:r>
          </w:p>
        </w:tc>
        <w:tc>
          <w:tcPr>
            <w:tcW w:w="3000" w:type="dxa"/>
          </w:tcPr>
          <w:p>
            <w:pPr>
              <w:spacing w:before="40" w:after="40"/>
            </w:pPr>
            <w:r>
              <w:rPr>
                <w:color w:val="1a1a2e"/>
                <w:sz w:val="20"/>
              </w:rPr>
              <w:t>Each arbitration costs Labelbox $10K-$30K</w:t>
            </w:r>
          </w:p>
        </w:tc>
      </w:tr>
      <w:tr>
        <w:tc>
          <w:tcPr>
            <w:tcW w:w="3000" w:type="dxa"/>
            <w:shd w:val="clear" w:fill="F7FAFC"/>
          </w:tcPr>
          <w:p>
            <w:pPr>
              <w:spacing w:before="40" w:after="40"/>
            </w:pPr>
            <w:r>
              <w:rPr>
                <w:color w:val="1a1a2e"/>
                <w:sz w:val="20"/>
              </w:rPr>
              <w:t>Liability Cap</w:t>
            </w:r>
          </w:p>
        </w:tc>
        <w:tc>
          <w:tcPr>
            <w:tcW w:w="3000" w:type="dxa"/>
            <w:shd w:val="clear" w:fill="F7FAFC"/>
          </w:tcPr>
          <w:p>
            <w:pPr>
              <w:spacing w:before="40" w:after="40"/>
            </w:pPr>
            <w:r>
              <w:rPr>
                <w:color w:val="1a1a2e"/>
                <w:sz w:val="20"/>
              </w:rPr>
              <w:t>Greater of $100 or 12-month payments</w:t>
            </w:r>
          </w:p>
        </w:tc>
        <w:tc>
          <w:tcPr>
            <w:tcW w:w="3000" w:type="dxa"/>
            <w:shd w:val="clear" w:fill="F7FAFC"/>
          </w:tcPr>
          <w:p>
            <w:pPr>
              <w:spacing w:before="40" w:after="40"/>
            </w:pPr>
            <w:r>
              <w:rPr>
                <w:color w:val="1a1a2e"/>
                <w:sz w:val="20"/>
              </w:rPr>
              <w:t>Likely unenforceable under Lab. Code 1194</w:t>
            </w:r>
          </w:p>
        </w:tc>
      </w:tr>
    </w:tbl>
    <w:p>
      <w:pPr>
        <w:pStyle w:val="Heading1"/>
      </w:pPr>
      <w:r>
        <w:t>7. Payment Pattern Analysis &amp; Quantification</w:t>
      </w:r>
      <w:bookmarkStart w:name="_Toc007" w:id="8"/>
      <w:bookmarkEnd w:id="8"/>
    </w:p>
    <w:p>
      <w:pPr>
        <w:pStyle w:val="Heading2"/>
      </w:pPr>
      <w:r>
        <w:t>7.1 Documented Unpaid Amounts</w:t>
      </w:r>
    </w:p>
    <w:p>
      <w:pPr>
        <w:pStyle w:val="Heading3"/>
      </w:pPr>
      <w:r>
        <w:t>7.1.1 Named Cases: The Financial Human Toll</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1800"/>
        <w:gridCol w:w="1800"/>
        <w:gridCol w:w="1800"/>
        <w:gridCol w:w="1800"/>
        <w:gridCol w:w="1800"/>
      </w:tblGrid>
      <w:tr>
        <w:trPr>
          <w:tblHeader/>
        </w:trPr>
        <w:tc>
          <w:tcPr>
            <w:tcW w:w="1800" w:type="dxa"/>
            <w:shd w:val="clear" w:fill="EDF2F7"/>
          </w:tcPr>
          <w:p>
            <w:pPr>
              <w:spacing w:before="60" w:after="60"/>
            </w:pPr>
            <w:r>
              <w:rPr>
                <w:b/>
                <w:color w:val="1a1a2e"/>
                <w:sz w:val="20"/>
              </w:rPr>
              <w:t>ID</w:t>
            </w:r>
          </w:p>
        </w:tc>
        <w:tc>
          <w:tcPr>
            <w:tcW w:w="1800" w:type="dxa"/>
            <w:shd w:val="clear" w:fill="EDF2F7"/>
          </w:tcPr>
          <w:p>
            <w:pPr>
              <w:spacing w:before="60" w:after="60"/>
            </w:pPr>
            <w:r>
              <w:rPr>
                <w:b/>
                <w:color w:val="1a1a2e"/>
                <w:sz w:val="20"/>
              </w:rPr>
              <w:t>Worker</w:t>
            </w:r>
          </w:p>
        </w:tc>
        <w:tc>
          <w:tcPr>
            <w:tcW w:w="1800" w:type="dxa"/>
            <w:shd w:val="clear" w:fill="EDF2F7"/>
          </w:tcPr>
          <w:p>
            <w:pPr>
              <w:spacing w:before="60" w:after="60"/>
            </w:pPr>
            <w:r>
              <w:rPr>
                <w:b/>
                <w:color w:val="1a1a2e"/>
                <w:sz w:val="20"/>
              </w:rPr>
              <w:t>Amount Owed</w:t>
            </w:r>
          </w:p>
        </w:tc>
        <w:tc>
          <w:tcPr>
            <w:tcW w:w="1800" w:type="dxa"/>
            <w:shd w:val="clear" w:fill="EDF2F7"/>
          </w:tcPr>
          <w:p>
            <w:pPr>
              <w:spacing w:before="60" w:after="60"/>
            </w:pPr>
            <w:r>
              <w:rPr>
                <w:b/>
                <w:color w:val="1a1a2e"/>
                <w:sz w:val="20"/>
              </w:rPr>
              <w:t>Role / Project</w:t>
            </w:r>
          </w:p>
        </w:tc>
        <w:tc>
          <w:tcPr>
            <w:tcW w:w="1800" w:type="dxa"/>
            <w:shd w:val="clear" w:fill="EDF2F7"/>
          </w:tcPr>
          <w:p>
            <w:pPr>
              <w:spacing w:before="60" w:after="60"/>
            </w:pPr>
            <w:r>
              <w:rPr>
                <w:b/>
                <w:color w:val="1a1a2e"/>
                <w:sz w:val="20"/>
              </w:rPr>
              <w:t>Confidence</w:t>
            </w:r>
          </w:p>
        </w:tc>
      </w:tr>
      <w:tr>
        <w:tc>
          <w:tcPr>
            <w:tcW w:w="1800" w:type="dxa"/>
          </w:tcPr>
          <w:p>
            <w:pPr>
              <w:spacing w:before="40" w:after="40"/>
            </w:pPr>
            <w:r>
              <w:rPr>
                <w:color w:val="1a1a2e"/>
                <w:sz w:val="20"/>
              </w:rPr>
              <w:t>A</w:t>
            </w:r>
          </w:p>
        </w:tc>
        <w:tc>
          <w:tcPr>
            <w:tcW w:w="1800" w:type="dxa"/>
          </w:tcPr>
          <w:p>
            <w:pPr>
              <w:spacing w:before="40" w:after="40"/>
            </w:pPr>
            <w:r>
              <w:rPr>
                <w:color w:val="1a1a2e"/>
                <w:sz w:val="20"/>
              </w:rPr>
              <w:t>u/Wooden_Ad1472</w:t>
            </w:r>
          </w:p>
        </w:tc>
        <w:tc>
          <w:tcPr>
            <w:tcW w:w="1800" w:type="dxa"/>
          </w:tcPr>
          <w:p>
            <w:pPr>
              <w:spacing w:before="40" w:after="40"/>
            </w:pPr>
            <w:r>
              <w:rPr>
                <w:color w:val="1a1a2e"/>
                <w:sz w:val="20"/>
              </w:rPr>
              <w:t>$975</w:t>
            </w:r>
          </w:p>
        </w:tc>
        <w:tc>
          <w:tcPr>
            <w:tcW w:w="1800" w:type="dxa"/>
          </w:tcPr>
          <w:p>
            <w:pPr>
              <w:spacing w:before="40" w:after="40"/>
            </w:pPr>
            <w:r>
              <w:rPr>
                <w:color w:val="1a1a2e"/>
                <w:sz w:val="20"/>
              </w:rPr>
              <w:t>AI Data Annotator / multiple</w:t>
            </w:r>
          </w:p>
        </w:tc>
        <w:tc>
          <w:tcPr>
            <w:tcW w:w="1800" w:type="dxa"/>
          </w:tcPr>
          <w:p>
            <w:pPr>
              <w:spacing w:before="40" w:after="40"/>
            </w:pPr>
            <w:r>
              <w:rPr>
                <w:color w:val="1a1a2e"/>
                <w:sz w:val="20"/>
              </w:rPr>
              <w:t>HIGH</w:t>
            </w:r>
          </w:p>
        </w:tc>
      </w:tr>
      <w:tr>
        <w:tc>
          <w:tcPr>
            <w:tcW w:w="1800" w:type="dxa"/>
            <w:shd w:val="clear" w:fill="F7FAFC"/>
          </w:tcPr>
          <w:p>
            <w:pPr>
              <w:spacing w:before="40" w:after="40"/>
            </w:pPr>
            <w:r>
              <w:rPr>
                <w:color w:val="1a1a2e"/>
                <w:sz w:val="20"/>
              </w:rPr>
              <w:t>B</w:t>
            </w:r>
          </w:p>
        </w:tc>
        <w:tc>
          <w:tcPr>
            <w:tcW w:w="1800" w:type="dxa"/>
            <w:shd w:val="clear" w:fill="F7FAFC"/>
          </w:tcPr>
          <w:p>
            <w:pPr>
              <w:spacing w:before="40" w:after="40"/>
            </w:pPr>
            <w:r>
              <w:rPr>
                <w:color w:val="1a1a2e"/>
                <w:sz w:val="20"/>
              </w:rPr>
              <w:t>u/Even-Ad-3759</w:t>
            </w:r>
          </w:p>
        </w:tc>
        <w:tc>
          <w:tcPr>
            <w:tcW w:w="1800" w:type="dxa"/>
            <w:shd w:val="clear" w:fill="F7FAFC"/>
          </w:tcPr>
          <w:p>
            <w:pPr>
              <w:spacing w:before="40" w:after="40"/>
            </w:pPr>
            <w:r>
              <w:rPr>
                <w:color w:val="1a1a2e"/>
                <w:sz w:val="20"/>
              </w:rPr>
              <w:t>$800</w:t>
            </w:r>
          </w:p>
        </w:tc>
        <w:tc>
          <w:tcPr>
            <w:tcW w:w="1800" w:type="dxa"/>
            <w:shd w:val="clear" w:fill="F7FAFC"/>
          </w:tcPr>
          <w:p>
            <w:pPr>
              <w:spacing w:before="40" w:after="40"/>
            </w:pPr>
            <w:r>
              <w:rPr>
                <w:color w:val="1a1a2e"/>
                <w:sz w:val="20"/>
              </w:rPr>
              <w:t>General contractor / 4 months</w:t>
            </w:r>
          </w:p>
        </w:tc>
        <w:tc>
          <w:tcPr>
            <w:tcW w:w="1800" w:type="dxa"/>
            <w:shd w:val="clear" w:fill="F7FAFC"/>
          </w:tcPr>
          <w:p>
            <w:pPr>
              <w:spacing w:before="40" w:after="40"/>
            </w:pPr>
            <w:r>
              <w:rPr>
                <w:color w:val="1a1a2e"/>
                <w:sz w:val="20"/>
              </w:rPr>
              <w:t>HIGH</w:t>
            </w:r>
          </w:p>
        </w:tc>
      </w:tr>
      <w:tr>
        <w:tc>
          <w:tcPr>
            <w:tcW w:w="1800" w:type="dxa"/>
          </w:tcPr>
          <w:p>
            <w:pPr>
              <w:spacing w:before="40" w:after="40"/>
            </w:pPr>
            <w:r>
              <w:rPr>
                <w:color w:val="1a1a2e"/>
                <w:sz w:val="20"/>
              </w:rPr>
              <w:t>C</w:t>
            </w:r>
          </w:p>
        </w:tc>
        <w:tc>
          <w:tcPr>
            <w:tcW w:w="1800" w:type="dxa"/>
          </w:tcPr>
          <w:p>
            <w:pPr>
              <w:spacing w:before="40" w:after="40"/>
            </w:pPr>
            <w:r>
              <w:rPr>
                <w:color w:val="1a1a2e"/>
                <w:sz w:val="20"/>
              </w:rPr>
              <w:t>"Maria" (pseudonym)</w:t>
            </w:r>
          </w:p>
        </w:tc>
        <w:tc>
          <w:tcPr>
            <w:tcW w:w="1800" w:type="dxa"/>
          </w:tcPr>
          <w:p>
            <w:pPr>
              <w:spacing w:before="40" w:after="40"/>
            </w:pPr>
            <w:r>
              <w:rPr>
                <w:color w:val="1a1a2e"/>
                <w:sz w:val="20"/>
              </w:rPr>
              <w:t>$2,100</w:t>
            </w:r>
          </w:p>
        </w:tc>
        <w:tc>
          <w:tcPr>
            <w:tcW w:w="1800" w:type="dxa"/>
          </w:tcPr>
          <w:p>
            <w:pPr>
              <w:spacing w:before="40" w:after="40"/>
            </w:pPr>
            <w:r>
              <w:rPr>
                <w:color w:val="1a1a2e"/>
                <w:sz w:val="20"/>
              </w:rPr>
              <w:t>Promoted reviewer - CC Review</w:t>
            </w:r>
          </w:p>
        </w:tc>
        <w:tc>
          <w:tcPr>
            <w:tcW w:w="1800" w:type="dxa"/>
          </w:tcPr>
          <w:p>
            <w:pPr>
              <w:spacing w:before="40" w:after="40"/>
            </w:pPr>
            <w:r>
              <w:rPr>
                <w:color w:val="1a1a2e"/>
                <w:sz w:val="20"/>
              </w:rPr>
              <w:t>HIGH</w:t>
            </w:r>
          </w:p>
        </w:tc>
      </w:tr>
      <w:tr>
        <w:tc>
          <w:tcPr>
            <w:tcW w:w="1800" w:type="dxa"/>
            <w:shd w:val="clear" w:fill="F7FAFC"/>
          </w:tcPr>
          <w:p>
            <w:pPr>
              <w:spacing w:before="40" w:after="40"/>
            </w:pPr>
            <w:r>
              <w:rPr>
                <w:color w:val="1a1a2e"/>
                <w:sz w:val="20"/>
              </w:rPr>
              <w:t>E</w:t>
            </w:r>
          </w:p>
        </w:tc>
        <w:tc>
          <w:tcPr>
            <w:tcW w:w="1800" w:type="dxa"/>
            <w:shd w:val="clear" w:fill="F7FAFC"/>
          </w:tcPr>
          <w:p>
            <w:pPr>
              <w:spacing w:before="40" w:after="40"/>
            </w:pPr>
            <w:r>
              <w:rPr>
                <w:color w:val="1a1a2e"/>
                <w:sz w:val="20"/>
              </w:rPr>
              <w:t>Anonymous (top performer)</w:t>
            </w:r>
          </w:p>
        </w:tc>
        <w:tc>
          <w:tcPr>
            <w:tcW w:w="1800" w:type="dxa"/>
            <w:shd w:val="clear" w:fill="F7FAFC"/>
          </w:tcPr>
          <w:p>
            <w:pPr>
              <w:spacing w:before="40" w:after="40"/>
            </w:pPr>
            <w:r>
              <w:rPr>
                <w:color w:val="1a1a2e"/>
                <w:sz w:val="20"/>
              </w:rPr>
              <w:t>$126.26</w:t>
            </w:r>
          </w:p>
        </w:tc>
        <w:tc>
          <w:tcPr>
            <w:tcW w:w="1800" w:type="dxa"/>
            <w:shd w:val="clear" w:fill="F7FAFC"/>
          </w:tcPr>
          <w:p>
            <w:pPr>
              <w:spacing w:before="40" w:after="40"/>
            </w:pPr>
            <w:r>
              <w:rPr>
                <w:color w:val="1a1a2e"/>
                <w:sz w:val="20"/>
              </w:rPr>
              <w:t>AI Data Annotator</w:t>
            </w:r>
          </w:p>
        </w:tc>
        <w:tc>
          <w:tcPr>
            <w:tcW w:w="1800" w:type="dxa"/>
            <w:shd w:val="clear" w:fill="F7FAFC"/>
          </w:tcPr>
          <w:p>
            <w:pPr>
              <w:spacing w:before="40" w:after="40"/>
            </w:pPr>
            <w:r>
              <w:rPr>
                <w:color w:val="1a1a2e"/>
                <w:sz w:val="20"/>
              </w:rPr>
              <w:t>HIGH</w:t>
            </w:r>
          </w:p>
        </w:tc>
      </w:tr>
      <w:tr>
        <w:tc>
          <w:tcPr>
            <w:tcW w:w="1800" w:type="dxa"/>
          </w:tcPr>
          <w:p>
            <w:pPr>
              <w:spacing w:before="40" w:after="40"/>
            </w:pPr>
            <w:r>
              <w:rPr>
                <w:color w:val="1a1a2e"/>
                <w:sz w:val="20"/>
              </w:rPr>
              <w:t>F</w:t>
            </w:r>
          </w:p>
        </w:tc>
        <w:tc>
          <w:tcPr>
            <w:tcW w:w="1800" w:type="dxa"/>
          </w:tcPr>
          <w:p>
            <w:pPr>
              <w:spacing w:before="40" w:after="40"/>
            </w:pPr>
            <w:r>
              <w:rPr>
                <w:color w:val="1a1a2e"/>
                <w:sz w:val="20"/>
              </w:rPr>
              <w:t>Anonymous</w:t>
            </w:r>
          </w:p>
        </w:tc>
        <w:tc>
          <w:tcPr>
            <w:tcW w:w="1800" w:type="dxa"/>
          </w:tcPr>
          <w:p>
            <w:pPr>
              <w:spacing w:before="40" w:after="40"/>
            </w:pPr>
            <w:r>
              <w:rPr>
                <w:color w:val="1a1a2e"/>
                <w:sz w:val="20"/>
              </w:rPr>
              <w:t>$1,000-$2,000</w:t>
            </w:r>
          </w:p>
        </w:tc>
        <w:tc>
          <w:tcPr>
            <w:tcW w:w="1800" w:type="dxa"/>
          </w:tcPr>
          <w:p>
            <w:pPr>
              <w:spacing w:before="40" w:after="40"/>
            </w:pPr>
            <w:r>
              <w:rPr>
                <w:color w:val="1a1a2e"/>
                <w:sz w:val="20"/>
              </w:rPr>
              <w:t>AI Data Annotator</w:t>
            </w:r>
          </w:p>
        </w:tc>
        <w:tc>
          <w:tcPr>
            <w:tcW w:w="1800" w:type="dxa"/>
          </w:tcPr>
          <w:p>
            <w:pPr>
              <w:spacing w:before="40" w:after="40"/>
            </w:pPr>
            <w:r>
              <w:rPr>
                <w:color w:val="1a1a2e"/>
                <w:sz w:val="20"/>
              </w:rPr>
              <w:t>HIGH</w:t>
            </w:r>
          </w:p>
        </w:tc>
      </w:tr>
      <w:tr>
        <w:tc>
          <w:tcPr>
            <w:tcW w:w="1800" w:type="dxa"/>
            <w:shd w:val="clear" w:fill="F7FAFC"/>
          </w:tcPr>
          <w:p>
            <w:pPr>
              <w:spacing w:before="40" w:after="40"/>
            </w:pPr>
            <w:r>
              <w:rPr>
                <w:color w:val="1a1a2e"/>
                <w:sz w:val="20"/>
              </w:rPr>
              <w:t>N</w:t>
            </w:r>
          </w:p>
        </w:tc>
        <w:tc>
          <w:tcPr>
            <w:tcW w:w="1800" w:type="dxa"/>
            <w:shd w:val="clear" w:fill="F7FAFC"/>
          </w:tcPr>
          <w:p>
            <w:pPr>
              <w:spacing w:before="40" w:after="40"/>
            </w:pPr>
            <w:r>
              <w:rPr>
                <w:color w:val="1a1a2e"/>
                <w:sz w:val="20"/>
              </w:rPr>
              <w:t>Anonymous</w:t>
            </w:r>
          </w:p>
        </w:tc>
        <w:tc>
          <w:tcPr>
            <w:tcW w:w="1800" w:type="dxa"/>
            <w:shd w:val="clear" w:fill="F7FAFC"/>
          </w:tcPr>
          <w:p>
            <w:pPr>
              <w:spacing w:before="40" w:after="40"/>
            </w:pPr>
            <w:r>
              <w:rPr>
                <w:color w:val="1a1a2e"/>
                <w:sz w:val="20"/>
              </w:rPr>
              <w:t>~$70</w:t>
            </w:r>
          </w:p>
        </w:tc>
        <w:tc>
          <w:tcPr>
            <w:tcW w:w="1800" w:type="dxa"/>
            <w:shd w:val="clear" w:fill="F7FAFC"/>
          </w:tcPr>
          <w:p>
            <w:pPr>
              <w:spacing w:before="40" w:after="40"/>
            </w:pPr>
            <w:r>
              <w:rPr>
                <w:color w:val="1a1a2e"/>
                <w:sz w:val="20"/>
              </w:rPr>
              <w:t>General contractor</w:t>
            </w:r>
          </w:p>
        </w:tc>
        <w:tc>
          <w:tcPr>
            <w:tcW w:w="1800" w:type="dxa"/>
            <w:shd w:val="clear" w:fill="F7FAFC"/>
          </w:tcPr>
          <w:p>
            <w:pPr>
              <w:spacing w:before="40" w:after="40"/>
            </w:pPr>
            <w:r>
              <w:rPr>
                <w:color w:val="1a1a2e"/>
                <w:sz w:val="20"/>
              </w:rPr>
              <w:t>MEDIUM</w:t>
            </w:r>
          </w:p>
        </w:tc>
      </w:tr>
      <w:tr>
        <w:tc>
          <w:tcPr>
            <w:tcW w:w="1800" w:type="dxa"/>
          </w:tcPr>
          <w:p>
            <w:pPr>
              <w:spacing w:before="40" w:after="40"/>
            </w:pPr>
            <w:r>
              <w:rPr>
                <w:color w:val="1a1a2e"/>
                <w:sz w:val="20"/>
              </w:rPr>
              <w:t>Q</w:t>
            </w:r>
          </w:p>
        </w:tc>
        <w:tc>
          <w:tcPr>
            <w:tcW w:w="1800" w:type="dxa"/>
          </w:tcPr>
          <w:p>
            <w:pPr>
              <w:spacing w:before="40" w:after="40"/>
            </w:pPr>
            <w:r>
              <w:rPr>
                <w:color w:val="1a1a2e"/>
                <w:sz w:val="20"/>
              </w:rPr>
              <w:t>Anonymous</w:t>
            </w:r>
          </w:p>
        </w:tc>
        <w:tc>
          <w:tcPr>
            <w:tcW w:w="1800" w:type="dxa"/>
          </w:tcPr>
          <w:p>
            <w:pPr>
              <w:spacing w:before="40" w:after="40"/>
            </w:pPr>
            <w:r>
              <w:rPr>
                <w:color w:val="1a1a2e"/>
                <w:sz w:val="20"/>
              </w:rPr>
              <w:t>~$3,000</w:t>
            </w:r>
          </w:p>
        </w:tc>
        <w:tc>
          <w:tcPr>
            <w:tcW w:w="1800" w:type="dxa"/>
          </w:tcPr>
          <w:p>
            <w:pPr>
              <w:spacing w:before="40" w:after="40"/>
            </w:pPr>
            <w:r>
              <w:rPr>
                <w:color w:val="1a1a2e"/>
                <w:sz w:val="20"/>
              </w:rPr>
              <w:t>AI Data Annotator - resolved after legal threat</w:t>
            </w:r>
          </w:p>
        </w:tc>
        <w:tc>
          <w:tcPr>
            <w:tcW w:w="1800" w:type="dxa"/>
          </w:tcPr>
          <w:p>
            <w:pPr>
              <w:spacing w:before="40" w:after="40"/>
            </w:pPr>
            <w:r>
              <w:rPr>
                <w:color w:val="1a1a2e"/>
                <w:sz w:val="20"/>
              </w:rPr>
              <w:t>HIGH</w:t>
            </w:r>
          </w:p>
        </w:tc>
      </w:tr>
    </w:tbl>
    <w:p>
      <w:pPr>
        <w:jc w:val="both"/>
      </w:pPr>
      <w:r>
        <w:t>The sum of specifically quantified amounts across cases with hard dollar figures totals $6,871.26. When imputed amounts are included, the documented individual claims rise to approximately $10,000-$12,000 across the 18 cases above.</w:t>
      </w:r>
    </w:p>
    <w:p>
      <w:pPr>
        <w:pStyle w:val="Heading3"/>
      </w:pPr>
      <w:r>
        <w:t>7.1.2 Aggregate Conservative Estimate: $10 Million+</w:t>
      </w:r>
    </w:p>
    <w:p>
      <w:pPr>
        <w:jc w:val="both"/>
      </w:pPr>
      <w:r>
        <w:t>Using conservative assumptions: 5% of 5,000 workers experiencing issues at $800 average = $200,000/week or $10.4 million/year. This aggregate figure is critical for class action damages calculations. Under California's PAGA, statutory penalties run $100-$200 per aggrieved employee per pay period.</w:t>
      </w:r>
    </w:p>
    <w:p>
      <w:pPr>
        <w:pStyle w:val="Heading3"/>
      </w:pPr>
      <w:r>
        <w:t>7.1.3 Unpaid Evaluation Work: $150 Million+ in Extracted Value</w:t>
      </w:r>
    </w:p>
    <w:p>
      <w:pPr>
        <w:jc w:val="both"/>
      </w:pPr>
      <w:r>
        <w:t>If 1.5 million registered workers each completed an average of 5 hours of unpaid evaluation work at $20/hour, the potential extracted value reaches $150 million in free labour. Industry-wide data supports this magnitude: a 2022 study found that 34% of all time spent working on annotation platforms was unpaid.</w:t>
      </w:r>
    </w:p>
    <w:p>
      <w:pPr>
        <w:pStyle w:val="Heading2"/>
      </w:pPr>
      <w:r>
        <w:t>7.2 Identified Patterns</w:t>
      </w:r>
    </w:p>
    <w:p>
      <w:pPr>
        <w:pStyle w:val="Heading3"/>
      </w:pPr>
      <w:r>
        <w:t>7.2.1 Eight Distinct Payment Patterns</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Pattern</w:t>
            </w:r>
          </w:p>
        </w:tc>
        <w:tc>
          <w:tcPr>
            <w:tcW w:w="2250" w:type="dxa"/>
            <w:shd w:val="clear" w:fill="EDF2F7"/>
          </w:tcPr>
          <w:p>
            <w:pPr>
              <w:spacing w:before="60" w:after="60"/>
            </w:pPr>
            <w:r>
              <w:rPr>
                <w:b/>
                <w:color w:val="1a1a2e"/>
                <w:sz w:val="20"/>
              </w:rPr>
              <w:t>Mechanism</w:t>
            </w:r>
          </w:p>
        </w:tc>
        <w:tc>
          <w:tcPr>
            <w:tcW w:w="2250" w:type="dxa"/>
            <w:shd w:val="clear" w:fill="EDF2F7"/>
          </w:tcPr>
          <w:p>
            <w:pPr>
              <w:spacing w:before="60" w:after="60"/>
            </w:pPr>
            <w:r>
              <w:rPr>
                <w:b/>
                <w:color w:val="1a1a2e"/>
                <w:sz w:val="20"/>
              </w:rPr>
              <w:t>Frequency</w:t>
            </w:r>
          </w:p>
        </w:tc>
        <w:tc>
          <w:tcPr>
            <w:tcW w:w="2250" w:type="dxa"/>
            <w:shd w:val="clear" w:fill="EDF2F7"/>
          </w:tcPr>
          <w:p>
            <w:pPr>
              <w:spacing w:before="60" w:after="60"/>
            </w:pPr>
            <w:r>
              <w:rPr>
                <w:b/>
                <w:color w:val="1a1a2e"/>
                <w:sz w:val="20"/>
              </w:rPr>
              <w:t>Evidence</w:t>
            </w:r>
          </w:p>
        </w:tc>
      </w:tr>
      <w:tr>
        <w:tc>
          <w:tcPr>
            <w:tcW w:w="2250" w:type="dxa"/>
          </w:tcPr>
          <w:p>
            <w:pPr>
              <w:spacing w:before="40" w:after="40"/>
            </w:pPr>
            <w:r>
              <w:rPr>
                <w:color w:val="1a1a2e"/>
                <w:sz w:val="20"/>
              </w:rPr>
              <w:t>1. Consistent Payment to Sudden Cutoff</w:t>
            </w:r>
          </w:p>
        </w:tc>
        <w:tc>
          <w:tcPr>
            <w:tcW w:w="2250" w:type="dxa"/>
          </w:tcPr>
          <w:p>
            <w:pPr>
              <w:spacing w:before="40" w:after="40"/>
            </w:pPr>
            <w:r>
              <w:rPr>
                <w:color w:val="1a1a2e"/>
                <w:sz w:val="20"/>
              </w:rPr>
              <w:t>Paid 2-4 months, then terminated on inquiry</w:t>
            </w:r>
          </w:p>
        </w:tc>
        <w:tc>
          <w:tcPr>
            <w:tcW w:w="2250" w:type="dxa"/>
          </w:tcPr>
          <w:p>
            <w:pPr>
              <w:spacing w:before="40" w:after="40"/>
            </w:pPr>
            <w:r>
              <w:rPr>
                <w:color w:val="1a1a2e"/>
                <w:sz w:val="20"/>
              </w:rPr>
              <w:t>Most common; 5+ cases</w:t>
            </w:r>
          </w:p>
        </w:tc>
        <w:tc>
          <w:tcPr>
            <w:tcW w:w="2250" w:type="dxa"/>
          </w:tcPr>
          <w:p>
            <w:pPr>
              <w:spacing w:before="40" w:after="40"/>
            </w:pPr>
            <w:r>
              <w:rPr>
                <w:color w:val="1a1a2e"/>
                <w:sz w:val="20"/>
              </w:rPr>
              <w:t>HIGH</w:t>
            </w:r>
          </w:p>
        </w:tc>
      </w:tr>
      <w:tr>
        <w:tc>
          <w:tcPr>
            <w:tcW w:w="2250" w:type="dxa"/>
            <w:shd w:val="clear" w:fill="F7FAFC"/>
          </w:tcPr>
          <w:p>
            <w:pPr>
              <w:spacing w:before="40" w:after="40"/>
            </w:pPr>
            <w:r>
              <w:rPr>
                <w:color w:val="1a1a2e"/>
                <w:sz w:val="20"/>
              </w:rPr>
              <w:t>2. Pre-Payment Deactivation</w:t>
            </w:r>
          </w:p>
        </w:tc>
        <w:tc>
          <w:tcPr>
            <w:tcW w:w="2250" w:type="dxa"/>
            <w:shd w:val="clear" w:fill="F7FAFC"/>
          </w:tcPr>
          <w:p>
            <w:pPr>
              <w:spacing w:before="40" w:after="40"/>
            </w:pPr>
            <w:r>
              <w:rPr>
                <w:color w:val="1a1a2e"/>
                <w:sz w:val="20"/>
              </w:rPr>
              <w:t>Account deactivated hours before payday</w:t>
            </w:r>
          </w:p>
        </w:tc>
        <w:tc>
          <w:tcPr>
            <w:tcW w:w="2250" w:type="dxa"/>
            <w:shd w:val="clear" w:fill="F7FAFC"/>
          </w:tcPr>
          <w:p>
            <w:pPr>
              <w:spacing w:before="40" w:after="40"/>
            </w:pPr>
            <w:r>
              <w:rPr>
                <w:color w:val="1a1a2e"/>
                <w:sz w:val="20"/>
              </w:rPr>
              <w:t>Very common; 10+ sources</w:t>
            </w:r>
          </w:p>
        </w:tc>
        <w:tc>
          <w:tcPr>
            <w:tcW w:w="2250" w:type="dxa"/>
            <w:shd w:val="clear" w:fill="F7FAFC"/>
          </w:tcPr>
          <w:p>
            <w:pPr>
              <w:spacing w:before="40" w:after="40"/>
            </w:pPr>
            <w:r>
              <w:rPr>
                <w:color w:val="1a1a2e"/>
                <w:sz w:val="20"/>
              </w:rPr>
              <w:t>HIGH</w:t>
            </w:r>
          </w:p>
        </w:tc>
      </w:tr>
      <w:tr>
        <w:tc>
          <w:tcPr>
            <w:tcW w:w="2250" w:type="dxa"/>
          </w:tcPr>
          <w:p>
            <w:pPr>
              <w:spacing w:before="40" w:after="40"/>
            </w:pPr>
            <w:r>
              <w:rPr>
                <w:color w:val="1a1a2e"/>
                <w:sz w:val="20"/>
              </w:rPr>
              <w:t>3. Retroactive Task Failure Flip</w:t>
            </w:r>
          </w:p>
        </w:tc>
        <w:tc>
          <w:tcPr>
            <w:tcW w:w="2250" w:type="dxa"/>
          </w:tcPr>
          <w:p>
            <w:pPr>
              <w:spacing w:before="40" w:after="40"/>
            </w:pPr>
            <w:r>
              <w:rPr>
                <w:color w:val="1a1a2e"/>
                <w:sz w:val="20"/>
              </w:rPr>
              <w:t>Passed tasks flipped to failed when payment due</w:t>
            </w:r>
          </w:p>
        </w:tc>
        <w:tc>
          <w:tcPr>
            <w:tcW w:w="2250" w:type="dxa"/>
          </w:tcPr>
          <w:p>
            <w:pPr>
              <w:spacing w:before="40" w:after="40"/>
            </w:pPr>
            <w:r>
              <w:rPr>
                <w:color w:val="1a1a2e"/>
                <w:sz w:val="20"/>
              </w:rPr>
              <w:t>Multiple cases</w:t>
            </w:r>
          </w:p>
        </w:tc>
        <w:tc>
          <w:tcPr>
            <w:tcW w:w="2250" w:type="dxa"/>
          </w:tcPr>
          <w:p>
            <w:pPr>
              <w:spacing w:before="40" w:after="40"/>
            </w:pPr>
            <w:r>
              <w:rPr>
                <w:color w:val="1a1a2e"/>
                <w:sz w:val="20"/>
              </w:rPr>
              <w:t>HIGH</w:t>
            </w:r>
          </w:p>
        </w:tc>
      </w:tr>
      <w:tr>
        <w:tc>
          <w:tcPr>
            <w:tcW w:w="2250" w:type="dxa"/>
            <w:shd w:val="clear" w:fill="F7FAFC"/>
          </w:tcPr>
          <w:p>
            <w:pPr>
              <w:spacing w:before="40" w:after="40"/>
            </w:pPr>
            <w:r>
              <w:rPr>
                <w:color w:val="1a1a2e"/>
                <w:sz w:val="20"/>
              </w:rPr>
              <w:t>4. Partial Payment / Underpayment</w:t>
            </w:r>
          </w:p>
        </w:tc>
        <w:tc>
          <w:tcPr>
            <w:tcW w:w="2250" w:type="dxa"/>
            <w:shd w:val="clear" w:fill="F7FAFC"/>
          </w:tcPr>
          <w:p>
            <w:pPr>
              <w:spacing w:before="40" w:after="40"/>
            </w:pPr>
            <w:r>
              <w:rPr>
                <w:color w:val="1a1a2e"/>
                <w:sz w:val="20"/>
              </w:rPr>
              <w:t>Systematic payment of fraction owed</w:t>
            </w:r>
          </w:p>
        </w:tc>
        <w:tc>
          <w:tcPr>
            <w:tcW w:w="2250" w:type="dxa"/>
            <w:shd w:val="clear" w:fill="F7FAFC"/>
          </w:tcPr>
          <w:p>
            <w:pPr>
              <w:spacing w:before="40" w:after="40"/>
            </w:pPr>
            <w:r>
              <w:rPr>
                <w:color w:val="1a1a2e"/>
                <w:sz w:val="20"/>
              </w:rPr>
              <w:t>Multiple cases</w:t>
            </w:r>
          </w:p>
        </w:tc>
        <w:tc>
          <w:tcPr>
            <w:tcW w:w="2250" w:type="dxa"/>
            <w:shd w:val="clear" w:fill="F7FAFC"/>
          </w:tcPr>
          <w:p>
            <w:pPr>
              <w:spacing w:before="40" w:after="40"/>
            </w:pPr>
            <w:r>
              <w:rPr>
                <w:color w:val="1a1a2e"/>
                <w:sz w:val="20"/>
              </w:rPr>
              <w:t>HIGH</w:t>
            </w:r>
          </w:p>
        </w:tc>
      </w:tr>
      <w:tr>
        <w:tc>
          <w:tcPr>
            <w:tcW w:w="2250" w:type="dxa"/>
          </w:tcPr>
          <w:p>
            <w:pPr>
              <w:spacing w:before="40" w:after="40"/>
            </w:pPr>
            <w:r>
              <w:rPr>
                <w:color w:val="1a1a2e"/>
                <w:sz w:val="20"/>
              </w:rPr>
              <w:t>5. Unpaid Evaluation as Free Labour</w:t>
            </w:r>
          </w:p>
        </w:tc>
        <w:tc>
          <w:tcPr>
            <w:tcW w:w="2250" w:type="dxa"/>
          </w:tcPr>
          <w:p>
            <w:pPr>
              <w:spacing w:before="40" w:after="40"/>
            </w:pPr>
            <w:r>
              <w:rPr>
                <w:color w:val="1a1a2e"/>
                <w:sz w:val="20"/>
              </w:rPr>
              <w:t>Evaluation tasks never followed by paid work</w:t>
            </w:r>
          </w:p>
        </w:tc>
        <w:tc>
          <w:tcPr>
            <w:tcW w:w="2250" w:type="dxa"/>
          </w:tcPr>
          <w:p>
            <w:pPr>
              <w:spacing w:before="40" w:after="40"/>
            </w:pPr>
            <w:r>
              <w:rPr>
                <w:color w:val="1a1a2e"/>
                <w:sz w:val="20"/>
              </w:rPr>
              <w:t>Systematic; dozens</w:t>
            </w:r>
          </w:p>
        </w:tc>
        <w:tc>
          <w:tcPr>
            <w:tcW w:w="2250" w:type="dxa"/>
          </w:tcPr>
          <w:p>
            <w:pPr>
              <w:spacing w:before="40" w:after="40"/>
            </w:pPr>
            <w:r>
              <w:rPr>
                <w:color w:val="1a1a2e"/>
                <w:sz w:val="20"/>
              </w:rPr>
              <w:t>HIGH</w:t>
            </w:r>
          </w:p>
        </w:tc>
      </w:tr>
      <w:tr>
        <w:tc>
          <w:tcPr>
            <w:tcW w:w="2250" w:type="dxa"/>
            <w:shd w:val="clear" w:fill="F7FAFC"/>
          </w:tcPr>
          <w:p>
            <w:pPr>
              <w:spacing w:before="40" w:after="40"/>
            </w:pPr>
            <w:r>
              <w:rPr>
                <w:color w:val="1a1a2e"/>
                <w:sz w:val="20"/>
              </w:rPr>
              <w:t>6. Project Pause with Unpaid Work</w:t>
            </w:r>
          </w:p>
        </w:tc>
        <w:tc>
          <w:tcPr>
            <w:tcW w:w="2250" w:type="dxa"/>
            <w:shd w:val="clear" w:fill="F7FAFC"/>
          </w:tcPr>
          <w:p>
            <w:pPr>
              <w:spacing w:before="40" w:after="40"/>
            </w:pPr>
            <w:r>
              <w:rPr>
                <w:color w:val="1a1a2e"/>
                <w:sz w:val="20"/>
              </w:rPr>
              <w:t>Project paused, review stops, work in limbo</w:t>
            </w:r>
          </w:p>
        </w:tc>
        <w:tc>
          <w:tcPr>
            <w:tcW w:w="2250" w:type="dxa"/>
            <w:shd w:val="clear" w:fill="F7FAFC"/>
          </w:tcPr>
          <w:p>
            <w:pPr>
              <w:spacing w:before="40" w:after="40"/>
            </w:pPr>
            <w:r>
              <w:rPr>
                <w:color w:val="1a1a2e"/>
                <w:sz w:val="20"/>
              </w:rPr>
              <w:t>Multiple projects</w:t>
            </w:r>
          </w:p>
        </w:tc>
        <w:tc>
          <w:tcPr>
            <w:tcW w:w="2250" w:type="dxa"/>
            <w:shd w:val="clear" w:fill="F7FAFC"/>
          </w:tcPr>
          <w:p>
            <w:pPr>
              <w:spacing w:before="40" w:after="40"/>
            </w:pPr>
            <w:r>
              <w:rPr>
                <w:color w:val="1a1a2e"/>
                <w:sz w:val="20"/>
              </w:rPr>
              <w:t>HIGH</w:t>
            </w:r>
          </w:p>
        </w:tc>
      </w:tr>
      <w:tr>
        <w:tc>
          <w:tcPr>
            <w:tcW w:w="2250" w:type="dxa"/>
          </w:tcPr>
          <w:p>
            <w:pPr>
              <w:spacing w:before="40" w:after="40"/>
            </w:pPr>
            <w:r>
              <w:rPr>
                <w:color w:val="1a1a2e"/>
                <w:sz w:val="20"/>
              </w:rPr>
              <w:t>7. Geographic Pay Discrimination</w:t>
            </w:r>
          </w:p>
        </w:tc>
        <w:tc>
          <w:tcPr>
            <w:tcW w:w="2250" w:type="dxa"/>
          </w:tcPr>
          <w:p>
            <w:pPr>
              <w:spacing w:before="40" w:after="40"/>
            </w:pPr>
            <w:r>
              <w:rPr>
                <w:color w:val="1a1a2e"/>
                <w:sz w:val="20"/>
              </w:rPr>
              <w:t>Asian workers paid 30% of non-Asian rates</w:t>
            </w:r>
          </w:p>
        </w:tc>
        <w:tc>
          <w:tcPr>
            <w:tcW w:w="2250" w:type="dxa"/>
          </w:tcPr>
          <w:p>
            <w:pPr>
              <w:spacing w:before="40" w:after="40"/>
            </w:pPr>
            <w:r>
              <w:rPr>
                <w:color w:val="1a1a2e"/>
                <w:sz w:val="20"/>
              </w:rPr>
              <w:t>At least 1 explicit case</w:t>
            </w:r>
          </w:p>
        </w:tc>
        <w:tc>
          <w:tcPr>
            <w:tcW w:w="2250" w:type="dxa"/>
          </w:tcPr>
          <w:p>
            <w:pPr>
              <w:spacing w:before="40" w:after="40"/>
            </w:pPr>
            <w:r>
              <w:rPr>
                <w:color w:val="1a1a2e"/>
                <w:sz w:val="20"/>
              </w:rPr>
              <w:t>HIGH</w:t>
            </w:r>
          </w:p>
        </w:tc>
      </w:tr>
      <w:tr>
        <w:tc>
          <w:tcPr>
            <w:tcW w:w="2250" w:type="dxa"/>
            <w:shd w:val="clear" w:fill="F7FAFC"/>
          </w:tcPr>
          <w:p>
            <w:pPr>
              <w:spacing w:before="40" w:after="40"/>
            </w:pPr>
            <w:r>
              <w:rPr>
                <w:color w:val="1a1a2e"/>
                <w:sz w:val="20"/>
              </w:rPr>
              <w:t>8. Contractual Unilateral Discretion</w:t>
            </w:r>
          </w:p>
        </w:tc>
        <w:tc>
          <w:tcPr>
            <w:tcW w:w="2250" w:type="dxa"/>
            <w:shd w:val="clear" w:fill="F7FAFC"/>
          </w:tcPr>
          <w:p>
            <w:pPr>
              <w:spacing w:before="40" w:after="40"/>
            </w:pPr>
            <w:r>
              <w:rPr>
                <w:color w:val="1a1a2e"/>
                <w:sz w:val="20"/>
              </w:rPr>
              <w:t>Company has complete discretion to deny payment</w:t>
            </w:r>
          </w:p>
        </w:tc>
        <w:tc>
          <w:tcPr>
            <w:tcW w:w="2250" w:type="dxa"/>
            <w:shd w:val="clear" w:fill="F7FAFC"/>
          </w:tcPr>
          <w:p>
            <w:pPr>
              <w:spacing w:before="40" w:after="40"/>
            </w:pPr>
            <w:r>
              <w:rPr>
                <w:color w:val="1a1a2e"/>
                <w:sz w:val="20"/>
              </w:rPr>
              <w:t>Universal</w:t>
            </w:r>
          </w:p>
        </w:tc>
        <w:tc>
          <w:tcPr>
            <w:tcW w:w="2250" w:type="dxa"/>
            <w:shd w:val="clear" w:fill="F7FAFC"/>
          </w:tcPr>
          <w:p>
            <w:pPr>
              <w:spacing w:before="40" w:after="40"/>
            </w:pPr>
            <w:r>
              <w:rPr>
                <w:color w:val="1a1a2e"/>
                <w:sz w:val="20"/>
              </w:rPr>
              <w:t>HIGH</w:t>
            </w:r>
          </w:p>
        </w:tc>
      </w:tr>
    </w:tbl>
    <w:p>
      <w:pPr>
        <w:pStyle w:val="Heading3"/>
      </w:pPr>
      <w:r>
        <w:t>7.2.2 The "Harvest-and-Discard" Model</w:t>
      </w:r>
    </w:p>
    <w:p>
      <w:pPr>
        <w:jc w:val="both"/>
      </w:pPr>
      <w:r>
        <w:t>Pattern 1 and Pattern 2, viewed together, reveal a systematic operational model: (1) Establish credibility by paying consistently for 2-4 months; (2) Maximise accumulation as workers increase workload; (3) Engineer termination as cumulative payouts approach $800-$2,100; (4) Forfeit all accumulated earnings upon deactivation. The Maria case exemplifies this model: after completing 62 tasks with a 4.4/5 quality rating and earning a promotion to reviewer, her entire digital presence was erased within hours.</w:t>
      </w:r>
    </w:p>
    <w:p>
      <w:pPr>
        <w:pStyle w:val="Heading3"/>
      </w:pPr>
      <w:r>
        <w:t>7.2.3 CHP Claude Code as Mass Default: 500+ Workers</w:t>
      </w:r>
    </w:p>
    <w:p>
      <w:pPr>
        <w:jc w:val="both"/>
      </w:pPr>
      <w:r>
        <w:t>While most documented cases involve individual terminations, the CHP Claude Code project represents a mass payment default affecting hundreds of workers simultaneously. The Breaking Even newsletter independently confirmed that 500+ workers were affected by the CHP Claude Code payment failures. Mass defaults are legally significant because they generate a shared evidence pool and suggest a business decision rather than individual performance issues.</w:t>
      </w:r>
    </w:p>
    <w:p>
      <w:pPr>
        <w:pStyle w:val="Heading2"/>
      </w:pPr>
      <w:r>
        <w:t>7.3 Pay Structure Analysis</w:t>
      </w:r>
    </w:p>
    <w:p>
      <w:pPr>
        <w:pStyle w:val="Heading3"/>
      </w:pPr>
      <w:r>
        <w:t>7.3.1 Geographic Discrimination: Asian Workers at 30%</w:t>
      </w:r>
    </w:p>
    <w:p>
      <w:pPr>
        <w:jc w:val="both"/>
      </w:pPr>
      <w:r>
        <w:t>A Trustpilot review stated explicitly: "The ASIA is only 30% of what others can receive per task." This is a specific, quantified allegation that workers in Asian markets receive 30 cents on the dollar compared to workers in other regions for performing identical annotation tasks.</w:t>
      </w:r>
    </w:p>
    <w:p>
      <w:pPr>
        <w:pStyle w:val="Heading3"/>
      </w:pPr>
      <w:r>
        <w:t>7.3.2 Temporal Decline: The Collapsing Wage Floor</w:t>
      </w:r>
    </w:p>
    <w:p>
      <w:pPr>
        <w:jc w:val="both"/>
      </w:pPr>
      <w:r>
        <w:t>The rate progression - $50/hour (2024) to $25/hour (2025) to $3/$1 per task (2026) - represents not market adjustment but engineered wage compression. At $1 per task with a 10-minute average completion time, the effective hourly rate is $6 - below the federal minimum wage.</w:t>
      </w:r>
    </w:p>
    <w:p>
      <w:pPr>
        <w:pStyle w:val="Heading1"/>
      </w:pPr>
      <w:r>
        <w:t>8. Worker Silencing &amp; Retaliation</w:t>
      </w:r>
      <w:bookmarkStart w:name="_Toc008" w:id="9"/>
      <w:bookmarkEnd w:id="9"/>
    </w:p>
    <w:p>
      <w:pPr>
        <w:pStyle w:val="Heading2"/>
      </w:pPr>
      <w:r>
        <w:t>8.1 The Four-Tier Architecture</w:t>
      </w:r>
    </w:p>
    <w:p>
      <w:pPr>
        <w:pStyle w:val="Heading3"/>
      </w:pPr>
      <w:r>
        <w:t>8.1.1 Tier 1 - Platform Retaliation: Coordinated Severance</w:t>
      </w:r>
    </w:p>
    <w:p>
      <w:pPr>
        <w:jc w:val="both"/>
      </w:pPr>
      <w:r>
        <w:t>When workers raise concerns about unpaid wages, they do not receive a response - they receive a coordinated digital erasure. Multiple independent sources document simultaneous removal from the Alignerr platform, ejection from Slack, banning from Discord, and cessation of all email communication. The case of "Maria" illustrates: the dashboard showed nothing; work history deleted; Slack channels ejected her; Discord returned an error. "It was as if she had never existed."</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Worker</w:t>
            </w:r>
          </w:p>
        </w:tc>
        <w:tc>
          <w:tcPr>
            <w:tcW w:w="2250" w:type="dxa"/>
            <w:shd w:val="clear" w:fill="EDF2F7"/>
          </w:tcPr>
          <w:p>
            <w:pPr>
              <w:spacing w:before="60" w:after="60"/>
            </w:pPr>
            <w:r>
              <w:rPr>
                <w:b/>
                <w:color w:val="1a1a2e"/>
                <w:sz w:val="20"/>
              </w:rPr>
              <w:t>Amount</w:t>
            </w:r>
          </w:p>
        </w:tc>
        <w:tc>
          <w:tcPr>
            <w:tcW w:w="2250" w:type="dxa"/>
            <w:shd w:val="clear" w:fill="EDF2F7"/>
          </w:tcPr>
          <w:p>
            <w:pPr>
              <w:spacing w:before="60" w:after="60"/>
            </w:pPr>
            <w:r>
              <w:rPr>
                <w:b/>
                <w:color w:val="1a1a2e"/>
                <w:sz w:val="20"/>
              </w:rPr>
              <w:t>Channels Severed</w:t>
            </w:r>
          </w:p>
        </w:tc>
        <w:tc>
          <w:tcPr>
            <w:tcW w:w="2250" w:type="dxa"/>
            <w:shd w:val="clear" w:fill="EDF2F7"/>
          </w:tcPr>
          <w:p>
            <w:pPr>
              <w:spacing w:before="60" w:after="60"/>
            </w:pPr>
            <w:r>
              <w:rPr>
                <w:b/>
                <w:color w:val="1a1a2e"/>
                <w:sz w:val="20"/>
              </w:rPr>
              <w:t>Trigger</w:t>
            </w:r>
          </w:p>
        </w:tc>
      </w:tr>
      <w:tr>
        <w:tc>
          <w:tcPr>
            <w:tcW w:w="2250" w:type="dxa"/>
          </w:tcPr>
          <w:p>
            <w:pPr>
              <w:spacing w:before="40" w:after="40"/>
            </w:pPr>
            <w:r>
              <w:rPr>
                <w:color w:val="1a1a2e"/>
                <w:sz w:val="20"/>
              </w:rPr>
              <w:t>"Maria"</w:t>
            </w:r>
          </w:p>
        </w:tc>
        <w:tc>
          <w:tcPr>
            <w:tcW w:w="2250" w:type="dxa"/>
          </w:tcPr>
          <w:p>
            <w:pPr>
              <w:spacing w:before="40" w:after="40"/>
            </w:pPr>
            <w:r>
              <w:rPr>
                <w:color w:val="1a1a2e"/>
                <w:sz w:val="20"/>
              </w:rPr>
              <w:t>$2,100</w:t>
            </w:r>
          </w:p>
        </w:tc>
        <w:tc>
          <w:tcPr>
            <w:tcW w:w="2250" w:type="dxa"/>
          </w:tcPr>
          <w:p>
            <w:pPr>
              <w:spacing w:before="40" w:after="40"/>
            </w:pPr>
            <w:r>
              <w:rPr>
                <w:color w:val="1a1a2e"/>
                <w:sz w:val="20"/>
              </w:rPr>
              <w:t>Platform, Slack, Discord, dashboard</w:t>
            </w:r>
          </w:p>
        </w:tc>
        <w:tc>
          <w:tcPr>
            <w:tcW w:w="2250" w:type="dxa"/>
          </w:tcPr>
          <w:p>
            <w:pPr>
              <w:spacing w:before="40" w:after="40"/>
            </w:pPr>
            <w:r>
              <w:rPr>
                <w:color w:val="1a1a2e"/>
                <w:sz w:val="20"/>
              </w:rPr>
              <w:t>High performer</w:t>
            </w:r>
          </w:p>
        </w:tc>
      </w:tr>
      <w:tr>
        <w:tc>
          <w:tcPr>
            <w:tcW w:w="2250" w:type="dxa"/>
            <w:shd w:val="clear" w:fill="F7FAFC"/>
          </w:tcPr>
          <w:p>
            <w:pPr>
              <w:spacing w:before="40" w:after="40"/>
            </w:pPr>
            <w:r>
              <w:rPr>
                <w:color w:val="1a1a2e"/>
                <w:sz w:val="20"/>
              </w:rPr>
              <w:t>u/Even-Ad-3759</w:t>
            </w:r>
          </w:p>
        </w:tc>
        <w:tc>
          <w:tcPr>
            <w:tcW w:w="2250" w:type="dxa"/>
            <w:shd w:val="clear" w:fill="F7FAFC"/>
          </w:tcPr>
          <w:p>
            <w:pPr>
              <w:spacing w:before="40" w:after="40"/>
            </w:pPr>
            <w:r>
              <w:rPr>
                <w:color w:val="1a1a2e"/>
                <w:sz w:val="20"/>
              </w:rPr>
              <w:t>$800</w:t>
            </w:r>
          </w:p>
        </w:tc>
        <w:tc>
          <w:tcPr>
            <w:tcW w:w="2250" w:type="dxa"/>
            <w:shd w:val="clear" w:fill="F7FAFC"/>
          </w:tcPr>
          <w:p>
            <w:pPr>
              <w:spacing w:before="40" w:after="40"/>
            </w:pPr>
            <w:r>
              <w:rPr>
                <w:color w:val="1a1a2e"/>
                <w:sz w:val="20"/>
              </w:rPr>
              <w:t>Platform, payment access</w:t>
            </w:r>
          </w:p>
        </w:tc>
        <w:tc>
          <w:tcPr>
            <w:tcW w:w="2250" w:type="dxa"/>
            <w:shd w:val="clear" w:fill="F7FAFC"/>
          </w:tcPr>
          <w:p>
            <w:pPr>
              <w:spacing w:before="40" w:after="40"/>
            </w:pPr>
            <w:r>
              <w:rPr>
                <w:color w:val="1a1a2e"/>
                <w:sz w:val="20"/>
              </w:rPr>
              <w:t>Requested 6 weeks back pay</w:t>
            </w:r>
          </w:p>
        </w:tc>
      </w:tr>
      <w:tr>
        <w:tc>
          <w:tcPr>
            <w:tcW w:w="2250" w:type="dxa"/>
          </w:tcPr>
          <w:p>
            <w:pPr>
              <w:spacing w:before="40" w:after="40"/>
            </w:pPr>
            <w:r>
              <w:rPr>
                <w:color w:val="1a1a2e"/>
                <w:sz w:val="20"/>
              </w:rPr>
              <w:t>u/Wooden_Ad1472</w:t>
            </w:r>
          </w:p>
        </w:tc>
        <w:tc>
          <w:tcPr>
            <w:tcW w:w="2250" w:type="dxa"/>
          </w:tcPr>
          <w:p>
            <w:pPr>
              <w:spacing w:before="40" w:after="40"/>
            </w:pPr>
            <w:r>
              <w:rPr>
                <w:color w:val="1a1a2e"/>
                <w:sz w:val="20"/>
              </w:rPr>
              <w:t>$975</w:t>
            </w:r>
          </w:p>
        </w:tc>
        <w:tc>
          <w:tcPr>
            <w:tcW w:w="2250" w:type="dxa"/>
          </w:tcPr>
          <w:p>
            <w:pPr>
              <w:spacing w:before="40" w:after="40"/>
            </w:pPr>
            <w:r>
              <w:rPr>
                <w:color w:val="1a1a2e"/>
                <w:sz w:val="20"/>
              </w:rPr>
              <w:t>Platform, access</w:t>
            </w:r>
          </w:p>
        </w:tc>
        <w:tc>
          <w:tcPr>
            <w:tcW w:w="2250" w:type="dxa"/>
          </w:tcPr>
          <w:p>
            <w:pPr>
              <w:spacing w:before="40" w:after="40"/>
            </w:pPr>
            <w:r>
              <w:rPr>
                <w:color w:val="1a1a2e"/>
                <w:sz w:val="20"/>
              </w:rPr>
              <w:t>Called out team politics</w:t>
            </w:r>
          </w:p>
        </w:tc>
      </w:tr>
    </w:tbl>
    <w:p>
      <w:pPr>
        <w:pStyle w:val="Heading3"/>
      </w:pPr>
      <w:r>
        <w:t>8.1.2 Tier 2 - Community Silencing: r/alignerr as Reputation Tool</w:t>
      </w:r>
    </w:p>
    <w:p>
      <w:pPr>
        <w:jc w:val="both"/>
      </w:pPr>
      <w:r>
        <w:t>The subreddit "functions less as a community forum than as a reputation management tool." The mechanism has three components: a structural rule banning previously-banned platform users from posting; a behavioural technique called "concern theater" where moderators publicly acknowledge then privately redirect complaints; and active suppression extending even to legitimate work questions.</w:t>
      </w:r>
    </w:p>
    <w:p>
      <w:pPr>
        <w:pStyle w:val="Heading3"/>
      </w:pPr>
      <w:r>
        <w:t>8.1.3 Tier 3 - Narrative Management: Suspected Astroturfing</w:t>
      </w:r>
    </w:p>
    <w:p>
      <w:pPr>
        <w:jc w:val="both"/>
      </w:pPr>
      <w:r>
        <w:t>The most extensively documented example is the Reddit account u/trivialremote - a ten-year-old account with ~12,000 karma concentrated almost exclusively in r/alignerr and r/outlier_ai. The account reframes complaints as personal failure, uses management language ("Forwarded this context to Alex"), and was observed systematically dismissing worker concerns across multiple threads.</w:t>
      </w:r>
    </w:p>
    <w:p>
      <w:pPr>
        <w:pStyle w:val="Heading3"/>
      </w:pPr>
      <w:r>
        <w:t>8.1.4 Tier 4 - Structural Silencing: NDAs and Jurisdictional Fragmentation</w:t>
      </w:r>
    </w:p>
    <w:p>
      <w:pPr>
        <w:jc w:val="both"/>
      </w:pPr>
      <w:r>
        <w:t>Alignerr's contract grants the company "complete discretion" to decide whether work is acceptable and whether payment will be made. Every worker is classified as an independent contractor, stripping virtually all labour protections. Onboarding documentation requires NDAs prohibiting sharing of project information. The InfoSec policy explicitly prohibits workers from taking screenshots. The workforce is distributed across 40+ countries, making legal recourse economically irrational for most.</w:t>
      </w:r>
    </w:p>
    <w:p>
      <w:pPr>
        <w:pStyle w:val="Heading2"/>
      </w:pPr>
      <w:r>
        <w:t>8.2 Evidence Destruction</w:t>
      </w:r>
    </w:p>
    <w:p>
      <w:pPr>
        <w:pStyle w:val="Heading3"/>
      </w:pPr>
      <w:r>
        <w:t>8.2.1 Performance Records Deleted Upon Termination</w:t>
      </w:r>
    </w:p>
    <w:p>
      <w:pPr>
        <w:jc w:val="both"/>
      </w:pPr>
      <w:r>
        <w:t>Multiple independent sources confirm that upon termination, workers' performance records and work history are deleted. Under California Evidence Code Section 412, when a party destroys evidence within its control, the jury may draw an inference that the evidence would have been unfavourable to the destroying party.</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3000"/>
        <w:gridCol w:w="3000"/>
        <w:gridCol w:w="3000"/>
      </w:tblGrid>
      <w:tr>
        <w:trPr>
          <w:tblHeader/>
        </w:trPr>
        <w:tc>
          <w:tcPr>
            <w:tcW w:w="3000" w:type="dxa"/>
            <w:shd w:val="clear" w:fill="EDF2F7"/>
          </w:tcPr>
          <w:p>
            <w:pPr>
              <w:spacing w:before="60" w:after="60"/>
            </w:pPr>
            <w:r>
              <w:rPr>
                <w:b/>
                <w:color w:val="1a1a2e"/>
                <w:sz w:val="20"/>
              </w:rPr>
              <w:t>Evidence Type</w:t>
            </w:r>
          </w:p>
        </w:tc>
        <w:tc>
          <w:tcPr>
            <w:tcW w:w="3000" w:type="dxa"/>
            <w:shd w:val="clear" w:fill="EDF2F7"/>
          </w:tcPr>
          <w:p>
            <w:pPr>
              <w:spacing w:before="60" w:after="60"/>
            </w:pPr>
            <w:r>
              <w:rPr>
                <w:b/>
                <w:color w:val="1a1a2e"/>
                <w:sz w:val="20"/>
              </w:rPr>
              <w:t>Deletion Confirmed</w:t>
            </w:r>
          </w:p>
        </w:tc>
        <w:tc>
          <w:tcPr>
            <w:tcW w:w="3000" w:type="dxa"/>
            <w:shd w:val="clear" w:fill="EDF2F7"/>
          </w:tcPr>
          <w:p>
            <w:pPr>
              <w:spacing w:before="60" w:after="60"/>
            </w:pPr>
            <w:r>
              <w:rPr>
                <w:b/>
                <w:color w:val="1a1a2e"/>
                <w:sz w:val="20"/>
              </w:rPr>
              <w:t>Strategic Impact</w:t>
            </w:r>
          </w:p>
        </w:tc>
      </w:tr>
      <w:tr>
        <w:tc>
          <w:tcPr>
            <w:tcW w:w="3000" w:type="dxa"/>
          </w:tcPr>
          <w:p>
            <w:pPr>
              <w:spacing w:before="40" w:after="40"/>
            </w:pPr>
            <w:r>
              <w:rPr>
                <w:color w:val="1a1a2e"/>
                <w:sz w:val="20"/>
              </w:rPr>
              <w:t>Performance metrics (quality ratings)</w:t>
            </w:r>
          </w:p>
        </w:tc>
        <w:tc>
          <w:tcPr>
            <w:tcW w:w="3000" w:type="dxa"/>
          </w:tcPr>
          <w:p>
            <w:pPr>
              <w:spacing w:before="40" w:after="40"/>
            </w:pPr>
            <w:r>
              <w:rPr>
                <w:color w:val="1a1a2e"/>
                <w:sz w:val="20"/>
              </w:rPr>
              <w:t>Yes - multiple workers</w:t>
            </w:r>
          </w:p>
        </w:tc>
        <w:tc>
          <w:tcPr>
            <w:tcW w:w="3000" w:type="dxa"/>
          </w:tcPr>
          <w:p>
            <w:pPr>
              <w:spacing w:before="40" w:after="40"/>
            </w:pPr>
            <w:r>
              <w:rPr>
                <w:color w:val="1a1a2e"/>
                <w:sz w:val="20"/>
              </w:rPr>
              <w:t>Removes proof of satisfactory work</w:t>
            </w:r>
          </w:p>
        </w:tc>
      </w:tr>
      <w:tr>
        <w:tc>
          <w:tcPr>
            <w:tcW w:w="3000" w:type="dxa"/>
            <w:shd w:val="clear" w:fill="F7FAFC"/>
          </w:tcPr>
          <w:p>
            <w:pPr>
              <w:spacing w:before="40" w:after="40"/>
            </w:pPr>
            <w:r>
              <w:rPr>
                <w:color w:val="1a1a2e"/>
                <w:sz w:val="20"/>
              </w:rPr>
              <w:t>Work history / task completion</w:t>
            </w:r>
          </w:p>
        </w:tc>
        <w:tc>
          <w:tcPr>
            <w:tcW w:w="3000" w:type="dxa"/>
            <w:shd w:val="clear" w:fill="F7FAFC"/>
          </w:tcPr>
          <w:p>
            <w:pPr>
              <w:spacing w:before="40" w:after="40"/>
            </w:pPr>
            <w:r>
              <w:rPr>
                <w:color w:val="1a1a2e"/>
                <w:sz w:val="20"/>
              </w:rPr>
              <w:t>Yes - Maria, Glassdoor</w:t>
            </w:r>
          </w:p>
        </w:tc>
        <w:tc>
          <w:tcPr>
            <w:tcW w:w="3000" w:type="dxa"/>
            <w:shd w:val="clear" w:fill="F7FAFC"/>
          </w:tcPr>
          <w:p>
            <w:pPr>
              <w:spacing w:before="40" w:after="40"/>
            </w:pPr>
            <w:r>
              <w:rPr>
                <w:color w:val="1a1a2e"/>
                <w:sz w:val="20"/>
              </w:rPr>
              <w:t>Removes proof of work performed</w:t>
            </w:r>
          </w:p>
        </w:tc>
      </w:tr>
      <w:tr>
        <w:tc>
          <w:tcPr>
            <w:tcW w:w="3000" w:type="dxa"/>
          </w:tcPr>
          <w:p>
            <w:pPr>
              <w:spacing w:before="40" w:after="40"/>
            </w:pPr>
            <w:r>
              <w:rPr>
                <w:color w:val="1a1a2e"/>
                <w:sz w:val="20"/>
              </w:rPr>
              <w:t>Dashboard access</w:t>
            </w:r>
          </w:p>
        </w:tc>
        <w:tc>
          <w:tcPr>
            <w:tcW w:w="3000" w:type="dxa"/>
          </w:tcPr>
          <w:p>
            <w:pPr>
              <w:spacing w:before="40" w:after="40"/>
            </w:pPr>
            <w:r>
              <w:rPr>
                <w:color w:val="1a1a2e"/>
                <w:sz w:val="20"/>
              </w:rPr>
              <w:t>Yes - simultaneous with termination</w:t>
            </w:r>
          </w:p>
        </w:tc>
        <w:tc>
          <w:tcPr>
            <w:tcW w:w="3000" w:type="dxa"/>
          </w:tcPr>
          <w:p>
            <w:pPr>
              <w:spacing w:before="40" w:after="40"/>
            </w:pPr>
            <w:r>
              <w:rPr>
                <w:color w:val="1a1a2e"/>
                <w:sz w:val="20"/>
              </w:rPr>
              <w:t>Prevents worker documentation</w:t>
            </w:r>
          </w:p>
        </w:tc>
      </w:tr>
      <w:tr>
        <w:tc>
          <w:tcPr>
            <w:tcW w:w="3000" w:type="dxa"/>
            <w:shd w:val="clear" w:fill="F7FAFC"/>
          </w:tcPr>
          <w:p>
            <w:pPr>
              <w:spacing w:before="40" w:after="40"/>
            </w:pPr>
            <w:r>
              <w:rPr>
                <w:color w:val="1a1a2e"/>
                <w:sz w:val="20"/>
              </w:rPr>
              <w:t>Slack/Discord history</w:t>
            </w:r>
          </w:p>
        </w:tc>
        <w:tc>
          <w:tcPr>
            <w:tcW w:w="3000" w:type="dxa"/>
            <w:shd w:val="clear" w:fill="F7FAFC"/>
          </w:tcPr>
          <w:p>
            <w:pPr>
              <w:spacing w:before="40" w:after="40"/>
            </w:pPr>
            <w:r>
              <w:rPr>
                <w:color w:val="1a1a2e"/>
                <w:sz w:val="20"/>
              </w:rPr>
              <w:t>Yes - ejected from channels</w:t>
            </w:r>
          </w:p>
        </w:tc>
        <w:tc>
          <w:tcPr>
            <w:tcW w:w="3000" w:type="dxa"/>
            <w:shd w:val="clear" w:fill="F7FAFC"/>
          </w:tcPr>
          <w:p>
            <w:pPr>
              <w:spacing w:before="40" w:after="40"/>
            </w:pPr>
            <w:r>
              <w:rPr>
                <w:color w:val="1a1a2e"/>
                <w:sz w:val="20"/>
              </w:rPr>
              <w:t>Removes contemporaneous communications</w:t>
            </w:r>
          </w:p>
        </w:tc>
      </w:tr>
      <w:tr>
        <w:tc>
          <w:tcPr>
            <w:tcW w:w="3000" w:type="dxa"/>
          </w:tcPr>
          <w:p>
            <w:pPr>
              <w:spacing w:before="40" w:after="40"/>
            </w:pPr>
            <w:r>
              <w:rPr>
                <w:color w:val="1a1a2e"/>
                <w:sz w:val="20"/>
              </w:rPr>
              <w:t>Email responsiveness</w:t>
            </w:r>
          </w:p>
        </w:tc>
        <w:tc>
          <w:tcPr>
            <w:tcW w:w="3000" w:type="dxa"/>
          </w:tcPr>
          <w:p>
            <w:pPr>
              <w:spacing w:before="40" w:after="40"/>
            </w:pPr>
            <w:r>
              <w:rPr>
                <w:color w:val="1a1a2e"/>
                <w:sz w:val="20"/>
              </w:rPr>
              <w:t>Yes - complete ghosting</w:t>
            </w:r>
          </w:p>
        </w:tc>
        <w:tc>
          <w:tcPr>
            <w:tcW w:w="3000" w:type="dxa"/>
          </w:tcPr>
          <w:p>
            <w:pPr>
              <w:spacing w:before="40" w:after="40"/>
            </w:pPr>
            <w:r>
              <w:rPr>
                <w:color w:val="1a1a2e"/>
                <w:sz w:val="20"/>
              </w:rPr>
              <w:t>Removes paper trail</w:t>
            </w:r>
          </w:p>
        </w:tc>
      </w:tr>
    </w:tbl>
    <w:p>
      <w:pPr>
        <w:pStyle w:val="Heading1"/>
      </w:pPr>
      <w:r>
        <w:t>9. Class Action Viability Assessment</w:t>
      </w:r>
      <w:bookmarkStart w:name="_Toc009" w:id="10"/>
      <w:bookmarkEnd w:id="10"/>
    </w:p>
    <w:p>
      <w:pPr>
        <w:pStyle w:val="Heading2"/>
      </w:pPr>
      <w:r>
        <w:t>9.1 Viability Rating: HIGH (8.5/10)</w:t>
      </w:r>
    </w:p>
    <w:p>
      <w:pPr>
        <w:pStyle w:val="Heading3"/>
      </w:pPr>
      <w:r>
        <w:t>9.1.1 Five Factors Supporting Viability</w:t>
      </w:r>
    </w:p>
    <w:p>
      <w:pPr>
        <w:jc w:val="both"/>
      </w:pPr>
      <w:r>
        <w:t>Pattern Consistency: The "harvest-and-discard" model is not a collection of isolated grievances - it is a repeatable operational sequence. Cross-verification confirmed that 80% of documented cases follow the identical progression.</w:t>
      </w:r>
    </w:p>
    <w:p>
      <w:pPr>
        <w:jc w:val="both"/>
      </w:pPr>
      <w:r>
        <w:t>Legal Framework: California provides the most plaintiff-friendly labor enforcement architecture in the United States. The ABC test presumes employee status, PAGA actions survive arbitration under Iskanian, and UCL Section 17200 provides a four-year statute.</w:t>
      </w:r>
    </w:p>
    <w:p>
      <w:pPr>
        <w:jc w:val="both"/>
      </w:pPr>
      <w:r>
        <w:t>Industry Precedent: Scale AI settled four lawsuits and exited California. Surge AI faces an identical class action. The Malkov v. Labelbox action confirms the same legal theories have survived a pleading challenge.</w:t>
      </w:r>
    </w:p>
    <w:p>
      <w:pPr>
        <w:jc w:val="both"/>
      </w:pPr>
      <w:r>
        <w:t>Corporate Financial Capacity: Labelbox has raised $189 million with an estimated valuation exceeding $1 billion. Unlike cases against judgment-proof defendants, any award here is collectible.</w:t>
      </w:r>
    </w:p>
    <w:p>
      <w:pPr>
        <w:jc w:val="both"/>
      </w:pPr>
      <w:r>
        <w:t>Evidence Strength: Hubstaff time logs, AutoQA scores, Discord communications, and a support agent's written admission provide concrete proof.</w:t>
      </w:r>
    </w:p>
    <w:p>
      <w:pPr>
        <w:pStyle w:val="Heading3"/>
      </w:pPr>
      <w:r>
        <w:t>9.1.2 Two Factors Creating Uncertainty</w:t>
      </w:r>
    </w:p>
    <w:p>
      <w:pPr>
        <w:jc w:val="both"/>
      </w:pPr>
      <w:r>
        <w:t>Global Worker Distribution: While PAGA partially resolves this, recovery for overseas workers remains legally untested.</w:t>
      </w:r>
    </w:p>
    <w:p>
      <w:pPr>
        <w:jc w:val="both"/>
      </w:pPr>
      <w:r>
        <w:t>Arbitration Clause Complexity: While PAGA claims survive arbitration and the Gentry four-factor test supports waiver challenges, the waiver creates procedural friction.</w:t>
      </w:r>
    </w:p>
    <w:p>
      <w:pPr>
        <w:pStyle w:val="Heading2"/>
      </w:pPr>
      <w:r>
        <w:t>9.2 Legal Theories</w:t>
      </w:r>
    </w:p>
    <w:p>
      <w:pPr>
        <w:pStyle w:val="Heading3"/>
      </w:pPr>
      <w:r>
        <w:t>9.2.1 Primary: Willful Misclassification Under CA Labor Code Section 226.8</w:t>
      </w:r>
    </w:p>
    <w:p>
      <w:pPr>
        <w:jc w:val="both"/>
      </w:pPr>
      <w:r>
        <w:t>Initial violations carry civil penalties of $5,000-$15,000 per violation. Pattern-or-practice penalties escalate to $10,000-$25,000 per violation. A conservative estimate of 100 affected workers at the pattern/practice minimum yields $1 million in statutory penalties alone.</w:t>
      </w:r>
    </w:p>
    <w:p>
      <w:pPr>
        <w:pStyle w:val="Heading3"/>
      </w:pPr>
      <w:r>
        <w:t>9.2.2 Secondary: PAGA Representative Action</w:t>
      </w:r>
    </w:p>
    <w:p>
      <w:pPr>
        <w:jc w:val="both"/>
      </w:pPr>
      <w:r>
        <w:t>PAGA is the most strategically powerful theory: it survives arbitration waivers under Iskanian; penalties stack across the workforce; and the one-year statute means recent terminations are immediately actionable.</w:t>
      </w:r>
    </w:p>
    <w:p>
      <w:pPr>
        <w:pStyle w:val="Heading3"/>
      </w:pPr>
      <w:r>
        <w:t>9.2.3 Tertiary: UCL Section 17200 (Four-Year Statute)</w:t>
      </w:r>
    </w:p>
    <w:p>
      <w:pPr>
        <w:jc w:val="both"/>
      </w:pPr>
      <w:r>
        <w:t>The UCL's "fraudulent" and "unfair" prongs are both satisfied. The UCL also supports veil-piercing theories where the subsidiary (Alignerr LLC) is undercapitalised relative to labour obligations.</w:t>
      </w:r>
    </w:p>
    <w:p>
      <w:pPr>
        <w:pStyle w:val="Heading3"/>
      </w:pPr>
      <w:r>
        <w:t>9.2.4 Retaliation: SB 497 (90-Day Presumption)</w:t>
      </w:r>
    </w:p>
    <w:p>
      <w:pPr>
        <w:jc w:val="both"/>
      </w:pPr>
      <w:r>
        <w:t>California Labor Code Section 98.6, as amended by SB 497, creates a rebuttable presumption of retaliation when adverse action occurs within 90 days of protected wage-complaint activity. The burden shifts to the employer to prove by clear and convincing evidence that the action would have occurred regardless.</w:t>
      </w:r>
    </w:p>
    <w:p>
      <w:pPr>
        <w:pStyle w:val="Heading2"/>
      </w:pPr>
      <w:r>
        <w:t>9.3 Strategic Options</w:t>
      </w:r>
    </w:p>
    <w:p>
      <w:pPr>
        <w:pStyle w:val="Heading3"/>
      </w:pPr>
      <w:r>
        <w:t>9.3.1 Six Legal Strategies: Comparative Assessment</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DF2F7"/>
          </w:tcPr>
          <w:p>
            <w:pPr>
              <w:spacing w:before="60" w:after="60"/>
            </w:pPr>
            <w:r>
              <w:rPr>
                <w:b/>
                <w:color w:val="1a1a2e"/>
                <w:sz w:val="20"/>
              </w:rPr>
              <w:t>Strategy</w:t>
            </w:r>
          </w:p>
        </w:tc>
        <w:tc>
          <w:tcPr>
            <w:tcW w:w="2250" w:type="dxa"/>
            <w:shd w:val="clear" w:fill="EDF2F7"/>
          </w:tcPr>
          <w:p>
            <w:pPr>
              <w:spacing w:before="60" w:after="60"/>
            </w:pPr>
            <w:r>
              <w:rPr>
                <w:b/>
                <w:color w:val="1a1a2e"/>
                <w:sz w:val="20"/>
              </w:rPr>
              <w:t>Est. Cost</w:t>
            </w:r>
          </w:p>
        </w:tc>
        <w:tc>
          <w:tcPr>
            <w:tcW w:w="2250" w:type="dxa"/>
            <w:shd w:val="clear" w:fill="EDF2F7"/>
          </w:tcPr>
          <w:p>
            <w:pPr>
              <w:spacing w:before="60" w:after="60"/>
            </w:pPr>
            <w:r>
              <w:rPr>
                <w:b/>
                <w:color w:val="1a1a2e"/>
                <w:sz w:val="20"/>
              </w:rPr>
              <w:t>Timeline</w:t>
            </w:r>
          </w:p>
        </w:tc>
        <w:tc>
          <w:tcPr>
            <w:tcW w:w="2250" w:type="dxa"/>
            <w:shd w:val="clear" w:fill="EDF2F7"/>
          </w:tcPr>
          <w:p>
            <w:pPr>
              <w:spacing w:before="60" w:after="60"/>
            </w:pPr>
            <w:r>
              <w:rPr>
                <w:b/>
                <w:color w:val="1a1a2e"/>
                <w:sz w:val="20"/>
              </w:rPr>
              <w:t>Success Probability</w:t>
            </w:r>
          </w:p>
        </w:tc>
      </w:tr>
      <w:tr>
        <w:tc>
          <w:tcPr>
            <w:tcW w:w="2250" w:type="dxa"/>
          </w:tcPr>
          <w:p>
            <w:pPr>
              <w:spacing w:before="40" w:after="40"/>
            </w:pPr>
            <w:r>
              <w:rPr>
                <w:color w:val="1a1a2e"/>
                <w:sz w:val="20"/>
              </w:rPr>
              <w:t>A. Join Malkov Class Action</w:t>
            </w:r>
          </w:p>
        </w:tc>
        <w:tc>
          <w:tcPr>
            <w:tcW w:w="2250" w:type="dxa"/>
          </w:tcPr>
          <w:p>
            <w:pPr>
              <w:spacing w:before="40" w:after="40"/>
            </w:pPr>
            <w:r>
              <w:rPr>
                <w:color w:val="1a1a2e"/>
                <w:sz w:val="20"/>
              </w:rPr>
              <w:t>$0 (contingency)</w:t>
            </w:r>
          </w:p>
        </w:tc>
        <w:tc>
          <w:tcPr>
            <w:tcW w:w="2250" w:type="dxa"/>
          </w:tcPr>
          <w:p>
            <w:pPr>
              <w:spacing w:before="40" w:after="40"/>
            </w:pPr>
            <w:r>
              <w:rPr>
                <w:color w:val="1a1a2e"/>
                <w:sz w:val="20"/>
              </w:rPr>
              <w:t>12-24 months</w:t>
            </w:r>
          </w:p>
        </w:tc>
        <w:tc>
          <w:tcPr>
            <w:tcW w:w="2250" w:type="dxa"/>
          </w:tcPr>
          <w:p>
            <w:pPr>
              <w:spacing w:before="40" w:after="40"/>
            </w:pPr>
            <w:r>
              <w:rPr>
                <w:color w:val="1a1a2e"/>
                <w:sz w:val="20"/>
              </w:rPr>
              <w:t>HIGH (75-85%)</w:t>
            </w:r>
          </w:p>
        </w:tc>
      </w:tr>
      <w:tr>
        <w:tc>
          <w:tcPr>
            <w:tcW w:w="2250" w:type="dxa"/>
            <w:shd w:val="clear" w:fill="F7FAFC"/>
          </w:tcPr>
          <w:p>
            <w:pPr>
              <w:spacing w:before="40" w:after="40"/>
            </w:pPr>
            <w:r>
              <w:rPr>
                <w:color w:val="1a1a2e"/>
                <w:sz w:val="20"/>
              </w:rPr>
              <w:t>B. File Separate SF Class Action</w:t>
            </w:r>
          </w:p>
        </w:tc>
        <w:tc>
          <w:tcPr>
            <w:tcW w:w="2250" w:type="dxa"/>
            <w:shd w:val="clear" w:fill="F7FAFC"/>
          </w:tcPr>
          <w:p>
            <w:pPr>
              <w:spacing w:before="40" w:after="40"/>
            </w:pPr>
            <w:r>
              <w:rPr>
                <w:color w:val="1a1a2e"/>
                <w:sz w:val="20"/>
              </w:rPr>
              <w:t>$0-$5,000</w:t>
            </w:r>
          </w:p>
        </w:tc>
        <w:tc>
          <w:tcPr>
            <w:tcW w:w="2250" w:type="dxa"/>
            <w:shd w:val="clear" w:fill="F7FAFC"/>
          </w:tcPr>
          <w:p>
            <w:pPr>
              <w:spacing w:before="40" w:after="40"/>
            </w:pPr>
            <w:r>
              <w:rPr>
                <w:color w:val="1a1a2e"/>
                <w:sz w:val="20"/>
              </w:rPr>
              <w:t>12-30 months</w:t>
            </w:r>
          </w:p>
        </w:tc>
        <w:tc>
          <w:tcPr>
            <w:tcW w:w="2250" w:type="dxa"/>
            <w:shd w:val="clear" w:fill="F7FAFC"/>
          </w:tcPr>
          <w:p>
            <w:pPr>
              <w:spacing w:before="40" w:after="40"/>
            </w:pPr>
            <w:r>
              <w:rPr>
                <w:color w:val="1a1a2e"/>
                <w:sz w:val="20"/>
              </w:rPr>
              <w:t>HIGH (70-80%)</w:t>
            </w:r>
          </w:p>
        </w:tc>
      </w:tr>
      <w:tr>
        <w:tc>
          <w:tcPr>
            <w:tcW w:w="2250" w:type="dxa"/>
          </w:tcPr>
          <w:p>
            <w:pPr>
              <w:spacing w:before="40" w:after="40"/>
            </w:pPr>
            <w:r>
              <w:rPr>
                <w:color w:val="1a1a2e"/>
                <w:sz w:val="20"/>
              </w:rPr>
              <w:t>C. Mass Small Claims Swarm (50+)</w:t>
            </w:r>
          </w:p>
        </w:tc>
        <w:tc>
          <w:tcPr>
            <w:tcW w:w="2250" w:type="dxa"/>
          </w:tcPr>
          <w:p>
            <w:pPr>
              <w:spacing w:before="40" w:after="40"/>
            </w:pPr>
            <w:r>
              <w:rPr>
                <w:color w:val="1a1a2e"/>
                <w:sz w:val="20"/>
              </w:rPr>
              <w:t>$30-$75 filing fee</w:t>
            </w:r>
          </w:p>
        </w:tc>
        <w:tc>
          <w:tcPr>
            <w:tcW w:w="2250" w:type="dxa"/>
          </w:tcPr>
          <w:p>
            <w:pPr>
              <w:spacing w:before="40" w:after="40"/>
            </w:pPr>
            <w:r>
              <w:rPr>
                <w:color w:val="1a1a2e"/>
                <w:sz w:val="20"/>
              </w:rPr>
              <w:t>30-70 days</w:t>
            </w:r>
          </w:p>
        </w:tc>
        <w:tc>
          <w:tcPr>
            <w:tcW w:w="2250" w:type="dxa"/>
          </w:tcPr>
          <w:p>
            <w:pPr>
              <w:spacing w:before="40" w:after="40"/>
            </w:pPr>
            <w:r>
              <w:rPr>
                <w:color w:val="1a1a2e"/>
                <w:sz w:val="20"/>
              </w:rPr>
              <w:t>MEDIUM-HIGH (60-70%)</w:t>
            </w:r>
          </w:p>
        </w:tc>
      </w:tr>
      <w:tr>
        <w:tc>
          <w:tcPr>
            <w:tcW w:w="2250" w:type="dxa"/>
            <w:shd w:val="clear" w:fill="F7FAFC"/>
          </w:tcPr>
          <w:p>
            <w:pPr>
              <w:spacing w:before="40" w:after="40"/>
            </w:pPr>
            <w:r>
              <w:rPr>
                <w:color w:val="1a1a2e"/>
                <w:sz w:val="20"/>
              </w:rPr>
              <w:t>D. Mass Individual Arbitration</w:t>
            </w:r>
          </w:p>
        </w:tc>
        <w:tc>
          <w:tcPr>
            <w:tcW w:w="2250" w:type="dxa"/>
            <w:shd w:val="clear" w:fill="F7FAFC"/>
          </w:tcPr>
          <w:p>
            <w:pPr>
              <w:spacing w:before="40" w:after="40"/>
            </w:pPr>
            <w:r>
              <w:rPr>
                <w:color w:val="1a1a2e"/>
                <w:sz w:val="20"/>
              </w:rPr>
              <w:t>$0 (Labelbox pays)</w:t>
            </w:r>
          </w:p>
        </w:tc>
        <w:tc>
          <w:tcPr>
            <w:tcW w:w="2250" w:type="dxa"/>
            <w:shd w:val="clear" w:fill="F7FAFC"/>
          </w:tcPr>
          <w:p>
            <w:pPr>
              <w:spacing w:before="40" w:after="40"/>
            </w:pPr>
            <w:r>
              <w:rPr>
                <w:color w:val="1a1a2e"/>
                <w:sz w:val="20"/>
              </w:rPr>
              <w:t>6-18 months</w:t>
            </w:r>
          </w:p>
        </w:tc>
        <w:tc>
          <w:tcPr>
            <w:tcW w:w="2250" w:type="dxa"/>
            <w:shd w:val="clear" w:fill="F7FAFC"/>
          </w:tcPr>
          <w:p>
            <w:pPr>
              <w:spacing w:before="40" w:after="40"/>
            </w:pPr>
            <w:r>
              <w:rPr>
                <w:color w:val="1a1a2e"/>
                <w:sz w:val="20"/>
              </w:rPr>
              <w:t>MEDIUM (55-65%)</w:t>
            </w:r>
          </w:p>
        </w:tc>
      </w:tr>
      <w:tr>
        <w:tc>
          <w:tcPr>
            <w:tcW w:w="2250" w:type="dxa"/>
          </w:tcPr>
          <w:p>
            <w:pPr>
              <w:spacing w:before="40" w:after="40"/>
            </w:pPr>
            <w:r>
              <w:rPr>
                <w:color w:val="1a1a2e"/>
                <w:sz w:val="20"/>
              </w:rPr>
              <w:t>E. PAGA Representative Action</w:t>
            </w:r>
          </w:p>
        </w:tc>
        <w:tc>
          <w:tcPr>
            <w:tcW w:w="2250" w:type="dxa"/>
          </w:tcPr>
          <w:p>
            <w:pPr>
              <w:spacing w:before="40" w:after="40"/>
            </w:pPr>
            <w:r>
              <w:rPr>
                <w:color w:val="1a1a2e"/>
                <w:sz w:val="20"/>
              </w:rPr>
              <w:t>$0-$2,500</w:t>
            </w:r>
          </w:p>
        </w:tc>
        <w:tc>
          <w:tcPr>
            <w:tcW w:w="2250" w:type="dxa"/>
          </w:tcPr>
          <w:p>
            <w:pPr>
              <w:spacing w:before="40" w:after="40"/>
            </w:pPr>
            <w:r>
              <w:rPr>
                <w:color w:val="1a1a2e"/>
                <w:sz w:val="20"/>
              </w:rPr>
              <w:t>8-18 months</w:t>
            </w:r>
          </w:p>
        </w:tc>
        <w:tc>
          <w:tcPr>
            <w:tcW w:w="2250" w:type="dxa"/>
          </w:tcPr>
          <w:p>
            <w:pPr>
              <w:spacing w:before="40" w:after="40"/>
            </w:pPr>
            <w:r>
              <w:rPr>
                <w:color w:val="1a1a2e"/>
                <w:sz w:val="20"/>
              </w:rPr>
              <w:t>HIGH (75-85%)</w:t>
            </w:r>
          </w:p>
        </w:tc>
      </w:tr>
      <w:tr>
        <w:tc>
          <w:tcPr>
            <w:tcW w:w="2250" w:type="dxa"/>
            <w:shd w:val="clear" w:fill="F7FAFC"/>
          </w:tcPr>
          <w:p>
            <w:pPr>
              <w:spacing w:before="40" w:after="40"/>
            </w:pPr>
            <w:r>
              <w:rPr>
                <w:color w:val="1a1a2e"/>
                <w:sz w:val="20"/>
              </w:rPr>
              <w:t>F. Federal Contractor Complaints</w:t>
            </w:r>
          </w:p>
        </w:tc>
        <w:tc>
          <w:tcPr>
            <w:tcW w:w="2250" w:type="dxa"/>
            <w:shd w:val="clear" w:fill="F7FAFC"/>
          </w:tcPr>
          <w:p>
            <w:pPr>
              <w:spacing w:before="40" w:after="40"/>
            </w:pPr>
            <w:r>
              <w:rPr>
                <w:color w:val="1a1a2e"/>
                <w:sz w:val="20"/>
              </w:rPr>
              <w:t>$0 (pro se)</w:t>
            </w:r>
          </w:p>
        </w:tc>
        <w:tc>
          <w:tcPr>
            <w:tcW w:w="2250" w:type="dxa"/>
            <w:shd w:val="clear" w:fill="F7FAFC"/>
          </w:tcPr>
          <w:p>
            <w:pPr>
              <w:spacing w:before="40" w:after="40"/>
            </w:pPr>
            <w:r>
              <w:rPr>
                <w:color w:val="1a1a2e"/>
                <w:sz w:val="20"/>
              </w:rPr>
              <w:t>6-12 months</w:t>
            </w:r>
          </w:p>
        </w:tc>
        <w:tc>
          <w:tcPr>
            <w:tcW w:w="2250" w:type="dxa"/>
            <w:shd w:val="clear" w:fill="F7FAFC"/>
          </w:tcPr>
          <w:p>
            <w:pPr>
              <w:spacing w:before="40" w:after="40"/>
            </w:pPr>
            <w:r>
              <w:rPr>
                <w:color w:val="1a1a2e"/>
                <w:sz w:val="20"/>
              </w:rPr>
              <w:t>MEDIUM (50-60%)</w:t>
            </w:r>
          </w:p>
        </w:tc>
      </w:tr>
    </w:tbl>
    <w:p>
      <w:pPr>
        <w:jc w:val="both"/>
      </w:pPr>
      <w:r>
        <w:t>Strategies C and E rate as highest priority because they are immediately executable, require minimal capital, and exploit known structural vulnerabilities - the 2-person in-house legal team's inability to absorb 50+ simultaneous filings, and the Iskanian rule's protection of PAGA claims from arbitration waivers.</w:t>
      </w:r>
    </w:p>
    <w:p>
      <w:pPr>
        <w:pStyle w:val="Heading1"/>
      </w:pPr>
      <w:r>
        <w:t>10. Strategic Insights &amp; Recommendations</w:t>
      </w:r>
      <w:bookmarkStart w:name="_Toc010" w:id="11"/>
      <w:bookmarkEnd w:id="11"/>
    </w:p>
    <w:p>
      <w:pPr>
        <w:pStyle w:val="Heading2"/>
      </w:pPr>
      <w:r>
        <w:t>10.1 Top 10 Cross-Dimension Insights</w:t>
      </w:r>
    </w:p>
    <w:p>
      <w:pPr>
        <w:pStyle w:val="Heading3"/>
      </w:pPr>
      <w:r>
        <w:t>10.1.1 The Harvest-and-Discard Business Model as Potential RICO Pattern</w:t>
      </w:r>
    </w:p>
    <w:p>
      <w:pPr>
        <w:jc w:val="both"/>
      </w:pPr>
      <w:r>
        <w:t>Eighty percent of documented cases follow a sequence too consistent to be random. Under civil RICO (18 U.S.C. Section 1964), a pattern of racketeering comprising at least two predicate acts of wire or mail fraud across hundreds of workers supports treble damages.</w:t>
      </w:r>
    </w:p>
    <w:p>
      <w:pPr>
        <w:pStyle w:val="Heading3"/>
      </w:pPr>
      <w:r>
        <w:t>10.1.2 CHP Claude Code as Project-Level Mass Default</w:t>
      </w:r>
    </w:p>
    <w:p>
      <w:pPr>
        <w:jc w:val="both"/>
      </w:pPr>
      <w:r>
        <w:t>The CHP Claude Code project represents a project-level mass default affecting 500+ workers simultaneously. Project-level defaults are categorically easier to prove than individual disputes.</w:t>
      </w:r>
    </w:p>
    <w:p>
      <w:pPr>
        <w:pStyle w:val="Heading3"/>
      </w:pPr>
      <w:r>
        <w:t>10.1.3 Veil-Piercing Opportunity: Alignerr LLC as Undercapitalized Alter Ego</w:t>
      </w:r>
    </w:p>
    <w:p>
      <w:pPr>
        <w:jc w:val="both"/>
      </w:pPr>
      <w:r>
        <w:t>Workers contract with Alignerr LLC but Labelbox controls the platform and receives enterprise revenue. California's alter ego doctrine permits piercing the corporate veil where the subsidiary is undercapitalised.</w:t>
      </w:r>
    </w:p>
    <w:p>
      <w:pPr>
        <w:pStyle w:val="Heading3"/>
      </w:pPr>
      <w:r>
        <w:t>10.1.4 PAGA Jurisdictional Arbitrage: One CA Worker Covers All Global Workers</w:t>
      </w:r>
    </w:p>
    <w:p>
      <w:pPr>
        <w:jc w:val="both"/>
      </w:pPr>
      <w:r>
        <w:t>California's PAGA allows one California worker to sue on behalf of all workers, including international contractors. At $100-$200 per aggrieved employee per pay period, penalties for 100 workers across 52 weeks reach $520,000-$1,040,000 annually.</w:t>
      </w:r>
    </w:p>
    <w:p>
      <w:pPr>
        <w:pStyle w:val="Heading3"/>
      </w:pPr>
      <w:r>
        <w:t>10.1.5 IPO Timing Creates Maximum Leverage Window</w:t>
      </w:r>
    </w:p>
    <w:p>
      <w:pPr>
        <w:jc w:val="both"/>
      </w:pPr>
      <w:r>
        <w:t>Labelbox's expected IPO in 2026-2027 creates a window of maximum vulnerability. Labour disputes during due diligence derail or devalue public offerings. Scale AI settled four lawsuits and exited California entirely.</w:t>
      </w:r>
    </w:p>
    <w:p>
      <w:pPr>
        <w:pStyle w:val="Heading3"/>
      </w:pPr>
      <w:r>
        <w:t>10.1.6 Silencing Infrastructure as Consciousness of Guilt</w:t>
      </w:r>
    </w:p>
    <w:p>
      <w:pPr>
        <w:jc w:val="both"/>
      </w:pPr>
      <w:r>
        <w:t>Alignerr's suppression machinery supports claims under California's Unfair Competition Law (Bus. &amp; Prof. Code Section 17200), which prohibits fraudulent business practices and carries a four-year statute of limitations.</w:t>
      </w:r>
    </w:p>
    <w:p>
      <w:pPr>
        <w:pStyle w:val="Heading3"/>
      </w:pPr>
      <w:r>
        <w:t>10.1.7 Industry Litigation Tipping Point: First-Mover Advantage</w:t>
      </w:r>
    </w:p>
    <w:p>
      <w:pPr>
        <w:jc w:val="both"/>
      </w:pPr>
      <w:r>
        <w:t>Three major annotation companies facing simultaneous class actions with identical theories creates judicial pattern recognition. Early filers capture better settlement terms.</w:t>
      </w:r>
    </w:p>
    <w:p>
      <w:pPr>
        <w:pStyle w:val="Heading3"/>
      </w:pPr>
      <w:r>
        <w:t>10.1.8 Evaluation Work as the Actual Product</w:t>
      </w:r>
    </w:p>
    <w:p>
      <w:pPr>
        <w:jc w:val="both"/>
      </w:pPr>
      <w:r>
        <w:t>The mass unpaid "evaluation" work is not a hiring assessment - it is the product. Workers perform actual LLM training tasks disguised as evaluations. The economic value of extracted evaluation work likely far exceeds documented unpaid wages.</w:t>
      </w:r>
    </w:p>
    <w:p>
      <w:pPr>
        <w:pStyle w:val="Heading3"/>
      </w:pPr>
      <w:r>
        <w:t>10.1.9 Small Claims Swarm as Immediately Actionable Strategy</w:t>
      </w:r>
    </w:p>
    <w:p>
      <w:pPr>
        <w:jc w:val="both"/>
      </w:pPr>
      <w:r>
        <w:t>Individual small claims filings (up to $12,500, no lawyer required, $30-$75 fee) bypass the arbitration clause entirely. Fifty simultaneous filings across multiple counties creates administrative overwhelm.</w:t>
      </w:r>
    </w:p>
    <w:p>
      <w:pPr>
        <w:pStyle w:val="Heading3"/>
      </w:pPr>
      <w:r>
        <w:t>10.1.10 Federal Contractor Status as Unique Leverage Multiplier</w:t>
      </w:r>
    </w:p>
    <w:p>
      <w:pPr>
        <w:jc w:val="both"/>
      </w:pPr>
      <w:r>
        <w:t>Labelbox holds a $950 million ceiling IDIQ contract with the U.S. Air Force. Complaints to the DCMA can trigger contract review, suspension, or debarment.</w:t>
      </w:r>
    </w:p>
    <w:tbl>
      <w:tblPr>
        <w:tblW w:w="5000" w:type="pct"/>
        <w:tblBorders>
          <w:top w:val="single" w:color="1B3A5C" w:sz="12"/>
          <w:left w:val="single" w:color="CBD5E0" w:sz="4"/>
          <w:bottom w:val="single" w:color="1B3A5C" w:sz="12"/>
          <w:right w:val="single" w:color="CBD5E0" w:sz="4"/>
          <w:insideH w:val="single" w:color="CBD5E0" w:sz="4"/>
          <w:insideV w:val="single" w:color="CBD5E0" w:sz="4"/>
        </w:tblBorders>
      </w:tblPr>
      <w:tblGrid>
        <w:gridCol w:w="3000"/>
        <w:gridCol w:w="3000"/>
        <w:gridCol w:w="3000"/>
      </w:tblGrid>
      <w:tr>
        <w:trPr>
          <w:tblHeader/>
        </w:trPr>
        <w:tc>
          <w:tcPr>
            <w:tcW w:w="3000" w:type="dxa"/>
            <w:shd w:val="clear" w:fill="EDF2F7"/>
          </w:tcPr>
          <w:p>
            <w:pPr>
              <w:spacing w:before="60" w:after="60"/>
            </w:pPr>
            <w:r>
              <w:rPr>
                <w:b/>
                <w:color w:val="1a1a2e"/>
                <w:sz w:val="20"/>
              </w:rPr>
              <w:t>Insight</w:t>
            </w:r>
          </w:p>
        </w:tc>
        <w:tc>
          <w:tcPr>
            <w:tcW w:w="3000" w:type="dxa"/>
            <w:shd w:val="clear" w:fill="EDF2F7"/>
          </w:tcPr>
          <w:p>
            <w:pPr>
              <w:spacing w:before="60" w:after="60"/>
            </w:pPr>
            <w:r>
              <w:rPr>
                <w:b/>
                <w:color w:val="1a1a2e"/>
                <w:sz w:val="20"/>
              </w:rPr>
              <w:t>Confidence</w:t>
            </w:r>
          </w:p>
        </w:tc>
        <w:tc>
          <w:tcPr>
            <w:tcW w:w="3000" w:type="dxa"/>
            <w:shd w:val="clear" w:fill="EDF2F7"/>
          </w:tcPr>
          <w:p>
            <w:pPr>
              <w:spacing w:before="60" w:after="60"/>
            </w:pPr>
            <w:r>
              <w:rPr>
                <w:b/>
                <w:color w:val="1a1a2e"/>
                <w:sz w:val="20"/>
              </w:rPr>
              <w:t>Primary Legal Vehicle</w:t>
            </w:r>
          </w:p>
        </w:tc>
      </w:tr>
      <w:tr>
        <w:tc>
          <w:tcPr>
            <w:tcW w:w="3000" w:type="dxa"/>
          </w:tcPr>
          <w:p>
            <w:pPr>
              <w:spacing w:before="40" w:after="40"/>
            </w:pPr>
            <w:r>
              <w:rPr>
                <w:color w:val="1a1a2e"/>
                <w:sz w:val="20"/>
              </w:rPr>
              <w:t>Harvest-and-Discard as RICO</w:t>
            </w:r>
          </w:p>
        </w:tc>
        <w:tc>
          <w:tcPr>
            <w:tcW w:w="3000" w:type="dxa"/>
          </w:tcPr>
          <w:p>
            <w:pPr>
              <w:spacing w:before="40" w:after="40"/>
            </w:pPr>
            <w:r>
              <w:rPr>
                <w:color w:val="1a1a2e"/>
                <w:sz w:val="20"/>
              </w:rPr>
              <w:t>HIGH</w:t>
            </w:r>
          </w:p>
        </w:tc>
        <w:tc>
          <w:tcPr>
            <w:tcW w:w="3000" w:type="dxa"/>
          </w:tcPr>
          <w:p>
            <w:pPr>
              <w:spacing w:before="40" w:after="40"/>
            </w:pPr>
            <w:r>
              <w:rPr>
                <w:color w:val="1a1a2e"/>
                <w:sz w:val="20"/>
              </w:rPr>
              <w:t>Civil RICO (18 U.S.C. 1964)</w:t>
            </w:r>
          </w:p>
        </w:tc>
      </w:tr>
      <w:tr>
        <w:tc>
          <w:tcPr>
            <w:tcW w:w="3000" w:type="dxa"/>
            <w:shd w:val="clear" w:fill="F7FAFC"/>
          </w:tcPr>
          <w:p>
            <w:pPr>
              <w:spacing w:before="40" w:after="40"/>
            </w:pPr>
            <w:r>
              <w:rPr>
                <w:color w:val="1a1a2e"/>
                <w:sz w:val="20"/>
              </w:rPr>
              <w:t>CHP Claude Code mass default</w:t>
            </w:r>
          </w:p>
        </w:tc>
        <w:tc>
          <w:tcPr>
            <w:tcW w:w="3000" w:type="dxa"/>
            <w:shd w:val="clear" w:fill="F7FAFC"/>
          </w:tcPr>
          <w:p>
            <w:pPr>
              <w:spacing w:before="40" w:after="40"/>
            </w:pPr>
            <w:r>
              <w:rPr>
                <w:color w:val="1a1a2e"/>
                <w:sz w:val="20"/>
              </w:rPr>
              <w:t>HIGH</w:t>
            </w:r>
          </w:p>
        </w:tc>
        <w:tc>
          <w:tcPr>
            <w:tcW w:w="3000" w:type="dxa"/>
            <w:shd w:val="clear" w:fill="F7FAFC"/>
          </w:tcPr>
          <w:p>
            <w:pPr>
              <w:spacing w:before="40" w:after="40"/>
            </w:pPr>
            <w:r>
              <w:rPr>
                <w:color w:val="1a1a2e"/>
                <w:sz w:val="20"/>
              </w:rPr>
              <w:t>Class action / PAGA</w:t>
            </w:r>
          </w:p>
        </w:tc>
      </w:tr>
      <w:tr>
        <w:tc>
          <w:tcPr>
            <w:tcW w:w="3000" w:type="dxa"/>
          </w:tcPr>
          <w:p>
            <w:pPr>
              <w:spacing w:before="40" w:after="40"/>
            </w:pPr>
            <w:r>
              <w:rPr>
                <w:color w:val="1a1a2e"/>
                <w:sz w:val="20"/>
              </w:rPr>
              <w:t>Veil-piercing: Alignerr as alter ego</w:t>
            </w:r>
          </w:p>
        </w:tc>
        <w:tc>
          <w:tcPr>
            <w:tcW w:w="3000" w:type="dxa"/>
          </w:tcPr>
          <w:p>
            <w:pPr>
              <w:spacing w:before="40" w:after="40"/>
            </w:pPr>
            <w:r>
              <w:rPr>
                <w:color w:val="1a1a2e"/>
                <w:sz w:val="20"/>
              </w:rPr>
              <w:t>MEDIUM-HIGH</w:t>
            </w:r>
          </w:p>
        </w:tc>
        <w:tc>
          <w:tcPr>
            <w:tcW w:w="3000" w:type="dxa"/>
          </w:tcPr>
          <w:p>
            <w:pPr>
              <w:spacing w:before="40" w:after="40"/>
            </w:pPr>
            <w:r>
              <w:rPr>
                <w:color w:val="1a1a2e"/>
                <w:sz w:val="20"/>
              </w:rPr>
              <w:t>Alter ego doctrine</w:t>
            </w:r>
          </w:p>
        </w:tc>
      </w:tr>
      <w:tr>
        <w:tc>
          <w:tcPr>
            <w:tcW w:w="3000" w:type="dxa"/>
            <w:shd w:val="clear" w:fill="F7FAFC"/>
          </w:tcPr>
          <w:p>
            <w:pPr>
              <w:spacing w:before="40" w:after="40"/>
            </w:pPr>
            <w:r>
              <w:rPr>
                <w:color w:val="1a1a2e"/>
                <w:sz w:val="20"/>
              </w:rPr>
              <w:t>PAGA covers all global workers</w:t>
            </w:r>
          </w:p>
        </w:tc>
        <w:tc>
          <w:tcPr>
            <w:tcW w:w="3000" w:type="dxa"/>
            <w:shd w:val="clear" w:fill="F7FAFC"/>
          </w:tcPr>
          <w:p>
            <w:pPr>
              <w:spacing w:before="40" w:after="40"/>
            </w:pPr>
            <w:r>
              <w:rPr>
                <w:color w:val="1a1a2e"/>
                <w:sz w:val="20"/>
              </w:rPr>
              <w:t>HIGH</w:t>
            </w:r>
          </w:p>
        </w:tc>
        <w:tc>
          <w:tcPr>
            <w:tcW w:w="3000" w:type="dxa"/>
            <w:shd w:val="clear" w:fill="F7FAFC"/>
          </w:tcPr>
          <w:p>
            <w:pPr>
              <w:spacing w:before="40" w:after="40"/>
            </w:pPr>
            <w:r>
              <w:rPr>
                <w:color w:val="1a1a2e"/>
                <w:sz w:val="20"/>
              </w:rPr>
              <w:t>PAGA (Lab. Code 2699)</w:t>
            </w:r>
          </w:p>
        </w:tc>
      </w:tr>
      <w:tr>
        <w:tc>
          <w:tcPr>
            <w:tcW w:w="3000" w:type="dxa"/>
          </w:tcPr>
          <w:p>
            <w:pPr>
              <w:spacing w:before="40" w:after="40"/>
            </w:pPr>
            <w:r>
              <w:rPr>
                <w:color w:val="1a1a2e"/>
                <w:sz w:val="20"/>
              </w:rPr>
              <w:t>IPO timing = max leverage</w:t>
            </w:r>
          </w:p>
        </w:tc>
        <w:tc>
          <w:tcPr>
            <w:tcW w:w="3000" w:type="dxa"/>
          </w:tcPr>
          <w:p>
            <w:pPr>
              <w:spacing w:before="40" w:after="40"/>
            </w:pPr>
            <w:r>
              <w:rPr>
                <w:color w:val="1a1a2e"/>
                <w:sz w:val="20"/>
              </w:rPr>
              <w:t>HIGH</w:t>
            </w:r>
          </w:p>
        </w:tc>
        <w:tc>
          <w:tcPr>
            <w:tcW w:w="3000" w:type="dxa"/>
          </w:tcPr>
          <w:p>
            <w:pPr>
              <w:spacing w:before="40" w:after="40"/>
            </w:pPr>
            <w:r>
              <w:rPr>
                <w:color w:val="1a1a2e"/>
                <w:sz w:val="20"/>
              </w:rPr>
              <w:t>Strategic timing</w:t>
            </w:r>
          </w:p>
        </w:tc>
      </w:tr>
      <w:tr>
        <w:tc>
          <w:tcPr>
            <w:tcW w:w="3000" w:type="dxa"/>
            <w:shd w:val="clear" w:fill="F7FAFC"/>
          </w:tcPr>
          <w:p>
            <w:pPr>
              <w:spacing w:before="40" w:after="40"/>
            </w:pPr>
            <w:r>
              <w:rPr>
                <w:color w:val="1a1a2e"/>
                <w:sz w:val="20"/>
              </w:rPr>
              <w:t>Silencing = consciousness of guilt</w:t>
            </w:r>
          </w:p>
        </w:tc>
        <w:tc>
          <w:tcPr>
            <w:tcW w:w="3000" w:type="dxa"/>
            <w:shd w:val="clear" w:fill="F7FAFC"/>
          </w:tcPr>
          <w:p>
            <w:pPr>
              <w:spacing w:before="40" w:after="40"/>
            </w:pPr>
            <w:r>
              <w:rPr>
                <w:color w:val="1a1a2e"/>
                <w:sz w:val="20"/>
              </w:rPr>
              <w:t>HIGH</w:t>
            </w:r>
          </w:p>
        </w:tc>
        <w:tc>
          <w:tcPr>
            <w:tcW w:w="3000" w:type="dxa"/>
            <w:shd w:val="clear" w:fill="F7FAFC"/>
          </w:tcPr>
          <w:p>
            <w:pPr>
              <w:spacing w:before="40" w:after="40"/>
            </w:pPr>
            <w:r>
              <w:rPr>
                <w:color w:val="1a1a2e"/>
                <w:sz w:val="20"/>
              </w:rPr>
              <w:t>UCL Section 17200</w:t>
            </w:r>
          </w:p>
        </w:tc>
      </w:tr>
      <w:tr>
        <w:tc>
          <w:tcPr>
            <w:tcW w:w="3000" w:type="dxa"/>
          </w:tcPr>
          <w:p>
            <w:pPr>
              <w:spacing w:before="40" w:after="40"/>
            </w:pPr>
            <w:r>
              <w:rPr>
                <w:color w:val="1a1a2e"/>
                <w:sz w:val="20"/>
              </w:rPr>
              <w:t>Industry tipping point</w:t>
            </w:r>
          </w:p>
        </w:tc>
        <w:tc>
          <w:tcPr>
            <w:tcW w:w="3000" w:type="dxa"/>
          </w:tcPr>
          <w:p>
            <w:pPr>
              <w:spacing w:before="40" w:after="40"/>
            </w:pPr>
            <w:r>
              <w:rPr>
                <w:color w:val="1a1a2e"/>
                <w:sz w:val="20"/>
              </w:rPr>
              <w:t>HIGH</w:t>
            </w:r>
          </w:p>
        </w:tc>
        <w:tc>
          <w:tcPr>
            <w:tcW w:w="3000" w:type="dxa"/>
          </w:tcPr>
          <w:p>
            <w:pPr>
              <w:spacing w:before="40" w:after="40"/>
            </w:pPr>
            <w:r>
              <w:rPr>
                <w:color w:val="1a1a2e"/>
                <w:sz w:val="20"/>
              </w:rPr>
              <w:t>First-mover filing</w:t>
            </w:r>
          </w:p>
        </w:tc>
      </w:tr>
      <w:tr>
        <w:tc>
          <w:tcPr>
            <w:tcW w:w="3000" w:type="dxa"/>
            <w:shd w:val="clear" w:fill="F7FAFC"/>
          </w:tcPr>
          <w:p>
            <w:pPr>
              <w:spacing w:before="40" w:after="40"/>
            </w:pPr>
            <w:r>
              <w:rPr>
                <w:color w:val="1a1a2e"/>
                <w:sz w:val="20"/>
              </w:rPr>
              <w:t>Evaluation work is the product</w:t>
            </w:r>
          </w:p>
        </w:tc>
        <w:tc>
          <w:tcPr>
            <w:tcW w:w="3000" w:type="dxa"/>
            <w:shd w:val="clear" w:fill="F7FAFC"/>
          </w:tcPr>
          <w:p>
            <w:pPr>
              <w:spacing w:before="40" w:after="40"/>
            </w:pPr>
            <w:r>
              <w:rPr>
                <w:color w:val="1a1a2e"/>
                <w:sz w:val="20"/>
              </w:rPr>
              <w:t>MEDIUM-HIGH</w:t>
            </w:r>
          </w:p>
        </w:tc>
        <w:tc>
          <w:tcPr>
            <w:tcW w:w="3000" w:type="dxa"/>
            <w:shd w:val="clear" w:fill="F7FAFC"/>
          </w:tcPr>
          <w:p>
            <w:pPr>
              <w:spacing w:before="40" w:after="40"/>
            </w:pPr>
            <w:r>
              <w:rPr>
                <w:color w:val="1a1a2e"/>
                <w:sz w:val="20"/>
              </w:rPr>
              <w:t>Fraud / unjust enrichment</w:t>
            </w:r>
          </w:p>
        </w:tc>
      </w:tr>
      <w:tr>
        <w:tc>
          <w:tcPr>
            <w:tcW w:w="3000" w:type="dxa"/>
          </w:tcPr>
          <w:p>
            <w:pPr>
              <w:spacing w:before="40" w:after="40"/>
            </w:pPr>
            <w:r>
              <w:rPr>
                <w:color w:val="1a1a2e"/>
                <w:sz w:val="20"/>
              </w:rPr>
              <w:t>Small claims swarm</w:t>
            </w:r>
          </w:p>
        </w:tc>
        <w:tc>
          <w:tcPr>
            <w:tcW w:w="3000" w:type="dxa"/>
          </w:tcPr>
          <w:p>
            <w:pPr>
              <w:spacing w:before="40" w:after="40"/>
            </w:pPr>
            <w:r>
              <w:rPr>
                <w:color w:val="1a1a2e"/>
                <w:sz w:val="20"/>
              </w:rPr>
              <w:t>HIGH</w:t>
            </w:r>
          </w:p>
        </w:tc>
        <w:tc>
          <w:tcPr>
            <w:tcW w:w="3000" w:type="dxa"/>
          </w:tcPr>
          <w:p>
            <w:pPr>
              <w:spacing w:before="40" w:after="40"/>
            </w:pPr>
            <w:r>
              <w:rPr>
                <w:color w:val="1a1a2e"/>
                <w:sz w:val="20"/>
              </w:rPr>
              <w:t>Small claims court</w:t>
            </w:r>
          </w:p>
        </w:tc>
      </w:tr>
      <w:tr>
        <w:tc>
          <w:tcPr>
            <w:tcW w:w="3000" w:type="dxa"/>
            <w:shd w:val="clear" w:fill="F7FAFC"/>
          </w:tcPr>
          <w:p>
            <w:pPr>
              <w:spacing w:before="40" w:after="40"/>
            </w:pPr>
            <w:r>
              <w:rPr>
                <w:color w:val="1a1a2e"/>
                <w:sz w:val="20"/>
              </w:rPr>
              <w:t>Federal contractor leverage</w:t>
            </w:r>
          </w:p>
        </w:tc>
        <w:tc>
          <w:tcPr>
            <w:tcW w:w="3000" w:type="dxa"/>
            <w:shd w:val="clear" w:fill="F7FAFC"/>
          </w:tcPr>
          <w:p>
            <w:pPr>
              <w:spacing w:before="40" w:after="40"/>
            </w:pPr>
            <w:r>
              <w:rPr>
                <w:color w:val="1a1a2e"/>
                <w:sz w:val="20"/>
              </w:rPr>
              <w:t>MEDIUM-HIGH</w:t>
            </w:r>
          </w:p>
        </w:tc>
        <w:tc>
          <w:tcPr>
            <w:tcW w:w="3000" w:type="dxa"/>
            <w:shd w:val="clear" w:fill="F7FAFC"/>
          </w:tcPr>
          <w:p>
            <w:pPr>
              <w:spacing w:before="40" w:after="40"/>
            </w:pPr>
            <w:r>
              <w:rPr>
                <w:color w:val="1a1a2e"/>
                <w:sz w:val="20"/>
              </w:rPr>
              <w:t>DCMA / SBA complaint</w:t>
            </w:r>
          </w:p>
        </w:tc>
      </w:tr>
    </w:tbl>
    <w:p>
      <w:pPr>
        <w:pStyle w:val="Heading2"/>
      </w:pPr>
      <w:r>
        <w:t>10.2 Recommended Next Steps for Case #001</w:t>
      </w:r>
    </w:p>
    <w:p>
      <w:pPr>
        <w:pStyle w:val="Heading3"/>
      </w:pPr>
      <w:r>
        <w:t>10.2.1 Immediate (0-7 Days)</w:t>
      </w:r>
    </w:p>
    <w:p>
      <w:pPr>
        <w:numPr>
          <w:ilvl w:val="0"/>
          <w:numId w:val="1"/>
        </w:numPr>
      </w:pPr>
      <w:r>
        <w:t>File small claims in San Francisco County - documented unpaid wages fall within the $12,500 limit</w:t>
      </w:r>
    </w:p>
    <w:p>
      <w:pPr>
        <w:numPr>
          <w:ilvl w:val="0"/>
          <w:numId w:val="1"/>
        </w:numPr>
      </w:pPr>
      <w:r>
        <w:t>Submit 30-day arbitration opt-out notice by certified mail to 510 Treat Avenue</w:t>
      </w:r>
    </w:p>
    <w:p>
      <w:pPr>
        <w:numPr>
          <w:ilvl w:val="0"/>
          <w:numId w:val="1"/>
        </w:numPr>
      </w:pPr>
      <w:r>
        <w:t>Preserve all evidence: Hubstaff logs, AutoQA scores, Discord screenshots, dashboard screenshots</w:t>
      </w:r>
    </w:p>
    <w:p>
      <w:pPr>
        <w:numPr>
          <w:ilvl w:val="0"/>
          <w:numId w:val="1"/>
        </w:numPr>
      </w:pPr>
      <w:r>
        <w:t>Contact Malkov plaintiff counsel (Elliot J. Siegel at King &amp; Siegel LLP)</w:t>
      </w:r>
    </w:p>
    <w:p>
      <w:pPr>
        <w:pStyle w:val="Heading3"/>
      </w:pPr>
      <w:r>
        <w:t>10.2.2 Short-Term (1-4 Weeks)</w:t>
      </w:r>
    </w:p>
    <w:p>
      <w:pPr>
        <w:numPr>
          <w:ilvl w:val="0"/>
          <w:numId w:val="1"/>
        </w:numPr>
      </w:pPr>
      <w:r>
        <w:t>Coordinate with Malkov counsel on class action strategy</w:t>
      </w:r>
    </w:p>
    <w:p>
      <w:pPr>
        <w:numPr>
          <w:ilvl w:val="0"/>
          <w:numId w:val="1"/>
        </w:numPr>
      </w:pPr>
      <w:r>
        <w:t>File PAGA notice with the California LWDA</w:t>
      </w:r>
    </w:p>
    <w:p>
      <w:pPr>
        <w:numPr>
          <w:ilvl w:val="0"/>
          <w:numId w:val="1"/>
        </w:numPr>
      </w:pPr>
      <w:r>
        <w:t>Coordinate the small claims swarm (20-50 affected workers)</w:t>
      </w:r>
    </w:p>
    <w:p>
      <w:pPr>
        <w:numPr>
          <w:ilvl w:val="0"/>
          <w:numId w:val="1"/>
        </w:numPr>
      </w:pPr>
      <w:r>
        <w:t>File DLSE wage claim</w:t>
      </w:r>
    </w:p>
    <w:p>
      <w:pPr>
        <w:pStyle w:val="Heading3"/>
      </w:pPr>
      <w:r>
        <w:t>10.2.3 Medium-Term (1-3 Months)</w:t>
      </w:r>
    </w:p>
    <w:p>
      <w:pPr>
        <w:numPr>
          <w:ilvl w:val="0"/>
          <w:numId w:val="1"/>
        </w:numPr>
      </w:pPr>
      <w:r>
        <w:t>Execute LinkedIn public disclosure with evidence package</w:t>
      </w:r>
    </w:p>
    <w:p>
      <w:pPr>
        <w:numPr>
          <w:ilvl w:val="0"/>
          <w:numId w:val="1"/>
        </w:numPr>
      </w:pPr>
      <w:r>
        <w:t>Submit DCMA complaint via government contractor status</w:t>
      </w:r>
    </w:p>
    <w:p>
      <w:pPr>
        <w:numPr>
          <w:ilvl w:val="0"/>
          <w:numId w:val="1"/>
        </w:numPr>
      </w:pPr>
      <w:r>
        <w:t>Engage Clarkson Law Firm as parallel counsel</w:t>
      </w:r>
    </w:p>
    <w:p>
      <w:pPr>
        <w:pStyle w:val="Heading3"/>
      </w:pPr>
      <w:r>
        <w:t>10.2.4 Long-Term (3-6 Months)</w:t>
      </w:r>
    </w:p>
    <w:p>
      <w:pPr>
        <w:numPr>
          <w:ilvl w:val="0"/>
          <w:numId w:val="1"/>
        </w:numPr>
      </w:pPr>
      <w:r>
        <w:t>Support class certification in Malkov or parallel action</w:t>
      </w:r>
    </w:p>
    <w:p>
      <w:pPr>
        <w:numPr>
          <w:ilvl w:val="0"/>
          <w:numId w:val="1"/>
        </w:numPr>
      </w:pPr>
      <w:r>
        <w:t>Build the Sindicato dashboard from aggregated research</w:t>
      </w:r>
    </w:p>
    <w:p>
      <w:pPr>
        <w:numPr>
          <w:ilvl w:val="0"/>
          <w:numId w:val="1"/>
        </w:numPr>
      </w:pPr>
      <w:r>
        <w:t>Monitor and escalate based on company response</w:t>
      </w:r>
    </w:p>
    <w:p>
      <w:pPr>
        <w:jc w:val="both"/>
      </w:pPr>
      <w:r>
        <w:t>The strategic architecture is deliberate: small claims creates immediate individual pressure; PAGA creates aggregate state-enforced liability; class action creates transformative recovery potential; public disclosure creates reputational cost during IPO preparation; and DCMA complaint creates regulatory pressure unavailable against non-contractor competitors. These tracks operate independently - the failure of one does not compromise the others - but together they form a convergence of pressure that a two-person legal team cannot manage simultaneously. The evidence is assembled. The law is favourable. The timing is now.</w:t>
      </w:r>
    </w:p>
    <w:p>
      <w:pPr>
        <w:sectPr>
          <w:headerReference w:type="default" r:id="R7bcb32c774ef4d00"/>
          <w:footerReference w:type="default" r:id="Ra099f3f0663a46a7"/>
          <w:type w:val="nextPage"/>
          <w:pgSz w:w="11906" w:h="16838"/>
          <w:pgMar w:top="1440" w:right="1440" w:bottom="1440" w:left="1440" w:header="720" w:footer="720"/>
        </w:sectPr>
      </w:pPr>
    </w:p>
    <w:sectPr>
      <w:pgSz w:w="11906" w:h="16838"/>
      <w:pgMar w:top="1440" w:right="1440" w:bottom="1440" w:left="1440" w:header="720" w:footer="720"/>
    </w:sectPr>
  </w:body>
</w:document>
</file>

<file path=word/footer1.xml><?xml version="1.0" encoding="utf-8"?>
<w:ftr xmlns:w="http://schemas.openxmlformats.org/wordprocessingml/2006/main">
  <w:p>
    <w:pPr>
      <w:pBdr>
        <w:top w:val="single" w:color="CBD5E0" w:sz="4" w:space="4"/>
      </w:pBdr>
      <w:jc w:val="center"/>
    </w:pPr>
    <w:r>
      <w:rPr>
        <w:color w:val="718096"/>
        <w:sz w:val="16"/>
      </w:rPr>
      <w:t xml:space="preserve">Page </w:t>
    </w: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t>1</w:t>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w:instrText>
    </w:r>
    <w:r>
      <w:rPr>
        <w:color w:val="718096"/>
        <w:sz w:val="16"/>
      </w:rPr>
      <w:fldChar w:fldCharType="separate"/>
    </w:r>
    <w:r>
      <w:rPr>
        <w:color w:val="718096"/>
        <w:sz w:val="16"/>
      </w:rPr>
      <w:t>1</w:t>
    </w:r>
    <w:r>
      <w:rPr>
        <w:color w:val="718096"/>
        <w:sz w:val="16"/>
      </w:rPr>
      <w:fldChar w:fldCharType="end"/>
    </w:r>
  </w:p>
</w:ftr>
</file>

<file path=word/header1.xml><?xml version="1.0" encoding="utf-8"?>
<w:hdr xmlns:w="http://schemas.openxmlformats.org/wordprocessingml/2006/main">
  <w:p>
    <w:pPr>
      <w:pBdr>
        <w:bottom w:val="single" w:color="CBD5E0" w:sz="4" w:space="4"/>
      </w:pBdr>
      <w:jc w:val="right"/>
    </w:pPr>
    <w:r>
      <w:rPr>
        <w:i/>
        <w:color w:val="718096"/>
        <w:sz w:val="16"/>
      </w:rPr>
      <w:t>Sindicato Research Report  |  Case #001  |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eastAsia="Calibri"/>
      <w:color w:val="1a1a2e"/>
      <w:sz w:val="22"/>
    </w:rPr>
  </w:style>
  <w:style w:type="paragraph" w:styleId="Heading1">
    <w:name w:val="heading 1"/>
    <w:basedOn w:val="Normal"/>
    <w:pPr>
      <w:keepNext/>
      <w:keepLines/>
      <w:pageBreakBefore/>
      <w:spacing w:before="480" w:after="240"/>
      <w:outlineLvl w:val="0"/>
    </w:pPr>
    <w:rPr>
      <w:rFonts w:ascii="Calibri" w:hAnsi="Calibri"/>
      <w:b/>
      <w:color w:val="1B3A5C"/>
      <w:sz w:val="40"/>
    </w:rPr>
  </w:style>
  <w:style w:type="paragraph" w:styleId="Heading2">
    <w:name w:val="heading 2"/>
    <w:basedOn w:val="Normal"/>
    <w:pPr>
      <w:keepNext/>
      <w:keepLines/>
      <w:spacing w:before="360" w:after="160"/>
      <w:outlineLvl w:val="1"/>
    </w:pPr>
    <w:rPr>
      <w:rFonts w:ascii="Calibri" w:hAnsi="Calibri"/>
      <w:b/>
      <w:color w:val="2C5282"/>
      <w:sz w:val="28"/>
    </w:rPr>
  </w:style>
  <w:style w:type="paragraph" w:styleId="Heading3">
    <w:name w:val="heading 3"/>
    <w:basedOn w:val="Normal"/>
    <w:pPr>
      <w:keepNext/>
      <w:keepLines/>
      <w:spacing w:before="280" w:after="120"/>
      <w:outlineLvl w:val="2"/>
    </w:pPr>
    <w:rPr>
      <w:rFonts w:ascii="Calibri" w:hAnsi="Calibri"/>
      <w:b/>
      <w:color w:val="4a5568"/>
      <w:sz w:val="24"/>
    </w:rPr>
  </w:style>
  <w:style w:type="paragraph" w:styleId="Heading4">
    <w:name w:val="heading 4"/>
    <w:basedOn w:val="Normal"/>
    <w:pPr>
      <w:keepNext/>
      <w:keepLines/>
      <w:spacing w:before="200" w:after="80"/>
      <w:outlineLvl w:val="3"/>
    </w:pPr>
    <w:rPr>
      <w:rFonts w:ascii="Calibri" w:hAnsi="Calibri"/>
      <w:b/>
      <w:i/>
      <w:color w:val="4a5568"/>
      <w:sz w:val="22"/>
    </w:rPr>
  </w:style>
  <w:style w:type="paragraph" w:styleId="TOC1">
    <w:name w:val="toc 1"/>
    <w:basedOn w:val="Normal"/>
    <w:pPr>
      <w:tabs>
        <w:tab w:val="right" w:leader="dot" w:pos="9350"/>
      </w:tabs>
      <w:spacing w:before="120" w:after="60"/>
    </w:pPr>
    <w:rPr>
      <w:b/>
      <w:color w:val="1a1a2e"/>
      <w:sz w:val="22"/>
    </w:rPr>
  </w:style>
  <w:style w:type="paragraph" w:styleId="TOC2">
    <w:name w:val="toc 2"/>
    <w:basedOn w:val="Normal"/>
    <w:pPr>
      <w:tabs>
        <w:tab w:val="right" w:leader="dot" w:pos="9350"/>
      </w:tabs>
      <w:spacing w:before="60" w:after="40"/>
      <w:ind w:left="360"/>
    </w:pPr>
    <w:rPr>
      <w:color w:val="4a5568"/>
      <w:sz w:val="21"/>
    </w:rPr>
  </w:style>
  <w:style w:type="paragraph" w:styleId="TOC3">
    <w:name w:val="toc 3"/>
    <w:basedOn w:val="Normal"/>
    <w:pPr>
      <w:tabs>
        <w:tab w:val="right" w:leader="dot" w:pos="9350"/>
      </w:tabs>
      <w:spacing w:before="40" w:after="40"/>
      <w:ind w:left="720"/>
    </w:pPr>
    <w:rPr>
      <w:color w:val="718096"/>
      <w:sz w:val="20"/>
    </w:rPr>
  </w:style>
</w:styles>
</file>

<file path=word/_rels/document.xml.rels><?xml version='1.0' encoding='UTF-8'?>
<Relationships xmlns="http://schemas.openxmlformats.org/package/2006/relationships"><Relationship Type="http://schemas.openxmlformats.org/officeDocument/2006/relationships/styles" Target="styles.xml" Id="R7632c26dc6d14dc9" /><Relationship Type="http://schemas.openxmlformats.org/officeDocument/2006/relationships/numbering" Target="numbering.xml" Id="R2fd187a06f104fcc" /><Relationship Type="http://schemas.openxmlformats.org/officeDocument/2006/relationships/image" Target="media/image.png" Id="R357ab3394dfe4be9" /><Relationship Type="http://schemas.openxmlformats.org/officeDocument/2006/relationships/header" Target="header1.xml" Id="R7bcb32c774ef4d00" /><Relationship Type="http://schemas.openxmlformats.org/officeDocument/2006/relationships/footer" Target="footer1.xml" Id="Ra099f3f0663a46a7" /><Relationship Type="http://schemas.openxmlformats.org/officeDocument/2006/relationships/settings" Target="settings.xml" Id="R1a1a367f29ea4334" /></Relationships>
</file>