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2.png" ContentType="image/png"/>
  <Override PartName="/word/media/rId102.png" ContentType="image/png"/>
  <Override PartName="/word/media/rId114.png" ContentType="image/png"/>
  <Override PartName="/word/media/rId97.png" ContentType="image/png"/>
  <Override PartName="/word/media/rId109.png" ContentType="image/png"/>
  <Override PartName="/word/media/rId46.png" ContentType="image/png"/>
  <Override PartName="/word/media/rId51.png" ContentType="image/png"/>
  <Override PartName="/word/media/rId58.png" ContentType="image/png"/>
  <Override PartName="/word/media/rId74.png" ContentType="image/png"/>
  <Override PartName="/word/media/rId131.png" ContentType="image/png"/>
  <Override PartName="/word/media/rId146.png" ContentType="image/png"/>
  <Override PartName="/word/media/rId169.png" ContentType="image/png"/>
  <Override PartName="/word/media/rId158.png" ContentType="image/png"/>
  <Override PartName="/word/media/rId15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pPr>
        <w:pStyle w:val="Heading2"/>
      </w:pPr>
      <w:r>
        <w:t xml:space="preserve">Executive Summary</w:t>
      </w:r>
    </w:p>
    <w:p>
      <w:pPr>
        <w:pStyle w:val="FirstParagraph"/>
      </w:pPr>
      <w:r>
        <w:t xml:space="preserve">The global somatic therapy market — encompassing body-based approaches to trauma, depression, and anxiety such as Somatic Experiencing, Sensorimotor Psychotherapy, and Dance/Movement Therapy — was valued at $4.01–4.72 billion in 2025 and is projected to reach $12.40–19.68 billion by 2032–2035, growing at a compound annual growth rate (CAGR) of 16.8–17.7%</w:t>
      </w:r>
      <w:r>
        <w:t xml:space="preserve"> </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This growth rate substantially outpaces both the broader mental health services market (5–7% annually) and the global wellness economy (7.6%), positioning somatic therapy as one of the fastest-expanding segments in mental healthcare</w:t>
      </w:r>
      <w:r>
        <w:t xml:space="preserve"> </w:t>
      </w:r>
      <w:r>
        <w:rPr>
          <w:vertAlign w:val="superscript"/>
        </w:rPr>
        <w:footnoteReference w:id="4"/>
      </w:r>
      <w:r>
        <w:t xml:space="preserve"> </w:t>
      </w:r>
      <w:r>
        <w:rPr>
          <w:vertAlign w:val="superscript"/>
        </w:rPr>
        <w:footnoteReference w:id="5"/>
      </w:r>
      <w:r>
        <w:t xml:space="preserve">. Three independent research firms — Coherent Market Insights, Prophecy Market Insights, and Data Bridge Market Research — converge on double-digit growth driven by post-COVID trauma demand, the Gen Z</w:t>
      </w:r>
      <w:r>
        <w:t xml:space="preserve"> </w:t>
      </w:r>
      <w:r>
        <w:t xml:space="preserve">“</w:t>
      </w:r>
      <w:r>
        <w:t xml:space="preserve">somatic turn,</w:t>
      </w:r>
      <w:r>
        <w:t xml:space="preserve">”</w:t>
      </w:r>
      <w:r>
        <w:t xml:space="preserve"> </w:t>
      </w:r>
      <w:r>
        <w:t xml:space="preserve">corporate wellness adoption, and mounting preference for non-pharmacological treatments</w:t>
      </w:r>
      <w:r>
        <w:t xml:space="preserve"> </w:t>
      </w:r>
      <w:r>
        <w:rPr>
          <w:vertAlign w:val="superscript"/>
        </w:rPr>
        <w:footnoteReference w:id="6"/>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w:t>
      </w:r>
    </w:p>
    <w:p>
      <w:pPr>
        <w:pStyle w:val="BodyText"/>
      </w:pPr>
      <w:r>
        <w:t xml:space="preserve">Yet this rapidly expanding market is served by no purpose-built digital platform. Despite an estimated 50,000+ practitioners globally and surging consumer demand evidenced by 112.9 million TikTok views under #somatictherapy and 300 million+ views under #nervoussystemregulation</w:t>
      </w:r>
      <w:r>
        <w:t xml:space="preserve"> </w:t>
      </w:r>
      <w:r>
        <w:rPr>
          <w:vertAlign w:val="superscript"/>
        </w:rPr>
        <w:footnoteReference w:id="7"/>
      </w:r>
      <w:r>
        <w:t xml:space="preserve"> </w:t>
      </w:r>
      <w:fldSimple w:instr="NOTEREF _Ref_Footnote_3 \h \f">
        <w:r>
          <w:rPr>
            <w:vertAlign w:val="superscript"/>
          </w:rPr>
          <w:t>3</w:t>
        </w:r>
      </w:fldSimple>
      <w:r>
        <w:t xml:space="preserve">, the competitive landscape remains fragmented across eight or more disconnected tool categories [^dim08^]. Headway and Alma have demonstrated that insurance-enabled therapist marketplaces can achieve venture-scale outcomes ($2.3 billion and $3 billion valuations respectively</w:t>
      </w:r>
      <w:r>
        <w:t xml:space="preserve"> </w:t>
      </w:r>
      <w:r>
        <w:rPr>
          <w:vertAlign w:val="superscript"/>
        </w:rPr>
        <w:footnoteReference w:id="8"/>
      </w:r>
      <w:r>
        <w:t xml:space="preserve"> </w:t>
      </w:r>
      <w:r>
        <w:rPr>
          <w:vertAlign w:val="superscript"/>
        </w:rPr>
        <w:footnoteReference w:id="9"/>
      </w:r>
      <w:r>
        <w:t xml:space="preserve">), but both platforms are designed for talk therapy and psychiatric medication management, with no somatic-specific features, body-based modality directories, or movement-optimized telehealth infrastructure. Practitioners currently cobble together directory listings (Psychology Today, SEI directory), telehealth (SimplePractice, Doxy.me), practice management (SimplePractice, Alma), continuing education (The Embody Lab, PESI), and insurance tools — spending $400–600 per month on five or more platforms that do not integrate</w:t>
      </w:r>
      <w:r>
        <w:t xml:space="preserve"> </w:t>
      </w:r>
      <w:r>
        <w:rPr>
          <w:vertAlign w:val="superscript"/>
        </w:rPr>
        <w:footnoteReference w:id="10"/>
      </w:r>
      <w:r>
        <w:t xml:space="preserve">. No existing competitor combines directory services, booking, telehealth, practice management, and continuing education into a single solution designed for body-based therapy [^dim12^]. The closest platform, Heallist, serves 3,000 practitioners across 220+ holistic modalities but lacks somatic specificity, insurance infrastructure, and education integration</w:t>
      </w:r>
      <w:r>
        <w:t xml:space="preserve"> </w:t>
      </w:r>
      <w:r>
        <w:rPr>
          <w:vertAlign w:val="superscript"/>
        </w:rPr>
        <w:footnoteReference w:id="11"/>
      </w:r>
      <w:r>
        <w:t xml:space="preserve">. This fragmentation represents both a critical workflow failure for practitioners and a first-mover opportunity for an integrated platform.</w:t>
      </w:r>
    </w:p>
    <w:p>
      <w:pPr>
        <w:pStyle w:val="BodyText"/>
      </w:pPr>
      <w:r>
        <w:t xml:space="preserve">The clinical evidence supporting somatic approaches has reached a threshold sufficient to justify platform investment. Somatic Experiencing achieved Cohen’s</w:t>
      </w:r>
      <w:r>
        <w:t xml:space="preserve"> </w:t>
      </w:r>
      <m:oMath>
        <m:r>
          <m:t>d</m:t>
        </m:r>
        <m:r>
          <m:rPr>
            <m:sty m:val="p"/>
          </m:rPr>
          <m:t>=</m:t>
        </m:r>
        <m:r>
          <m:t>1.26</m:t>
        </m:r>
      </m:oMath>
      <w:r>
        <w:t xml:space="preserve"> </w:t>
      </w:r>
      <w:r>
        <w:t xml:space="preserve">for PTSD symptom reduction in Brom and colleagues’ 2017 RCT, with 44.1% of participants moving from full diagnostic criteria to complete remission</w:t>
      </w:r>
      <w:r>
        <w:t xml:space="preserve"> </w:t>
      </w:r>
      <w:r>
        <w:rPr>
          <w:vertAlign w:val="superscript"/>
        </w:rPr>
        <w:footnoteReference w:id="12"/>
      </w:r>
      <w:r>
        <w:t xml:space="preserve"> </w:t>
      </w:r>
      <w:r>
        <w:rPr>
          <w:vertAlign w:val="superscript"/>
        </w:rPr>
        <w:footnoteReference w:id="13"/>
      </w:r>
      <w:r>
        <w:t xml:space="preserve">. Trauma-Centered Trauma-Sensitive Yoga (TCTSY), the only yoga-based intervention listed on SAMHSA’s National Registry of Evidence-Based Programs and Practices for chronic PTSD, demonstrated</w:t>
      </w:r>
      <w:r>
        <w:t xml:space="preserve"> </w:t>
      </w:r>
      <m:oMath>
        <m:r>
          <m:t>d</m:t>
        </m:r>
        <m:r>
          <m:rPr>
            <m:sty m:val="p"/>
          </m:rPr>
          <m:t>=</m:t>
        </m:r>
        <m:r>
          <m:t>1.07</m:t>
        </m:r>
      </m:oMath>
      <w:r>
        <w:t xml:space="preserve"> </w:t>
      </w:r>
      <w:r>
        <w:t xml:space="preserve">in van der Kolk’s landmark 2014 trial, with 52% remission at 10 weeks and 83% under a 20-week extended protocol</w:t>
      </w:r>
      <w:r>
        <w:t xml:space="preserve"> </w:t>
      </w:r>
      <w:r>
        <w:rPr>
          <w:vertAlign w:val="superscript"/>
        </w:rPr>
        <w:footnoteReference w:id="14"/>
      </w:r>
      <w:r>
        <w:t xml:space="preserve"> </w:t>
      </w:r>
      <w:r>
        <w:rPr>
          <w:vertAlign w:val="superscript"/>
        </w:rPr>
        <w:footnoteReference w:id="15"/>
      </w:r>
      <w:r>
        <w:t xml:space="preserve">. For Dance/Movement Therapy, the Finnish multicenter RCT (</w:t>
      </w:r>
      <m:oMath>
        <m:r>
          <m:t>N</m:t>
        </m:r>
        <m:r>
          <m:rPr>
            <m:sty m:val="p"/>
          </m:rPr>
          <m:t>=</m:t>
        </m:r>
        <m:r>
          <m:t>109</m:t>
        </m:r>
      </m:oMath>
      <w:r>
        <w:t xml:space="preserve">) reported</w:t>
      </w:r>
      <w:r>
        <w:t xml:space="preserve"> </w:t>
      </w:r>
      <m:oMath>
        <m:r>
          <m:t>d</m:t>
        </m:r>
        <m:r>
          <m:rPr>
            <m:sty m:val="p"/>
          </m:rPr>
          <m:t>=</m:t>
        </m:r>
        <m:r>
          <m:t>0.72</m:t>
        </m:r>
      </m:oMath>
      <w:r>
        <w:t xml:space="preserve"> </w:t>
      </w:r>
      <w:r>
        <w:t xml:space="preserve">for depression with a number needed to treat (NNT) of 3 — meaning one additional patient achieves clinically meaningful improvement for every three receiving DMT</w:t>
      </w:r>
      <w:r>
        <w:t xml:space="preserve"> </w:t>
      </w:r>
      <w:r>
        <w:rPr>
          <w:vertAlign w:val="superscript"/>
        </w:rPr>
        <w:footnoteReference w:id="16"/>
      </w:r>
      <w:r>
        <w:t xml:space="preserve">. A 2025 Chinese network meta-analysis of 19 RCTs found that DMT combined with culturally-specific dance elements ranked as the most effective intervention for depression, with a SUCRA (Surface Under the Cumulative Ranking) score of 99.7%</w:t>
      </w:r>
      <w:r>
        <w:t xml:space="preserve"> </w:t>
      </w:r>
      <w:r>
        <w:rPr>
          <w:vertAlign w:val="superscript"/>
        </w:rPr>
        <w:footnoteReference w:id="17"/>
      </w:r>
      <w:r>
        <w:t xml:space="preserve"> </w:t>
      </w:r>
      <w:r>
        <w:rPr>
          <w:vertAlign w:val="superscript"/>
        </w:rPr>
        <w:footnoteReference w:id="18"/>
      </w:r>
      <w:r>
        <w:t xml:space="preserve">. Neurobiological mechanism research strengthens this evidence base further: HRV studies document autonomic restoration within single sessions</w:t>
      </w:r>
      <w:r>
        <w:t xml:space="preserve"> </w:t>
      </w:r>
      <w:r>
        <w:rPr>
          <w:vertAlign w:val="superscript"/>
        </w:rPr>
        <w:footnoteReference w:id="19"/>
      </w:r>
      <w:r>
        <w:t xml:space="preserve"> </w:t>
      </w:r>
      <w:r>
        <w:rPr>
          <w:vertAlign w:val="superscript"/>
        </w:rPr>
        <w:footnoteReference w:id="20"/>
      </w:r>
      <w:r>
        <w:t xml:space="preserve">, cortisol regulation improvements reach significance within 16 weeks</w:t>
      </w:r>
      <w:r>
        <w:t xml:space="preserve"> </w:t>
      </w:r>
      <w:r>
        <w:rPr>
          <w:vertAlign w:val="superscript"/>
        </w:rPr>
        <w:footnoteReference w:id="21"/>
      </w:r>
      <w:r>
        <w:t xml:space="preserve">, and inflammatory marker changes differentiate somatic from cognitive interventions</w:t>
      </w:r>
      <w:r>
        <w:t xml:space="preserve"> </w:t>
      </w:r>
      <w:r>
        <w:rPr>
          <w:vertAlign w:val="superscript"/>
        </w:rPr>
        <w:footnoteReference w:id="22"/>
      </w:r>
      <w:r>
        <w:t xml:space="preserve">.</w:t>
      </w:r>
    </w:p>
    <w:p>
      <w:pPr>
        <w:pStyle w:val="BodyText"/>
      </w:pPr>
      <w:r>
        <w:t xml:space="preserve">The strategic positioning for the platform centers on Dance/Movement Therapy with a depression-first clinical strategy. Depression affects approximately 8.3% of U.S. adults annually — roughly 21 million people — versus approximately 5% for PTSD, representing a 66% larger addressable population [^dim01^]. DMT’s strongest evidence is for depression (</w:t>
      </w:r>
      <m:oMath>
        <m:r>
          <m:t>d</m:t>
        </m:r>
        <m:r>
          <m:rPr>
            <m:sty m:val="p"/>
          </m:rPr>
          <m:t>=</m:t>
        </m:r>
        <m:r>
          <m:t>0.54</m:t>
        </m:r>
        <m:r>
          <m:rPr>
            <m:sty m:val="p"/>
          </m:rPr>
          <m:t>–</m:t>
        </m:r>
        <m:r>
          <m:t>0.72</m:t>
        </m:r>
      </m:oMath>
      <w:r>
        <w:t xml:space="preserve"> </w:t>
      </w:r>
      <w:r>
        <w:t xml:space="preserve">across meta-analyses and RCTs</w:t>
      </w:r>
      <w:r>
        <w:t xml:space="preserve"> </w:t>
      </w:r>
      <w:r>
        <w:rPr>
          <w:vertAlign w:val="superscript"/>
        </w:rPr>
        <w:footnoteReference w:id="23"/>
      </w:r>
      <w:r>
        <w:t xml:space="preserve"> </w:t>
      </w:r>
      <w:fldSimple w:instr="NOTEREF _Ref_Footnote_16 \h \f">
        <w:r>
          <w:rPr>
            <w:vertAlign w:val="superscript"/>
          </w:rPr>
          <w:t>16</w:t>
        </w:r>
      </w:fldSimple>
      <w:r>
        <w:t xml:space="preserve">), while its trauma evidence was characterized as</w:t>
      </w:r>
      <w:r>
        <w:t xml:space="preserve"> </w:t>
      </w:r>
      <w:r>
        <w:t xml:space="preserve">“</w:t>
      </w:r>
      <w:r>
        <w:t xml:space="preserve">mixed at best</w:t>
      </w:r>
      <w:r>
        <w:t xml:space="preserve">”</w:t>
      </w:r>
      <w:r>
        <w:t xml:space="preserve"> </w:t>
      </w:r>
      <w:r>
        <w:t xml:space="preserve">by WorkSafeBC’s 2024 systematic review</w:t>
      </w:r>
      <w:r>
        <w:t xml:space="preserve"> </w:t>
      </w:r>
      <w:r>
        <w:rPr>
          <w:vertAlign w:val="superscript"/>
        </w:rPr>
        <w:footnoteReference w:id="24"/>
      </w:r>
      <w:r>
        <w:t xml:space="preserve">. The cultural dance integration finding — SUCRA = 99.7% for culturally-adapted DMT</w:t>
      </w:r>
      <w:r>
        <w:t xml:space="preserve"> </w:t>
      </w:r>
      <w:fldSimple w:instr="NOTEREF _Ref_Footnote_17 \h \f">
        <w:r>
          <w:rPr>
            <w:vertAlign w:val="superscript"/>
          </w:rPr>
          <w:t>17</w:t>
        </w:r>
      </w:fldSimple>
      <w:r>
        <w:t xml:space="preserve">— creates both a clinical and commercial moat, enabling practitioners to serve underserved communities while differentiating against generic wellness platforms. However, the DMT profession is extraordinarily small: only 247 practicing DMT therapists serve all of North America</w:t>
      </w:r>
      <w:r>
        <w:t xml:space="preserve"> </w:t>
      </w:r>
      <w:r>
        <w:rPr>
          <w:vertAlign w:val="superscript"/>
        </w:rPr>
        <w:footnoteReference w:id="25"/>
      </w:r>
      <w:r>
        <w:t xml:space="preserve">. This supply constraint necessitates a platform design that supports</w:t>
      </w:r>
      <w:r>
        <w:t xml:space="preserve"> </w:t>
      </w:r>
      <w:r>
        <w:t xml:space="preserve">“</w:t>
      </w:r>
      <w:r>
        <w:t xml:space="preserve">DMT-informed</w:t>
      </w:r>
      <w:r>
        <w:t xml:space="preserve">”</w:t>
      </w:r>
      <w:r>
        <w:t xml:space="preserve"> </w:t>
      </w:r>
      <w:r>
        <w:t xml:space="preserve">practice by licensed professionals (LCSWs, LPCs, LMFTs) without full R-DMT credentials, alongside tools that expand effective supply through tele-DMT and group session formats.</w:t>
      </w:r>
    </w:p>
    <w:p>
      <w:pPr>
        <w:pStyle w:val="BodyText"/>
      </w:pPr>
      <w:r>
        <w:t xml:space="preserve">The competitive analysis reveals four critical technology gaps that incumbent platforms are structurally unable to fill. The</w:t>
      </w:r>
      <w:r>
        <w:t xml:space="preserve"> </w:t>
      </w:r>
      <w:r>
        <w:t xml:space="preserve">“</w:t>
      </w:r>
      <w:r>
        <w:t xml:space="preserve">body-blind telehealth</w:t>
      </w:r>
      <w:r>
        <w:t xml:space="preserve">”</w:t>
      </w:r>
      <w:r>
        <w:t xml:space="preserve"> </w:t>
      </w:r>
      <w:r>
        <w:t xml:space="preserve">problem is the most consequential: every major telehealth platform — BetterHelp, Talkspace, SimplePractice, Doxy.me — is architected for face-centric conversation, with none supporting full-body video framing, movement observation tools, or the spatial configurations (6+ feet clearance, chest-height camera) required for movement-based therapy</w:t>
      </w:r>
      <w:r>
        <w:t xml:space="preserve"> </w:t>
      </w:r>
      <w:r>
        <w:rPr>
          <w:vertAlign w:val="superscript"/>
        </w:rPr>
        <w:footnoteReference w:id="26"/>
      </w:r>
      <w:r>
        <w:t xml:space="preserve"> </w:t>
      </w:r>
      <w:r>
        <w:rPr>
          <w:vertAlign w:val="superscript"/>
        </w:rPr>
        <w:footnoteReference w:id="27"/>
      </w:r>
      <w:r>
        <w:t xml:space="preserve"> </w:t>
      </w:r>
      <w:r>
        <w:rPr>
          <w:vertAlign w:val="superscript"/>
        </w:rPr>
        <w:footnoteReference w:id="28"/>
      </w:r>
      <w:r>
        <w:t xml:space="preserve">. No platform integrates clinically validated pose estimation (MediaPipe achieves 97.2% keypoint accuracy and ICC = 0.94 versus physiotherapist assessment</w:t>
      </w:r>
      <w:r>
        <w:t xml:space="preserve"> </w:t>
      </w:r>
      <w:r>
        <w:rPr>
          <w:vertAlign w:val="superscript"/>
        </w:rPr>
        <w:footnoteReference w:id="29"/>
      </w:r>
      <w:r>
        <w:t xml:space="preserve">), wearable HRV data into clinical workflows, or hybrid in-person/digital session management</w:t>
      </w:r>
      <w:r>
        <w:t xml:space="preserve"> </w:t>
      </w:r>
      <w:r>
        <w:rPr>
          <w:vertAlign w:val="superscript"/>
        </w:rPr>
        <w:footnoteReference w:id="30"/>
      </w:r>
      <w:r>
        <w:t xml:space="preserve"> </w:t>
      </w:r>
      <w:fldSimple w:instr="NOTEREF _Ref_Footnote_3 \h \f">
        <w:r>
          <w:rPr>
            <w:vertAlign w:val="superscript"/>
          </w:rPr>
          <w:t>3</w:t>
        </w:r>
      </w:fldSimple>
      <w:r>
        <w:t xml:space="preserve">. These gaps are technically addressable but require capabilities outside the core competency of talk-therapy-focused incumbents, creating a defensible technical moat for a purpose-built platform.</w:t>
      </w:r>
    </w:p>
    <w:p>
      <w:pPr>
        <w:pStyle w:val="BodyText"/>
      </w:pPr>
      <w:r>
        <w:t xml:space="preserve">The practitioner ecosystem data reveal acute pain points that directly inform platform priorities. Client acquisition is the number one challenge —</w:t>
      </w:r>
      <w:r>
        <w:t xml:space="preserve"> </w:t>
      </w:r>
      <w:r>
        <w:t xml:space="preserve">“</w:t>
      </w:r>
      <w:r>
        <w:t xml:space="preserve">hands-down the most common</w:t>
      </w:r>
      <w:r>
        <w:t xml:space="preserve">”</w:t>
      </w:r>
      <w:r>
        <w:t xml:space="preserve"> </w:t>
      </w:r>
      <w:r>
        <w:t xml:space="preserve">— followed by administrative burden ($400–600 monthly tech stack spend</w:t>
      </w:r>
      <w:r>
        <w:t xml:space="preserve"> </w:t>
      </w:r>
      <w:fldSimple w:instr="NOTEREF _Ref_Footnote_10 \h \f">
        <w:r>
          <w:rPr>
            <w:vertAlign w:val="superscript"/>
          </w:rPr>
          <w:t>10</w:t>
        </w:r>
      </w:fldSimple>
      <w:r>
        <w:t xml:space="preserve">) and insurance complexity (85–88% of practitioners operate out-of-network</w:t>
      </w:r>
      <w:r>
        <w:t xml:space="preserve"> </w:t>
      </w:r>
      <w:r>
        <w:rPr>
          <w:vertAlign w:val="superscript"/>
        </w:rPr>
        <w:footnoteReference w:id="31"/>
      </w:r>
      <w:r>
        <w:t xml:space="preserve"> </w:t>
      </w:r>
      <w:r>
        <w:rPr>
          <w:vertAlign w:val="superscript"/>
        </w:rPr>
        <w:footnoteReference w:id="32"/>
      </w:r>
      <w:r>
        <w:t xml:space="preserve">). Professional isolation compounds these practical burdens: 66.4% of body psychotherapists are over 50 years old, the vast majority work in solo private practice, and 70% of trauma-specialist therapists experience secondary traumatic stress</w:t>
      </w:r>
      <w:r>
        <w:t xml:space="preserve"> </w:t>
      </w:r>
      <w:r>
        <w:rPr>
          <w:vertAlign w:val="superscript"/>
        </w:rPr>
        <w:footnoteReference w:id="33"/>
      </w:r>
      <w:r>
        <w:t xml:space="preserve"> </w:t>
      </w:r>
      <w:r>
        <w:rPr>
          <w:vertAlign w:val="superscript"/>
        </w:rPr>
        <w:footnoteReference w:id="34"/>
      </w:r>
      <w:r>
        <w:t xml:space="preserve">. On the consumer side, cost is the primary barrier (42% of Americans cite affordability</w:t>
      </w:r>
      <w:r>
        <w:t xml:space="preserve"> </w:t>
      </w:r>
      <w:r>
        <w:rPr>
          <w:vertAlign w:val="superscript"/>
        </w:rPr>
        <w:footnoteReference w:id="35"/>
      </w:r>
      <w:r>
        <w:t xml:space="preserve">), followed by awareness gaps and geographic disparities. Generation Z (born 1997–2012, approximately 68 million in the U.S.) is driving a structural shift in demand: 42% are currently in therapy (a 22% increase since 2022), 61% have been diagnosed with anxiety, and 87% report feeling comfortable discussing mental health</w:t>
      </w:r>
      <w:r>
        <w:t xml:space="preserve"> </w:t>
      </w:r>
      <w:r>
        <w:rPr>
          <w:vertAlign w:val="superscript"/>
        </w:rPr>
        <w:footnoteReference w:id="36"/>
      </w:r>
      <w:r>
        <w:t xml:space="preserve">. This cohort arrives</w:t>
      </w:r>
      <w:r>
        <w:t xml:space="preserve"> </w:t>
      </w:r>
      <w:r>
        <w:t xml:space="preserve">“</w:t>
      </w:r>
      <w:r>
        <w:t xml:space="preserve">already fluent in clinical terminology,</w:t>
      </w:r>
      <w:r>
        <w:t xml:space="preserve">”</w:t>
      </w:r>
      <w:r>
        <w:t xml:space="preserve"> </w:t>
      </w:r>
      <w:r>
        <w:t xml:space="preserve">seeking body-based approaches that address</w:t>
      </w:r>
      <w:r>
        <w:t xml:space="preserve"> </w:t>
      </w:r>
      <w:r>
        <w:t xml:space="preserve">“</w:t>
      </w:r>
      <w:r>
        <w:t xml:space="preserve">nervous system regulation</w:t>
      </w:r>
      <w:r>
        <w:t xml:space="preserve">”</w:t>
      </w:r>
      <w:r>
        <w:t xml:space="preserve"> </w:t>
      </w:r>
      <w:r>
        <w:t xml:space="preserve">and</w:t>
      </w:r>
      <w:r>
        <w:t xml:space="preserve"> </w:t>
      </w:r>
      <w:r>
        <w:t xml:space="preserve">“</w:t>
      </w:r>
      <w:r>
        <w:t xml:space="preserve">dorsal vagal shutdown</w:t>
      </w:r>
      <w:r>
        <w:t xml:space="preserve">”</w:t>
      </w:r>
      <w:r>
        <w:t xml:space="preserve"> </w:t>
      </w:r>
      <w:r>
        <w:t xml:space="preserve">— vocabulary drawn directly from polyvagal theory and somatic trauma literature</w:t>
      </w:r>
      <w:r>
        <w:t xml:space="preserve"> </w:t>
      </w:r>
      <w:fldSimple w:instr="NOTEREF _Ref_Footnote_36 \h \f">
        <w:r>
          <w:rPr>
            <w:vertAlign w:val="superscript"/>
          </w:rPr>
          <w:t>36</w:t>
        </w:r>
      </w:fldSimple>
      <w:r>
        <w:t xml:space="preserve">. Platform design must be mobile-first and video-centric to serve this demographic: 70% prefer digital tools over traditional therapy settings, mobile applications command 69.45% share of delivery mode, and TikTok (43%), YouTube (39%), and Instagram (38%) are the primary platforms Gen Z uses for mental health support online</w:t>
      </w:r>
      <w:r>
        <w:t xml:space="preserve"> </w:t>
      </w:r>
      <w:r>
        <w:rPr>
          <w:vertAlign w:val="superscript"/>
        </w:rPr>
        <w:footnoteReference w:id="37"/>
      </w:r>
      <w:r>
        <w:t xml:space="preserve"> </w:t>
      </w:r>
      <w:r>
        <w:rPr>
          <w:vertAlign w:val="superscript"/>
        </w:rPr>
        <w:footnoteReference w:id="38"/>
      </w:r>
      <w:r>
        <w:t xml:space="preserve">. The 85–88% out-of-network rate is simultaneously the largest barrier to access and the largest revenue opportunity: automating out-of-network reimbursement (superbill generation, eligibility checking, claims filing) could expand the addressable client base by 5–10x while capturing transaction fees on each processed claim [^dim01^].</w:t>
      </w:r>
    </w:p>
    <w:p>
      <w:pPr>
        <w:pStyle w:val="BodyText"/>
      </w:pPr>
      <w:r>
        <w:t xml:space="preserve">The go-to-market strategy follows a supply-side-first sequencing principle validated by Headway’s ascent to a $2.3 billion valuation: attract practitioners with free, high-value tools before investing heavily in client acquisition</w:t>
      </w:r>
      <w:r>
        <w:t xml:space="preserve"> </w:t>
      </w:r>
      <w:fldSimple w:instr="NOTEREF _Ref_Footnote_8 \h \f">
        <w:r>
          <w:rPr>
            <w:vertAlign w:val="superscript"/>
          </w:rPr>
          <w:t>8</w:t>
        </w:r>
      </w:fldSimple>
      <w:r>
        <w:t xml:space="preserve">. A phased rollout over 24 months begins with a directory and booking MVP (months 1–6, $150,000–250,000), adds practice management and full-body video telehealth (months 6–12, $200,000–350,000), introduces client acquisition tools and insurance billing automation (months 12–18, $300,000–500,000), and culminates in B2B corporate wellness and wearable integration (months 18–24, $300,000–500,000). The recommended positioning —</w:t>
      </w:r>
      <w:r>
        <w:t xml:space="preserve"> </w:t>
      </w:r>
      <w:r>
        <w:t xml:space="preserve">“</w:t>
      </w:r>
      <w:r>
        <w:t xml:space="preserve">The Somatic Therapy Operating System</w:t>
      </w:r>
      <w:r>
        <w:t xml:space="preserve">”</w:t>
      </w:r>
      <w:r>
        <w:t xml:space="preserve"> </w:t>
      </w:r>
      <w:r>
        <w:t xml:space="preserve">— encompasses six integrated modules: (1) verified directory with modality-specific search, (2) booking and scheduling with full-body video telehealth, (3) practice management with somatic-specific templates, (4) client acquisition tools, (5) insurance navigation with out-of-network automation, and (6) community and peer support [^dim12^]. Market sizing projects a Total Addressable Market (TAM) of $4.01–4.72 billion, a Serviceable Addressable Market (SAM) of $480–710 million (filtered to English-speaking, movement-focused, technology-open practitioners), and a Serviceable Obtainable Market (SOM) of $10–35 million in annual recurring revenue within 3–5 years at 2–5% capture [^dim01^]. The five-stream revenue model combines SaaS subscriptions ($49–99/month), booking transaction fees (2–3%), insurance processing revenue (percentage of recovered claims), B2B corporate wellness ($10–15 per employee per month), and continuing education marketplace commissions (15–20%). The B2B corporate wellness channel warrants particular attention: the global corporate wellness market reached $63–75 billion in 2024–2025, with the</w:t>
      </w:r>
      <w:r>
        <w:t xml:space="preserve"> </w:t>
      </w:r>
      <w:r>
        <w:t xml:space="preserve">“</w:t>
      </w:r>
      <w:r>
        <w:t xml:space="preserve">Psychological Therapists</w:t>
      </w:r>
      <w:r>
        <w:t xml:space="preserve">”</w:t>
      </w:r>
      <w:r>
        <w:t xml:space="preserve"> </w:t>
      </w:r>
      <w:r>
        <w:t xml:space="preserve">sub-category growing at 7.2% CAGR — the fastest within corporate wellness</w:t>
      </w:r>
      <w:r>
        <w:t xml:space="preserve"> </w:t>
      </w:r>
      <w:r>
        <w:rPr>
          <w:vertAlign w:val="superscript"/>
        </w:rPr>
        <w:footnoteReference w:id="39"/>
      </w:r>
      <w:r>
        <w:t xml:space="preserve"> </w:t>
      </w:r>
      <w:r>
        <w:rPr>
          <w:vertAlign w:val="superscript"/>
        </w:rPr>
        <w:footnoteReference w:id="40"/>
      </w:r>
      <w:r>
        <w:t xml:space="preserve"> </w:t>
      </w:r>
      <w:r>
        <w:rPr>
          <w:vertAlign w:val="superscript"/>
        </w:rPr>
        <w:footnoteReference w:id="41"/>
      </w:r>
      <w:r>
        <w:t xml:space="preserve">. Burnout affects 55–82% of employees and costs $3,999–$20,683 per employee annually</w:t>
      </w:r>
      <w:r>
        <w:t xml:space="preserve"> </w:t>
      </w:r>
      <w:r>
        <w:rPr>
          <w:vertAlign w:val="superscript"/>
        </w:rPr>
        <w:footnoteReference w:id="42"/>
      </w:r>
      <w:r>
        <w:t xml:space="preserve"> </w:t>
      </w:r>
      <w:r>
        <w:rPr>
          <w:vertAlign w:val="superscript"/>
        </w:rPr>
        <w:footnoteReference w:id="43"/>
      </w:r>
      <w:r>
        <w:t xml:space="preserve">, while traditional Employee Assistance Programs (EAPs) achieve only 2–5% utilization compared to 20–42% for digital-first wellness platforms — a 7–10x multiplier</w:t>
      </w:r>
      <w:r>
        <w:t xml:space="preserve"> </w:t>
      </w:r>
      <w:r>
        <w:rPr>
          <w:vertAlign w:val="superscript"/>
        </w:rPr>
        <w:footnoteReference w:id="44"/>
      </w:r>
      <w:r>
        <w:t xml:space="preserve"> </w:t>
      </w:r>
      <w:r>
        <w:rPr>
          <w:vertAlign w:val="superscript"/>
        </w:rPr>
        <w:footnoteReference w:id="45"/>
      </w:r>
      <w:r>
        <w:t xml:space="preserve">. Google, Deloitte, and SAP have all launched trauma-informed employee wellness programs, and somatic coaches are increasingly hired as corporate wellness consultants</w:t>
      </w:r>
      <w:r>
        <w:t xml:space="preserve"> </w:t>
      </w:r>
      <w:fldSimple w:instr="NOTEREF _Ref_Footnote_3 \h \f">
        <w:r>
          <w:rPr>
            <w:vertAlign w:val="superscript"/>
          </w:rPr>
          <w:t>3</w:t>
        </w:r>
      </w:fldSimple>
      <w:r>
        <w:t xml:space="preserve">. A single Fortune 500 contract at $10–15 per employee per month could generate $500,000–$2 million in annual recurring revenue</w:t>
      </w:r>
      <w:r>
        <w:t xml:space="preserve"> </w:t>
      </w:r>
      <w:r>
        <w:rPr>
          <w:vertAlign w:val="superscript"/>
        </w:rPr>
        <w:footnoteReference w:id="46"/>
      </w:r>
      <w:r>
        <w:t xml:space="preserve">. Total estimated investment over 24 months is $950,000–$1.6 million — compared to Headway’s $325.5 million raise, a capital-efficient path reflecting the narrower but faster-growing market segment</w:t>
      </w:r>
      <w:r>
        <w:t xml:space="preserve"> </w:t>
      </w:r>
      <w:r>
        <w:rPr>
          <w:vertAlign w:val="superscript"/>
        </w:rPr>
        <w:footnoteReference w:id="47"/>
      </w:r>
      <w:r>
        <w:t xml:space="preserve"> </w:t>
      </w:r>
      <w:fldSimple w:instr="NOTEREF _Ref_Footnote_8 \h \f">
        <w:r>
          <w:rPr>
            <w:vertAlign w:val="superscript"/>
          </w:rPr>
          <w:t>8</w:t>
        </w:r>
      </w:fldSimple>
      <w:r>
        <w:t xml:space="preserve">.</w:t>
      </w:r>
    </w:p>
    <w:p>
      <w:pPr>
        <w:pStyle w:val="BodyText"/>
      </w:pPr>
      <w:r>
        <w:t xml:space="preserve">The convergence of market dynamics — a $4 billion+ market growing at 17% with no integrated platform, 50,000+ fragmented practitioners spending $400–600 monthly on disconnected tools, surging Gen Z demand (42% in therapy, 22% increase since 2022</w:t>
      </w:r>
      <w:r>
        <w:t xml:space="preserve"> </w:t>
      </w:r>
      <w:fldSimple w:instr="NOTEREF _Ref_Footnote_36 \h \f">
        <w:r>
          <w:rPr>
            <w:vertAlign w:val="superscript"/>
          </w:rPr>
          <w:t>36</w:t>
        </w:r>
      </w:fldSimple>
      <w:r>
        <w:t xml:space="preserve">), corporate wellness expansion (Google, Deloitte, and SAP launching trauma-informed programs</w:t>
      </w:r>
      <w:r>
        <w:t xml:space="preserve"> </w:t>
      </w:r>
      <w:fldSimple w:instr="NOTEREF _Ref_Footnote_3 \h \f">
        <w:r>
          <w:rPr>
            <w:vertAlign w:val="superscript"/>
          </w:rPr>
          <w:t>3</w:t>
        </w:r>
      </w:fldSimple>
      <w:r>
        <w:t xml:space="preserve">), and a clinical evidence base reaching critical mass — creates a structurally time-limited window. The first platform to achieve meaningful practitioner density with insurance enablement and body-specific technology will likely own the category. Network effects (practitioner supply → client demand → more practitioners), data moats from HRV and movement tracking, switching costs through EHR integration, and regulatory moats through insurance complexity make late entry progressively more difficult. The data presented in this report support the conclusion that building</w:t>
      </w:r>
      <w:r>
        <w:t xml:space="preserve"> </w:t>
      </w:r>
      <w:r>
        <w:t xml:space="preserve">“</w:t>
      </w:r>
      <w:r>
        <w:t xml:space="preserve">The Somatic Therapy Operating System</w:t>
      </w:r>
      <w:r>
        <w:t xml:space="preserve">”</w:t>
      </w:r>
      <w:r>
        <w:t xml:space="preserve"> </w:t>
      </w:r>
      <w:r>
        <w:t xml:space="preserve">is both a viable commercial opportunity and a necessary piece of infrastructure for a field that has outgrown its fragmented digital tools.</w:t>
      </w:r>
    </w:p>
    <w:p>
      <w:r>
        <w:pict>
          <v:rect style="width:0;height:1.5pt" o:hralign="center" o:hrstd="t" o:hr="t"/>
        </w:pict>
      </w:r>
    </w:p>
    <w:bookmarkEnd w:id="20"/>
    <w:bookmarkStart w:id="70" w:name="the-somatic-therapy-landscape"/>
    <w:p>
      <w:pPr>
        <w:pStyle w:val="Heading1"/>
      </w:pPr>
      <w:r>
        <w:t xml:space="preserve">1. The Somatic Therapy Landscape</w:t>
      </w:r>
    </w:p>
    <w:bookmarkStart w:id="27" w:name="defining-somatic-therapy"/>
    <w:p>
      <w:pPr>
        <w:pStyle w:val="Heading2"/>
      </w:pPr>
      <w:r>
        <w:t xml:space="preserve">1.1 Defining Somatic Therapy</w:t>
      </w:r>
    </w:p>
    <w:bookmarkStart w:id="21" w:name="historical-evolution"/>
    <w:p>
      <w:pPr>
        <w:pStyle w:val="Heading3"/>
      </w:pPr>
      <w:r>
        <w:t xml:space="preserve">1.1.1 Historical Evolution</w:t>
      </w:r>
    </w:p>
    <w:p>
      <w:pPr>
        <w:pStyle w:val="FirstParagraph"/>
      </w:pPr>
      <w:r>
        <w:t xml:space="preserve">Somatic therapy, as a formal clinical discipline, traces its lineage to the 1920s and 1930s, when Wilhelm Reich, a former student of Sigmund Freud, departed from psychoanalysis to develop</w:t>
      </w:r>
      <w:r>
        <w:t xml:space="preserve"> </w:t>
      </w:r>
      <w:r>
        <w:rPr>
          <w:iCs/>
          <w:i/>
        </w:rPr>
        <w:t xml:space="preserve">vegetotherapy</w:t>
      </w:r>
      <w:r>
        <w:t xml:space="preserve"> </w:t>
      </w:r>
      <w:r>
        <w:t xml:space="preserve">— the precursor to modern body psychotherapy. Reich proposed that psychological defenses manifest as chronic muscular tensions he called</w:t>
      </w:r>
      <w:r>
        <w:t xml:space="preserve"> </w:t>
      </w:r>
      <w:r>
        <w:t xml:space="preserve">“</w:t>
      </w:r>
      <w:r>
        <w:t xml:space="preserve">character armor,</w:t>
      </w:r>
      <w:r>
        <w:t xml:space="preserve">”</w:t>
      </w:r>
      <w:r>
        <w:t xml:space="preserve"> </w:t>
      </w:r>
      <w:r>
        <w:t xml:space="preserve">establishing the foundational premise that the body actively participates in psychological defense</w:t>
      </w:r>
      <w:r>
        <w:t xml:space="preserve"> </w:t>
      </w:r>
      <w:r>
        <w:rPr>
          <w:vertAlign w:val="superscript"/>
        </w:rPr>
        <w:footnoteReference w:id="48"/>
      </w:r>
      <w:r>
        <w:t xml:space="preserve">. Alexander Lowen, who studied under Reich for six years, developed Bioenergetic Analysis in the 1950s, formalizing the connection between muscular tension and personality structure, and established the International Institute for Bioenergetic Analysis (IIBA) in 1956</w:t>
      </w:r>
      <w:r>
        <w:t xml:space="preserve"> </w:t>
      </w:r>
      <w:r>
        <w:rPr>
          <w:vertAlign w:val="superscript"/>
        </w:rPr>
        <w:footnoteReference w:id="49"/>
      </w:r>
      <w:r>
        <w:t xml:space="preserve">. Simultaneously, the Human Potential Movement at California’s Esalen Institute incubated a more experiential strand, where Gestalt therapy, sensory awareness, and movement exploration converged</w:t>
      </w:r>
      <w:r>
        <w:t xml:space="preserve"> </w:t>
      </w:r>
      <w:r>
        <w:rPr>
          <w:vertAlign w:val="superscript"/>
        </w:rPr>
        <w:footnoteReference w:id="50"/>
      </w:r>
      <w:r>
        <w:t xml:space="preserve">.</w:t>
      </w:r>
    </w:p>
    <w:p>
      <w:pPr>
        <w:pStyle w:val="BodyText"/>
      </w:pPr>
      <w:r>
        <w:t xml:space="preserve">The modern trauma-focused era crystallized in the 1970s through two independent developments. Dr. Peter A. Levine, drawing on biophysics, psychology, and stress physiology, observed that animals in the wild complete stress cycles through physical discharge — shaking, trembling, respiratory changes — yet humans frequently suppress these mechanisms, leaving trauma</w:t>
      </w:r>
      <w:r>
        <w:t xml:space="preserve"> </w:t>
      </w:r>
      <w:r>
        <w:t xml:space="preserve">“</w:t>
      </w:r>
      <w:r>
        <w:t xml:space="preserve">stuck</w:t>
      </w:r>
      <w:r>
        <w:t xml:space="preserve">”</w:t>
      </w:r>
      <w:r>
        <w:t xml:space="preserve"> </w:t>
      </w:r>
      <w:r>
        <w:t xml:space="preserve">in the nervous system</w:t>
      </w:r>
      <w:r>
        <w:t xml:space="preserve"> </w:t>
      </w:r>
      <w:r>
        <w:rPr>
          <w:vertAlign w:val="superscript"/>
        </w:rPr>
        <w:footnoteReference w:id="51"/>
      </w:r>
      <w:r>
        <w:t xml:space="preserve">. From this, Levine developed Somatic Experiencing (SE), introducing</w:t>
      </w:r>
      <w:r>
        <w:t xml:space="preserve"> </w:t>
      </w:r>
      <w:r>
        <w:rPr>
          <w:iCs/>
          <w:i/>
        </w:rPr>
        <w:t xml:space="preserve">titration</w:t>
      </w:r>
      <w:r>
        <w:t xml:space="preserve"> </w:t>
      </w:r>
      <w:r>
        <w:t xml:space="preserve">(processing traumatic material in small doses) and</w:t>
      </w:r>
      <w:r>
        <w:t xml:space="preserve"> </w:t>
      </w:r>
      <w:r>
        <w:rPr>
          <w:iCs/>
          <w:i/>
        </w:rPr>
        <w:t xml:space="preserve">pendulation</w:t>
      </w:r>
      <w:r>
        <w:t xml:space="preserve"> </w:t>
      </w:r>
      <w:r>
        <w:t xml:space="preserve">(oscillation between arousal and calm) that became standard vocabulary across the field</w:t>
      </w:r>
      <w:r>
        <w:t xml:space="preserve"> </w:t>
      </w:r>
      <w:r>
        <w:rPr>
          <w:vertAlign w:val="superscript"/>
        </w:rPr>
        <w:footnoteReference w:id="52"/>
      </w:r>
      <w:r>
        <w:t xml:space="preserve">. In parallel, Ron Kurtz founded the Hakomi Institute in 1981 in Boulder, Colorado, pioneering a mindfulness-centered somatic approach using the body as a gateway to unconscious beliefs</w:t>
      </w:r>
      <w:r>
        <w:t xml:space="preserve"> </w:t>
      </w:r>
      <w:r>
        <w:rPr>
          <w:vertAlign w:val="superscript"/>
        </w:rPr>
        <w:footnoteReference w:id="53"/>
      </w:r>
      <w:r>
        <w:t xml:space="preserve">. Pat Ogden, who co-founded the Hakomi Institute with Kurtz, later branched off to develop Sensorimotor Psychotherapy, integrating body-based interventions with attachment theory and trauma studies</w:t>
      </w:r>
      <w:r>
        <w:t xml:space="preserve"> </w:t>
      </w:r>
      <w:r>
        <w:rPr>
          <w:vertAlign w:val="superscript"/>
        </w:rPr>
        <w:footnoteReference w:id="54"/>
      </w:r>
      <w:r>
        <w:t xml:space="preserve">.</w:t>
      </w:r>
    </w:p>
    <w:bookmarkEnd w:id="21"/>
    <w:bookmarkStart w:id="22" w:name="core-principles"/>
    <w:p>
      <w:pPr>
        <w:pStyle w:val="Heading3"/>
      </w:pPr>
      <w:r>
        <w:t xml:space="preserve">1.1.2 Core Principles</w:t>
      </w:r>
    </w:p>
    <w:p>
      <w:pPr>
        <w:pStyle w:val="FirstParagraph"/>
      </w:pPr>
      <w:r>
        <w:t xml:space="preserve">Contemporary somatic modalities share four foundational principles. First,</w:t>
      </w:r>
      <w:r>
        <w:t xml:space="preserve"> </w:t>
      </w:r>
      <w:r>
        <w:rPr>
          <w:bCs/>
          <w:b/>
        </w:rPr>
        <w:t xml:space="preserve">bottom-up processing</w:t>
      </w:r>
      <w:r>
        <w:t xml:space="preserve">: whereas cognitive therapies work from the prefrontal cortex downward, somatic therapies engage the autonomic nervous system, subcortical brain regions, and sensory pathways to facilitate emotional regulation</w:t>
      </w:r>
      <w:r>
        <w:t xml:space="preserve"> </w:t>
      </w:r>
      <w:fldSimple w:instr="NOTEREF _Ref_Footnote_51 \h \f">
        <w:r>
          <w:rPr>
            <w:vertAlign w:val="superscript"/>
          </w:rPr>
          <w:t>51</w:t>
        </w:r>
      </w:fldSimple>
      <w:r>
        <w:t xml:space="preserve">. Neuroimaging studies demonstrate that trauma-related hyperarousal originates in limbic and brainstem structures largely inaccessible to verbal intervention alone.</w:t>
      </w:r>
    </w:p>
    <w:p>
      <w:pPr>
        <w:pStyle w:val="BodyText"/>
      </w:pPr>
      <w:r>
        <w:t xml:space="preserve">Second,</w:t>
      </w:r>
      <w:r>
        <w:t xml:space="preserve"> </w:t>
      </w:r>
      <w:r>
        <w:rPr>
          <w:bCs/>
          <w:b/>
        </w:rPr>
        <w:t xml:space="preserve">interoception</w:t>
      </w:r>
      <w:r>
        <w:t xml:space="preserve"> </w:t>
      </w:r>
      <w:r>
        <w:t xml:space="preserve">— the capacity to sense internal bodily signals — serves as both clinical target and therapeutic mechanism. Clients learn to detect subtle shifts in heart rate, muscle tension, temperature, and visceral sensation, using these signals as data about emotional and autonomic state</w:t>
      </w:r>
      <w:r>
        <w:t xml:space="preserve"> </w:t>
      </w:r>
      <w:r>
        <w:rPr>
          <w:vertAlign w:val="superscript"/>
        </w:rPr>
        <w:footnoteReference w:id="55"/>
      </w:r>
      <w:r>
        <w:t xml:space="preserve">. Enhanced interoceptive awareness correlates with improved emotional regulation and reduced anxiety across multiple clinical populations.</w:t>
      </w:r>
    </w:p>
    <w:p>
      <w:pPr>
        <w:pStyle w:val="BodyText"/>
      </w:pPr>
      <w:r>
        <w:t xml:space="preserve">Third,</w:t>
      </w:r>
      <w:r>
        <w:t xml:space="preserve"> </w:t>
      </w:r>
      <w:r>
        <w:rPr>
          <w:bCs/>
          <w:b/>
        </w:rPr>
        <w:t xml:space="preserve">body-mind integration</w:t>
      </w:r>
      <w:r>
        <w:t xml:space="preserve"> </w:t>
      </w:r>
      <w:r>
        <w:t xml:space="preserve">rejects Cartesian dualism. The Hakomi Method’s principle of</w:t>
      </w:r>
      <w:r>
        <w:t xml:space="preserve"> </w:t>
      </w:r>
      <w:r>
        <w:t xml:space="preserve">“</w:t>
      </w:r>
      <w:r>
        <w:t xml:space="preserve">unity</w:t>
      </w:r>
      <w:r>
        <w:t xml:space="preserve">”</w:t>
      </w:r>
      <w:r>
        <w:t xml:space="preserve"> </w:t>
      </w:r>
      <w:r>
        <w:t xml:space="preserve">holds that mind and body form a single self-organizing system</w:t>
      </w:r>
      <w:r>
        <w:t xml:space="preserve"> </w:t>
      </w:r>
      <w:r>
        <w:rPr>
          <w:vertAlign w:val="superscript"/>
        </w:rPr>
        <w:footnoteReference w:id="56"/>
      </w:r>
      <w:r>
        <w:t xml:space="preserve">. Sensorimotor Psychotherapy operationalizes this by tracking how cognitive distortions reflect in bodily tension — a tightening in the stomach when speaking about a difficult memory — and using somatic intervention to shift both the physical sensation and associated belief</w:t>
      </w:r>
      <w:r>
        <w:t xml:space="preserve"> </w:t>
      </w:r>
      <w:r>
        <w:rPr>
          <w:vertAlign w:val="superscript"/>
        </w:rPr>
        <w:footnoteReference w:id="57"/>
      </w:r>
      <w:r>
        <w:t xml:space="preserve">.</w:t>
      </w:r>
    </w:p>
    <w:p>
      <w:pPr>
        <w:pStyle w:val="BodyText"/>
      </w:pPr>
      <w:r>
        <w:t xml:space="preserve">Fourth,</w:t>
      </w:r>
      <w:r>
        <w:t xml:space="preserve"> </w:t>
      </w:r>
      <w:r>
        <w:rPr>
          <w:bCs/>
          <w:b/>
        </w:rPr>
        <w:t xml:space="preserve">nervous system regulation</w:t>
      </w:r>
      <w:r>
        <w:t xml:space="preserve"> </w:t>
      </w:r>
      <w:r>
        <w:t xml:space="preserve">has emerged as the unifying framework through widespread adoption of Stephen Porges’s polyvagal theory, which posits three hierarchical autonomic circuits — ventral vagal (social engagement), sympathetic (mobilization), and dorsal vagal (shutdown) — and holds that trauma healing involves restoring flexible movement among these states</w:t>
      </w:r>
      <w:r>
        <w:t xml:space="preserve"> </w:t>
      </w:r>
      <w:r>
        <w:rPr>
          <w:vertAlign w:val="superscript"/>
        </w:rPr>
        <w:footnoteReference w:id="58"/>
      </w:r>
      <w:r>
        <w:t xml:space="preserve">.</w:t>
      </w:r>
    </w:p>
    <w:bookmarkEnd w:id="22"/>
    <w:bookmarkStart w:id="26" w:name="the-somatic-turn"/>
    <w:p>
      <w:pPr>
        <w:pStyle w:val="Heading3"/>
      </w:pPr>
      <w:r>
        <w:t xml:space="preserve">1.1.3 The</w:t>
      </w:r>
      <w:r>
        <w:t xml:space="preserve"> </w:t>
      </w:r>
      <w:r>
        <w:t xml:space="preserve">“</w:t>
      </w:r>
      <w:r>
        <w:t xml:space="preserve">Somatic Turn</w:t>
      </w:r>
      <w:r>
        <w:t xml:space="preserve">”</w:t>
      </w:r>
    </w:p>
    <w:p>
      <w:pPr>
        <w:pStyle w:val="FirstParagraph"/>
      </w:pPr>
      <w:r>
        <w:t xml:space="preserve">The clinical credibility of body-based approaches shifted decisively over the past two decades as neuroscience converged on mechanisms somatic practitioners had long described. The 2014 publication of Bessel van der Kolk’s</w:t>
      </w:r>
      <w:r>
        <w:t xml:space="preserve"> </w:t>
      </w:r>
      <w:r>
        <w:rPr>
          <w:iCs/>
          <w:i/>
        </w:rPr>
        <w:t xml:space="preserve">The Body Keeps the Score</w:t>
      </w:r>
      <w:r>
        <w:t xml:space="preserve"> </w:t>
      </w:r>
      <w:r>
        <w:t xml:space="preserve">catalyzed mainstream awareness by synthesizing neuroimaging findings that trauma is stored as fragmented somatic and sensory imprints rather than coherent narrative memory</w:t>
      </w:r>
      <w:r>
        <w:t xml:space="preserve"> </w:t>
      </w:r>
      <w:r>
        <w:rPr>
          <w:vertAlign w:val="superscript"/>
        </w:rPr>
        <w:footnoteReference w:id="59"/>
      </w:r>
      <w:r>
        <w:t xml:space="preserve">. Functional MRI studies demonstrated that traumatic recall activates interoceptive processing centers — the insula and anterior cingulate — more intensely than prefrontal language regions, providing neurobiological rationale for why verbal processing alone often fails.</w:t>
      </w:r>
    </w:p>
    <w:p>
      <w:pPr>
        <w:pStyle w:val="BodyText"/>
      </w:pPr>
      <w:r>
        <w:t xml:space="preserve">This scientific validation coincided with what analysts term the</w:t>
      </w:r>
      <w:r>
        <w:t xml:space="preserve"> </w:t>
      </w:r>
      <w:r>
        <w:t xml:space="preserve">“</w:t>
      </w:r>
      <w:r>
        <w:t xml:space="preserve">Gen Z Somatic Turn</w:t>
      </w:r>
      <w:r>
        <w:t xml:space="preserve">”</w:t>
      </w:r>
      <w:r>
        <w:t xml:space="preserve"> </w:t>
      </w:r>
      <w:r>
        <w:t xml:space="preserve">— a generational shift driven by social media. On TikTok, #nervoussystemregulation has crossed 300 million views, while Google searches for the term nearly tripled between 2019 and 2023</w:t>
      </w:r>
      <w:r>
        <w:t xml:space="preserve"> </w:t>
      </w:r>
      <w:fldSimple w:instr="NOTEREF _Ref_Footnote_7 \h \f">
        <w:r>
          <w:rPr>
            <w:vertAlign w:val="superscript"/>
          </w:rPr>
          <w:t>7</w:t>
        </w:r>
      </w:fldSimple>
      <w:r>
        <w:t xml:space="preserve">. The global somatic therapy market, valued at approximately $4.01 billion in 2025, is projected to reach $12.40 billion by 2032, growing at 17.5% CAGR</w:t>
      </w:r>
      <w:r>
        <w:t xml:space="preserve"> </w:t>
      </w:r>
      <w:fldSimple w:instr="NOTEREF _Ref_Footnote_3 \h \f">
        <w:r>
          <w:rPr>
            <w:vertAlign w:val="superscript"/>
          </w:rPr>
          <w:t>3</w:t>
        </w:r>
      </w:fldSimple>
      <w:r>
        <w:t xml:space="preserve">. Coherent Market Insights, Prophecy Market Insights, and Data Bridge Market Research all project sustained double-digit growth driven by post-COVID trauma demand, corporate wellness adoption, and preference for non-pharmacological treatments</w:t>
      </w:r>
      <w:r>
        <w:t xml:space="preserve"> </w:t>
      </w:r>
      <w:fldSimple w:instr="NOTEREF _Ref_Footnote_6 \h \f">
        <w:r>
          <w:rPr>
            <w:vertAlign w:val="superscript"/>
          </w:rPr>
          <w:t>6</w:t>
        </w:r>
      </w:fldSimple>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w:t>
      </w:r>
    </w:p>
    <w:p>
      <w:pPr>
        <w:pStyle w:val="CaptionedFigure"/>
      </w:pPr>
      <w:r>
        <w:drawing>
          <wp:inline>
            <wp:extent cx="5334000" cy="2898149"/>
            <wp:effectExtent b="0" l="0" r="0" t="0"/>
            <wp:docPr descr="Global Somatic Therapy Market Size Projection" title="" id="24" name="Picture"/>
            <a:graphic>
              <a:graphicData uri="http://schemas.openxmlformats.org/drawingml/2006/picture">
                <pic:pic>
                  <pic:nvPicPr>
                    <pic:cNvPr descr="/mnt/agents/output/ch01_market_projection.png" id="25" name="Picture"/>
                    <pic:cNvPicPr>
                      <a:picLocks noChangeArrowheads="1" noChangeAspect="1"/>
                    </pic:cNvPicPr>
                  </pic:nvPicPr>
                  <pic:blipFill>
                    <a:blip r:embed="rId23"/>
                    <a:stretch>
                      <a:fillRect/>
                    </a:stretch>
                  </pic:blipFill>
                  <pic:spPr bwMode="auto">
                    <a:xfrm>
                      <a:off x="0" y="0"/>
                      <a:ext cx="5334000" cy="2898149"/>
                    </a:xfrm>
                    <a:prstGeom prst="rect">
                      <a:avLst/>
                    </a:prstGeom>
                    <a:noFill/>
                    <a:ln w="9525">
                      <a:noFill/>
                      <a:headEnd/>
                      <a:tailEnd/>
                    </a:ln>
                  </pic:spPr>
                </pic:pic>
              </a:graphicData>
            </a:graphic>
          </wp:inline>
        </w:drawing>
      </w:r>
    </w:p>
    <w:p>
      <w:pPr>
        <w:pStyle w:val="ImageCaption"/>
      </w:pPr>
      <w:r>
        <w:t xml:space="preserve">Global Somatic Therapy Market Size Projection</w:t>
      </w:r>
    </w:p>
    <w:p>
      <w:pPr>
        <w:pStyle w:val="BodyText"/>
      </w:pPr>
      <w:r>
        <w:t xml:space="preserve">The National Center for Complementary and Integrative Health (NCCIH) has multiple active funding opportunities for mind-body intervention research, including PAR-25-274 offering up to $450,000 over three years for feasibility trials</w:t>
      </w:r>
      <w:r>
        <w:t xml:space="preserve"> </w:t>
      </w:r>
      <w:r>
        <w:rPr>
          <w:vertAlign w:val="superscript"/>
        </w:rPr>
        <w:footnoteReference w:id="60"/>
      </w:r>
      <w:r>
        <w:t xml:space="preserve">— signaling institutional commitment to building the evidence base for body-based approaches.</w:t>
      </w:r>
    </w:p>
    <w:bookmarkEnd w:id="26"/>
    <w:bookmarkEnd w:id="27"/>
    <w:bookmarkStart w:id="36" w:name="major-therapeutic-modalities"/>
    <w:p>
      <w:pPr>
        <w:pStyle w:val="Heading2"/>
      </w:pPr>
      <w:r>
        <w:t xml:space="preserve">1.2 Major Therapeutic Modalities</w:t>
      </w:r>
    </w:p>
    <w:bookmarkStart w:id="28" w:name="somatic-experiencing"/>
    <w:p>
      <w:pPr>
        <w:pStyle w:val="Heading3"/>
      </w:pPr>
      <w:r>
        <w:t xml:space="preserve">1.2.1 Somatic Experiencing</w:t>
      </w:r>
    </w:p>
    <w:p>
      <w:pPr>
        <w:pStyle w:val="FirstParagraph"/>
      </w:pPr>
      <w:r>
        <w:t xml:space="preserve">Somatic Experiencing (SE), developed by Dr. Peter Levine, represents the most extensively researched pure somatic modality for PTSD. The three-year Somatic Experiencing Practitioner (SEP) certification requires 216+ contact hours across three training levels, plus 12 hours of personal SE sessions and 18 hours of case consultation</w:t>
      </w:r>
      <w:r>
        <w:t xml:space="preserve"> </w:t>
      </w:r>
      <w:r>
        <w:rPr>
          <w:vertAlign w:val="superscript"/>
        </w:rPr>
        <w:footnoteReference w:id="61"/>
      </w:r>
      <w:r>
        <w:t xml:space="preserve"> </w:t>
      </w:r>
      <w:r>
        <w:rPr>
          <w:vertAlign w:val="superscript"/>
        </w:rPr>
        <w:footnoteReference w:id="62"/>
      </w:r>
      <w:r>
        <w:t xml:space="preserve">. SE’s signature techniques — titration, pendulation, somatic resourcing, and completion of thwarted defensive responses — discharge accumulated stress energy without re-traumatization</w:t>
      </w:r>
      <w:r>
        <w:t xml:space="preserve"> </w:t>
      </w:r>
      <w:fldSimple w:instr="NOTEREF _Ref_Footnote_52 \h \f">
        <w:r>
          <w:rPr>
            <w:vertAlign w:val="superscript"/>
          </w:rPr>
          <w:t>52</w:t>
        </w:r>
      </w:fldSimple>
      <w:r>
        <w:t xml:space="preserve">.</w:t>
      </w:r>
    </w:p>
    <w:p>
      <w:pPr>
        <w:pStyle w:val="BodyText"/>
      </w:pPr>
      <w:r>
        <w:t xml:space="preserve">The evidence base for SE stands out among somatic modalities. Brom et al.’s 2017 RCT, the first for SE, randomized 63 participants with PTSD to 15 sessions and reported Cohen’s</w:t>
      </w:r>
      <w:r>
        <w:t xml:space="preserve"> </w:t>
      </w:r>
      <m:oMath>
        <m:r>
          <m:t>d</m:t>
        </m:r>
        <m:r>
          <m:rPr>
            <m:sty m:val="p"/>
          </m:rPr>
          <m:t>=</m:t>
        </m:r>
        <m:r>
          <m:t>1.26</m:t>
        </m:r>
      </m:oMath>
      <w:r>
        <w:t xml:space="preserve"> </w:t>
      </w:r>
      <w:r>
        <w:t xml:space="preserve">for PTSD symptom reduction and</w:t>
      </w:r>
      <w:r>
        <w:t xml:space="preserve"> </w:t>
      </w:r>
      <m:oMath>
        <m:r>
          <m:t>d</m:t>
        </m:r>
        <m:r>
          <m:rPr>
            <m:sty m:val="p"/>
          </m:rPr>
          <m:t>=</m:t>
        </m:r>
        <m:r>
          <m:t>1.08</m:t>
        </m:r>
      </m:oMath>
      <w:r>
        <w:t xml:space="preserve"> </w:t>
      </w:r>
      <w:r>
        <w:t xml:space="preserve">for depression — effect sizes classified as</w:t>
      </w:r>
      <w:r>
        <w:t xml:space="preserve"> </w:t>
      </w:r>
      <w:r>
        <w:t xml:space="preserve">“</w:t>
      </w:r>
      <w:r>
        <w:t xml:space="preserve">large</w:t>
      </w:r>
      <w:r>
        <w:t xml:space="preserve">”</w:t>
      </w:r>
      <w:r>
        <w:t xml:space="preserve"> </w:t>
      </w:r>
      <w:r>
        <w:t xml:space="preserve">in clinical research</w:t>
      </w:r>
      <w:r>
        <w:t xml:space="preserve"> </w:t>
      </w:r>
      <w:fldSimple w:instr="NOTEREF _Ref_Footnote_51 \h \f">
        <w:r>
          <w:rPr>
            <w:vertAlign w:val="superscript"/>
          </w:rPr>
          <w:t>51</w:t>
        </w:r>
      </w:fldSimple>
      <w:r>
        <w:t xml:space="preserve">. Critically, 44.1% of participants moved from full diagnostic criteria to complete remission</w:t>
      </w:r>
      <w:r>
        <w:t xml:space="preserve"> </w:t>
      </w:r>
      <w:r>
        <w:rPr>
          <w:vertAlign w:val="superscript"/>
        </w:rPr>
        <w:footnoteReference w:id="63"/>
      </w:r>
      <w:r>
        <w:t xml:space="preserve">. A scoping review of 16 SE studies confirmed large effects maintained at 7-month follow-up</w:t>
      </w:r>
      <w:r>
        <w:t xml:space="preserve"> </w:t>
      </w:r>
      <w:fldSimple w:instr="NOTEREF _Ref_Footnote_63 \h \f">
        <w:r>
          <w:rPr>
            <w:vertAlign w:val="superscript"/>
          </w:rPr>
          <w:t>63</w:t>
        </w:r>
      </w:fldSimple>
      <w:r>
        <w:t xml:space="preserve">. However, reviewers note that only five studies currently meet sufficient scientific rigor, and more large-scale RCTs with active controls are needed to satisfy conservative standards such as those of the UK’s NICE</w:t>
      </w:r>
      <w:r>
        <w:t xml:space="preserve"> </w:t>
      </w:r>
      <w:r>
        <w:rPr>
          <w:vertAlign w:val="superscript"/>
        </w:rPr>
        <w:footnoteReference w:id="64"/>
      </w:r>
      <w:r>
        <w:t xml:space="preserve">.</w:t>
      </w:r>
    </w:p>
    <w:bookmarkEnd w:id="28"/>
    <w:bookmarkStart w:id="29" w:name="sensorimotor-psychotherapy"/>
    <w:p>
      <w:pPr>
        <w:pStyle w:val="Heading3"/>
      </w:pPr>
      <w:r>
        <w:t xml:space="preserve">1.2.2 Sensorimotor Psychotherapy</w:t>
      </w:r>
    </w:p>
    <w:p>
      <w:pPr>
        <w:pStyle w:val="FirstParagraph"/>
      </w:pPr>
      <w:r>
        <w:t xml:space="preserve">Sensorimotor Psychotherapy (SP), founded by Dr. Pat Ogden in the early 1970s and formalized through the Sensorimotor Psychotherapy Institute in 1981, holds the largest market share among individual modalities at 33.6%</w:t>
      </w:r>
      <w:r>
        <w:t xml:space="preserve"> </w:t>
      </w:r>
      <w:fldSimple w:instr="NOTEREF _Ref_Footnote_30 \h \f">
        <w:r>
          <w:rPr>
            <w:vertAlign w:val="superscript"/>
          </w:rPr>
          <w:t>30</w:t>
        </w:r>
      </w:fldSimple>
      <w:r>
        <w:t xml:space="preserve">. SP integrates somatic therapy with cognitive-behavioral principles, attachment theory, and neuroscience, focusing on how early relational experiences shape physical posture and movement patterns</w:t>
      </w:r>
      <w:r>
        <w:t xml:space="preserve"> </w:t>
      </w:r>
      <w:fldSimple w:instr="NOTEREF _Ref_Footnote_54 \h \f">
        <w:r>
          <w:rPr>
            <w:vertAlign w:val="superscript"/>
          </w:rPr>
          <w:t>54</w:t>
        </w:r>
      </w:fldSimple>
      <w:r>
        <w:t xml:space="preserve">.</w:t>
      </w:r>
    </w:p>
    <w:p>
      <w:pPr>
        <w:pStyle w:val="BodyText"/>
      </w:pPr>
      <w:r>
        <w:t xml:space="preserve">SP training follows a three-level hierarchy: Level I addresses trauma treatment across 39+ contact hours; Level II covers developmental and relational injury; and Level III leads to full certification, typically spanning 4+ years</w:t>
      </w:r>
      <w:r>
        <w:t xml:space="preserve"> </w:t>
      </w:r>
      <w:r>
        <w:rPr>
          <w:vertAlign w:val="superscript"/>
        </w:rPr>
        <w:footnoteReference w:id="65"/>
      </w:r>
      <w:r>
        <w:t xml:space="preserve"> </w:t>
      </w:r>
      <w:r>
        <w:rPr>
          <w:vertAlign w:val="superscript"/>
        </w:rPr>
        <w:footnoteReference w:id="66"/>
      </w:r>
      <w:r>
        <w:t xml:space="preserve">. In-session techniques include</w:t>
      </w:r>
      <w:r>
        <w:t xml:space="preserve"> </w:t>
      </w:r>
      <w:r>
        <w:rPr>
          <w:iCs/>
          <w:i/>
        </w:rPr>
        <w:t xml:space="preserve">body reading</w:t>
      </w:r>
      <w:r>
        <w:t xml:space="preserve"> </w:t>
      </w:r>
      <w:r>
        <w:t xml:space="preserve">(assessing stable somatic abilities),</w:t>
      </w:r>
      <w:r>
        <w:t xml:space="preserve"> </w:t>
      </w:r>
      <w:r>
        <w:rPr>
          <w:iCs/>
          <w:i/>
        </w:rPr>
        <w:t xml:space="preserve">mindful experiments</w:t>
      </w:r>
      <w:r>
        <w:t xml:space="preserve"> </w:t>
      </w:r>
      <w:r>
        <w:t xml:space="preserve">(inviting attention to physical correlates of emotion), and facilitating</w:t>
      </w:r>
      <w:r>
        <w:t xml:space="preserve"> </w:t>
      </w:r>
      <w:r>
        <w:rPr>
          <w:iCs/>
          <w:i/>
        </w:rPr>
        <w:t xml:space="preserve">truncated defensive responses</w:t>
      </w:r>
      <w:r>
        <w:t xml:space="preserve"> </w:t>
      </w:r>
      <w:r>
        <w:t xml:space="preserve">— subtle preparatory movements the body initiated during trauma but could not complete</w:t>
      </w:r>
      <w:r>
        <w:t xml:space="preserve"> </w:t>
      </w:r>
      <w:r>
        <w:rPr>
          <w:vertAlign w:val="superscript"/>
        </w:rPr>
        <w:footnoteReference w:id="67"/>
      </w:r>
      <w:r>
        <w:t xml:space="preserve">.</w:t>
      </w:r>
    </w:p>
    <w:p>
      <w:pPr>
        <w:pStyle w:val="BodyText"/>
      </w:pPr>
      <w:r>
        <w:t xml:space="preserve">A typical SP session proceeds through four phases: verbal and somatic check-in (5–10 minutes), grounding and resourcing through breath and posture (10–15 minutes), exploration through body sensation and movement experiments (20–30 minutes), and integration connecting physical sensations with emotional insights (10–15 minutes)</w:t>
      </w:r>
      <w:r>
        <w:t xml:space="preserve"> </w:t>
      </w:r>
      <w:r>
        <w:rPr>
          <w:vertAlign w:val="superscript"/>
        </w:rPr>
        <w:footnoteReference w:id="68"/>
      </w:r>
      <w:r>
        <w:t xml:space="preserve"> </w:t>
      </w:r>
      <w:r>
        <w:rPr>
          <w:vertAlign w:val="superscript"/>
        </w:rPr>
        <w:footnoteReference w:id="69"/>
      </w:r>
      <w:r>
        <w:t xml:space="preserve">. Pilot RCTs of group-based SP for complex trauma demonstrated significant improvements in body awareness, anxiety, dissociation, and soothing receptivity, though the SPI acknowledges that the costs of carrying out a full outcome study</w:t>
      </w:r>
      <w:r>
        <w:t xml:space="preserve"> </w:t>
      </w:r>
      <w:r>
        <w:t xml:space="preserve">“</w:t>
      </w:r>
      <w:r>
        <w:t xml:space="preserve">would be prohibitive</w:t>
      </w:r>
      <w:r>
        <w:t xml:space="preserve">”</w:t>
      </w:r>
      <w:r>
        <w:t xml:space="preserve"> </w:t>
      </w:r>
      <w:r>
        <w:rPr>
          <w:vertAlign w:val="superscript"/>
        </w:rPr>
        <w:footnoteReference w:id="70"/>
      </w:r>
      <w:r>
        <w:t xml:space="preserve"> </w:t>
      </w:r>
      <w:fldSimple w:instr="NOTEREF _Ref_Footnote_64 \h \f">
        <w:r>
          <w:rPr>
            <w:vertAlign w:val="superscript"/>
          </w:rPr>
          <w:t>64</w:t>
        </w:r>
      </w:fldSimple>
      <w:r>
        <w:t xml:space="preserve">.</w:t>
      </w:r>
    </w:p>
    <w:bookmarkEnd w:id="29"/>
    <w:bookmarkStart w:id="30" w:name="hakomi-method"/>
    <w:p>
      <w:pPr>
        <w:pStyle w:val="Heading3"/>
      </w:pPr>
      <w:r>
        <w:t xml:space="preserve">1.2.3 Hakomi Method</w:t>
      </w:r>
    </w:p>
    <w:p>
      <w:pPr>
        <w:pStyle w:val="FirstParagraph"/>
      </w:pPr>
      <w:r>
        <w:t xml:space="preserve">The Hakomi Method, developed by Ron Kurtz and first taught in 1977, operates from five core principles: mindfulness, organicity (trust in the system’s innate wisdom), non-violence, mind-body integration, and unity</w:t>
      </w:r>
      <w:r>
        <w:t xml:space="preserve"> </w:t>
      </w:r>
      <w:fldSimple w:instr="NOTEREF _Ref_Footnote_56 \h \f">
        <w:r>
          <w:rPr>
            <w:vertAlign w:val="superscript"/>
          </w:rPr>
          <w:t>56</w:t>
        </w:r>
      </w:fldSimple>
      <w:r>
        <w:t xml:space="preserve">. Sessions follow a four-phase sequence — Contact (establishing safety), Accessing (inducing mindful body awareness), Processing (conducting small</w:t>
      </w:r>
      <w:r>
        <w:t xml:space="preserve"> </w:t>
      </w:r>
      <w:r>
        <w:t xml:space="preserve">“</w:t>
      </w:r>
      <w:r>
        <w:t xml:space="preserve">experiments</w:t>
      </w:r>
      <w:r>
        <w:t xml:space="preserve">”</w:t>
      </w:r>
      <w:r>
        <w:t xml:space="preserve"> </w:t>
      </w:r>
      <w:r>
        <w:t xml:space="preserve">such as repeating a phrase while noticing bodily responses), and Integration</w:t>
      </w:r>
      <w:r>
        <w:t xml:space="preserve"> </w:t>
      </w:r>
      <w:r>
        <w:rPr>
          <w:vertAlign w:val="superscript"/>
        </w:rPr>
        <w:footnoteReference w:id="71"/>
      </w:r>
      <w:r>
        <w:t xml:space="preserve"> </w:t>
      </w:r>
      <w:r>
        <w:rPr>
          <w:vertAlign w:val="superscript"/>
        </w:rPr>
        <w:footnoteReference w:id="72"/>
      </w:r>
      <w:r>
        <w:t xml:space="preserve">. Hakomi’s gentle, mindfulness-based approach has earned it the description of</w:t>
      </w:r>
      <w:r>
        <w:t xml:space="preserve"> </w:t>
      </w:r>
      <w:r>
        <w:t xml:space="preserve">“</w:t>
      </w:r>
      <w:r>
        <w:t xml:space="preserve">one of the most well-established Somatic Psychotherapy approaches to trauma healing in the world</w:t>
      </w:r>
      <w:r>
        <w:t xml:space="preserve">”</w:t>
      </w:r>
      <w:r>
        <w:t xml:space="preserve"> </w:t>
      </w:r>
      <w:r>
        <w:rPr>
          <w:vertAlign w:val="superscript"/>
        </w:rPr>
        <w:footnoteReference w:id="73"/>
      </w:r>
      <w:r>
        <w:t xml:space="preserve">. Training runs 2–3 years part-time at $7,000–$10,000</w:t>
      </w:r>
      <w:r>
        <w:t xml:space="preserve"> </w:t>
      </w:r>
      <w:r>
        <w:rPr>
          <w:vertAlign w:val="superscript"/>
        </w:rPr>
        <w:footnoteReference w:id="74"/>
      </w:r>
      <w:r>
        <w:t xml:space="preserve">. Large-scale RCTs remain limited, though Hakomi’s principles have directly influenced Sensorimotor Psychotherapy through the Pat Ogden lineage</w:t>
      </w:r>
      <w:r>
        <w:t xml:space="preserve"> </w:t>
      </w:r>
      <w:fldSimple w:instr="NOTEREF _Ref_Footnote_54 \h \f">
        <w:r>
          <w:rPr>
            <w:vertAlign w:val="superscript"/>
          </w:rPr>
          <w:t>54</w:t>
        </w:r>
      </w:fldSimple>
      <w:r>
        <w:t xml:space="preserve">.</w:t>
      </w:r>
    </w:p>
    <w:bookmarkEnd w:id="30"/>
    <w:bookmarkStart w:id="31" w:name="bioenergetic-analysis"/>
    <w:p>
      <w:pPr>
        <w:pStyle w:val="Heading3"/>
      </w:pPr>
      <w:r>
        <w:t xml:space="preserve">1.2.4 Bioenergetic Analysis</w:t>
      </w:r>
    </w:p>
    <w:p>
      <w:pPr>
        <w:pStyle w:val="FirstParagraph"/>
      </w:pPr>
      <w:r>
        <w:t xml:space="preserve">Bioenergetic Analysis, developed by Alexander Lowen from his work with Wilhelm Reich, remains the historical foundation of the field. Central to Bioenergetics is</w:t>
      </w:r>
      <w:r>
        <w:t xml:space="preserve"> </w:t>
      </w:r>
      <w:r>
        <w:rPr>
          <w:iCs/>
          <w:i/>
        </w:rPr>
        <w:t xml:space="preserve">character structure</w:t>
      </w:r>
      <w:r>
        <w:t xml:space="preserve"> </w:t>
      </w:r>
      <w:r>
        <w:t xml:space="preserve">— habitual muscular tension patterns forming psychological defenses against early life experiences</w:t>
      </w:r>
      <w:r>
        <w:t xml:space="preserve"> </w:t>
      </w:r>
      <w:fldSimple w:instr="NOTEREF _Ref_Footnote_48 \h \f">
        <w:r>
          <w:rPr>
            <w:vertAlign w:val="superscript"/>
          </w:rPr>
          <w:t>48</w:t>
        </w:r>
      </w:fldSimple>
      <w:r>
        <w:t xml:space="preserve">. The repertoire includes breathing work, expressive movement, vocalization, and direct bodywork</w:t>
      </w:r>
      <w:r>
        <w:t xml:space="preserve"> </w:t>
      </w:r>
      <w:r>
        <w:rPr>
          <w:vertAlign w:val="superscript"/>
        </w:rPr>
        <w:footnoteReference w:id="75"/>
      </w:r>
      <w:r>
        <w:t xml:space="preserve">. IIBA training spans 4–6 years, requiring 150 hours of personal therapy and 50 hours of supervised practice, at $12,000–$23,000</w:t>
      </w:r>
      <w:r>
        <w:t xml:space="preserve"> </w:t>
      </w:r>
      <w:fldSimple w:instr="NOTEREF _Ref_Footnote_49 \h \f">
        <w:r>
          <w:rPr>
            <w:vertAlign w:val="superscript"/>
          </w:rPr>
          <w:t>49</w:t>
        </w:r>
      </w:fldSimple>
      <w:r>
        <w:t xml:space="preserve">. While Bioenergetics lacks the modern RCT evidence of SE, its influence permeates the field: tracking habitual physical patterns, using breath as therapeutic tool, and emphasizing completion of interrupted physical responses all derive from this lineage</w:t>
      </w:r>
      <w:r>
        <w:t xml:space="preserve"> </w:t>
      </w:r>
      <w:fldSimple w:instr="NOTEREF _Ref_Footnote_48 \h \f">
        <w:r>
          <w:rPr>
            <w:vertAlign w:val="superscript"/>
          </w:rPr>
          <w:t>48</w:t>
        </w:r>
      </w:fldSimple>
      <w:r>
        <w:t xml:space="preserve">.</w:t>
      </w:r>
    </w:p>
    <w:bookmarkEnd w:id="31"/>
    <w:bookmarkStart w:id="35" w:name="emerging-modalities"/>
    <w:p>
      <w:pPr>
        <w:pStyle w:val="Heading3"/>
      </w:pPr>
      <w:r>
        <w:t xml:space="preserve">1.2.5 Emerging Modalities</w:t>
      </w:r>
    </w:p>
    <w:p>
      <w:pPr>
        <w:pStyle w:val="FirstParagraph"/>
      </w:pPr>
      <w:r>
        <w:t xml:space="preserve">Beyond the established four, a cluster of emerging modalities is gaining adoption and beginning to build evidence. The NeuroAffective Relational Model (NARM), developed by Dr. Laurence Heller, addresses complex developmental trauma through a</w:t>
      </w:r>
      <w:r>
        <w:t xml:space="preserve"> </w:t>
      </w:r>
      <w:r>
        <w:t xml:space="preserve">“</w:t>
      </w:r>
      <w:r>
        <w:t xml:space="preserve">non-regressive, non-interpretive, present moment oriented</w:t>
      </w:r>
      <w:r>
        <w:t xml:space="preserve">”</w:t>
      </w:r>
      <w:r>
        <w:t xml:space="preserve"> </w:t>
      </w:r>
      <w:r>
        <w:t xml:space="preserve">approach working with survival patterns</w:t>
      </w:r>
      <w:r>
        <w:t xml:space="preserve"> </w:t>
      </w:r>
      <w:r>
        <w:rPr>
          <w:vertAlign w:val="superscript"/>
        </w:rPr>
        <w:footnoteReference w:id="76"/>
      </w:r>
      <w:r>
        <w:t xml:space="preserve">. Organic Intelligence (OI), founded by Steven Hoskinson, departs from pathology-focused treatment to emphasize Post-Trauma Growth through a 200-hour online certification</w:t>
      </w:r>
      <w:r>
        <w:t xml:space="preserve"> </w:t>
      </w:r>
      <w:r>
        <w:rPr>
          <w:vertAlign w:val="superscript"/>
        </w:rPr>
        <w:footnoteReference w:id="77"/>
      </w:r>
      <w:r>
        <w:t xml:space="preserve">. The Bodynamic System, developed by Lisbeth Marcher in Denmark, offers a comprehensive muscle-based character structure model grounded in a 25-year empirical study, with training now fully online</w:t>
      </w:r>
      <w:r>
        <w:t xml:space="preserve"> </w:t>
      </w:r>
      <w:r>
        <w:rPr>
          <w:vertAlign w:val="superscript"/>
        </w:rPr>
        <w:footnoteReference w:id="78"/>
      </w:r>
      <w:r>
        <w:t xml:space="preserve"> </w:t>
      </w:r>
      <w:r>
        <w:rPr>
          <w:vertAlign w:val="superscript"/>
        </w:rPr>
        <w:footnoteReference w:id="79"/>
      </w:r>
      <w:r>
        <w:t xml:space="preserve">. Tension and Trauma Releasing Exercises (TRE), developed by Dr. David Berceli, activate the body’s natural tremor mechanism to discharge tension through a three-module certification at approximately $4,000</w:t>
      </w:r>
      <w:r>
        <w:t xml:space="preserve"> </w:t>
      </w:r>
      <w:r>
        <w:rPr>
          <w:vertAlign w:val="superscript"/>
        </w:rPr>
        <w:footnoteReference w:id="80"/>
      </w:r>
      <w:r>
        <w:t xml:space="preserve"> </w:t>
      </w:r>
      <w:fldSimple w:instr="NOTEREF _Ref_Footnote_61 \h \f">
        <w:r>
          <w:rPr>
            <w:vertAlign w:val="superscript"/>
          </w:rPr>
          <w:t>61</w:t>
        </w:r>
      </w:fldSimple>
      <w:r>
        <w:t xml:space="preserve">. NeuroAffective Touch, created by Dr. Aline LaPierre (President of the USABP), integrates mindful touch with developmental trauma work</w:t>
      </w:r>
      <w:r>
        <w:t xml:space="preserve"> </w:t>
      </w:r>
      <w:fldSimple w:instr="NOTEREF _Ref_Footnote_58 \h \f">
        <w:r>
          <w:rPr>
            <w:vertAlign w:val="superscript"/>
          </w:rPr>
          <w:t>58</w:t>
        </w:r>
      </w:fldSimple>
      <w:r>
        <w:t xml:space="preserve">. Biodynamic Craniosacral Therapy (BCST) works with the body’s</w:t>
      </w:r>
      <w:r>
        <w:t xml:space="preserve"> </w:t>
      </w:r>
      <w:r>
        <w:t xml:space="preserve">“</w:t>
      </w:r>
      <w:r>
        <w:t xml:space="preserve">primary respiration</w:t>
      </w:r>
      <w:r>
        <w:t xml:space="preserve">”</w:t>
      </w:r>
      <w:r>
        <w:t xml:space="preserve"> </w:t>
      </w:r>
      <w:r>
        <w:t xml:space="preserve">through gentle palpation, with nearly 600 members in its North American association</w:t>
      </w:r>
      <w:r>
        <w:t xml:space="preserve"> </w:t>
      </w:r>
      <w:r>
        <w:rPr>
          <w:vertAlign w:val="superscript"/>
        </w:rPr>
        <w:footnoteReference w:id="81"/>
      </w:r>
      <w:r>
        <w:t xml:space="preserve"> </w:t>
      </w:r>
      <w:fldSimple w:instr="NOTEREF _Ref_Footnote_76 \h \f">
        <w:r>
          <w:rPr>
            <w:vertAlign w:val="superscript"/>
          </w:rPr>
          <w:t>76</w:t>
        </w:r>
      </w:fldSimple>
      <w:r>
        <w:t xml:space="preserve">.</w:t>
      </w:r>
    </w:p>
    <w:tbl>
      <w:tblPr>
        <w:tblStyle w:val="Table"/>
        <w:tblW w:type="pct" w:w="5000"/>
        <w:tblLook w:firstRow="1" w:lastRow="0" w:firstColumn="0" w:lastColumn="0" w:noHBand="0" w:noVBand="0" w:val="0020"/>
      </w:tblPr>
      <w:tblGrid>
        <w:gridCol w:w="1365"/>
        <w:gridCol w:w="1228"/>
        <w:gridCol w:w="955"/>
        <w:gridCol w:w="1365"/>
        <w:gridCol w:w="819"/>
        <w:gridCol w:w="2184"/>
      </w:tblGrid>
      <w:tr>
        <w:trPr>
          <w:tblHeader w:val="true"/>
        </w:trPr>
        <w:tc>
          <w:tcPr/>
          <w:p>
            <w:pPr>
              <w:pStyle w:val="Compact"/>
              <w:jc w:val="left"/>
            </w:pPr>
            <w:r>
              <w:t xml:space="preserve">Modality</w:t>
            </w:r>
          </w:p>
        </w:tc>
        <w:tc>
          <w:tcPr/>
          <w:p>
            <w:pPr>
              <w:pStyle w:val="Compact"/>
              <w:jc w:val="left"/>
            </w:pPr>
            <w:r>
              <w:t xml:space="preserve">Founder</w:t>
            </w:r>
          </w:p>
        </w:tc>
        <w:tc>
          <w:tcPr/>
          <w:p>
            <w:pPr>
              <w:pStyle w:val="Compact"/>
              <w:jc w:val="left"/>
            </w:pPr>
            <w:r>
              <w:t xml:space="preserve">Focus</w:t>
            </w:r>
          </w:p>
        </w:tc>
        <w:tc>
          <w:tcPr/>
          <w:p>
            <w:pPr>
              <w:pStyle w:val="Compact"/>
              <w:jc w:val="left"/>
            </w:pPr>
            <w:r>
              <w:t xml:space="preserve">Training</w:t>
            </w:r>
          </w:p>
        </w:tc>
        <w:tc>
          <w:tcPr/>
          <w:p>
            <w:pPr>
              <w:pStyle w:val="Compact"/>
              <w:jc w:val="left"/>
            </w:pPr>
            <w:r>
              <w:t xml:space="preserve">Cost</w:t>
            </w:r>
          </w:p>
        </w:tc>
        <w:tc>
          <w:tcPr/>
          <w:p>
            <w:pPr>
              <w:pStyle w:val="Compact"/>
              <w:jc w:val="left"/>
            </w:pPr>
            <w:r>
              <w:t xml:space="preserve">Evidence Level</w:t>
            </w:r>
          </w:p>
        </w:tc>
      </w:tr>
      <w:tr>
        <w:tc>
          <w:tcPr/>
          <w:p>
            <w:pPr>
              <w:pStyle w:val="Compact"/>
              <w:jc w:val="left"/>
            </w:pPr>
            <w:r>
              <w:t xml:space="preserve">NARM</w:t>
            </w:r>
          </w:p>
        </w:tc>
        <w:tc>
          <w:tcPr/>
          <w:p>
            <w:pPr>
              <w:pStyle w:val="Compact"/>
              <w:jc w:val="left"/>
            </w:pPr>
            <w:r>
              <w:t xml:space="preserve">Laurence Heller</w:t>
            </w:r>
          </w:p>
        </w:tc>
        <w:tc>
          <w:tcPr/>
          <w:p>
            <w:pPr>
              <w:pStyle w:val="Compact"/>
              <w:jc w:val="left"/>
            </w:pPr>
            <w:r>
              <w:t xml:space="preserve">Developmental trauma, survival styles</w:t>
            </w:r>
            <w:r>
              <w:t xml:space="preserve"> </w:t>
            </w:r>
            <w:fldSimple w:instr="NOTEREF _Ref_Footnote_76 \h \f">
              <w:r>
                <w:rPr>
                  <w:vertAlign w:val="superscript"/>
                </w:rPr>
                <w:t>76</w:t>
              </w:r>
            </w:fldSimple>
          </w:p>
        </w:tc>
        <w:tc>
          <w:tcPr/>
          <w:p>
            <w:pPr>
              <w:pStyle w:val="Compact"/>
              <w:jc w:val="left"/>
            </w:pPr>
            <w:r>
              <w:t xml:space="preserve">Tiered: Intro → Immersion → Fellowship ($4,000+/year)</w:t>
            </w:r>
            <w:r>
              <w:t xml:space="preserve"> </w:t>
            </w:r>
            <w:r>
              <w:rPr>
                <w:vertAlign w:val="superscript"/>
              </w:rPr>
              <w:footnoteReference w:id="82"/>
            </w:r>
          </w:p>
        </w:tc>
        <w:tc>
          <w:tcPr/>
          <w:p>
            <w:pPr>
              <w:pStyle w:val="Compact"/>
              <w:jc w:val="left"/>
            </w:pPr>
            <w:r>
              <w:t xml:space="preserve">$4,000–$8,000+</w:t>
            </w:r>
          </w:p>
        </w:tc>
        <w:tc>
          <w:tcPr/>
          <w:p>
            <w:pPr>
              <w:pStyle w:val="Compact"/>
              <w:jc w:val="left"/>
            </w:pPr>
            <w:r>
              <w:t xml:space="preserve">Clinical pedigree; limited RCTs</w:t>
            </w:r>
          </w:p>
        </w:tc>
      </w:tr>
      <w:tr>
        <w:tc>
          <w:tcPr/>
          <w:p>
            <w:pPr>
              <w:pStyle w:val="Compact"/>
              <w:jc w:val="left"/>
            </w:pPr>
            <w:r>
              <w:t xml:space="preserve">Organic Intelligence</w:t>
            </w:r>
          </w:p>
        </w:tc>
        <w:tc>
          <w:tcPr/>
          <w:p>
            <w:pPr>
              <w:pStyle w:val="Compact"/>
              <w:jc w:val="left"/>
            </w:pPr>
            <w:r>
              <w:t xml:space="preserve">Steven Hoskinson</w:t>
            </w:r>
          </w:p>
        </w:tc>
        <w:tc>
          <w:tcPr/>
          <w:p>
            <w:pPr>
              <w:pStyle w:val="Compact"/>
              <w:jc w:val="left"/>
            </w:pPr>
            <w:r>
              <w:t xml:space="preserve">Post-Trauma Growth, self-organization</w:t>
            </w:r>
            <w:r>
              <w:t xml:space="preserve"> </w:t>
            </w:r>
            <w:fldSimple w:instr="NOTEREF _Ref_Footnote_77 \h \f">
              <w:r>
                <w:rPr>
                  <w:vertAlign w:val="superscript"/>
                </w:rPr>
                <w:t>77</w:t>
              </w:r>
            </w:fldSimple>
          </w:p>
        </w:tc>
        <w:tc>
          <w:tcPr/>
          <w:p>
            <w:pPr>
              <w:pStyle w:val="Compact"/>
              <w:jc w:val="left"/>
            </w:pPr>
            <w:r>
              <w:t xml:space="preserve">200-hour online coach certification (1 year)</w:t>
            </w:r>
            <w:r>
              <w:t xml:space="preserve"> </w:t>
            </w:r>
            <w:fldSimple w:instr="NOTEREF _Ref_Footnote_77 \h \f">
              <w:r>
                <w:rPr>
                  <w:vertAlign w:val="superscript"/>
                </w:rPr>
                <w:t>77</w:t>
              </w:r>
            </w:fldSimple>
          </w:p>
        </w:tc>
        <w:tc>
          <w:tcPr/>
          <w:p>
            <w:pPr>
              <w:pStyle w:val="Compact"/>
              <w:jc w:val="left"/>
            </w:pPr>
            <w:r>
              <w:t xml:space="preserve">~$3,500–$5,000</w:t>
            </w:r>
          </w:p>
        </w:tc>
        <w:tc>
          <w:tcPr/>
          <w:p>
            <w:pPr>
              <w:pStyle w:val="Compact"/>
              <w:jc w:val="left"/>
            </w:pPr>
            <w:r>
              <w:t xml:space="preserve">Emerging; USABP Level 1 Institute</w:t>
            </w:r>
            <w:r>
              <w:t xml:space="preserve"> </w:t>
            </w:r>
            <w:r>
              <w:rPr>
                <w:vertAlign w:val="superscript"/>
              </w:rPr>
              <w:footnoteReference w:id="83"/>
            </w:r>
          </w:p>
        </w:tc>
      </w:tr>
      <w:tr>
        <w:tc>
          <w:tcPr/>
          <w:p>
            <w:pPr>
              <w:pStyle w:val="Compact"/>
              <w:jc w:val="left"/>
            </w:pPr>
            <w:r>
              <w:t xml:space="preserve">Bodynamic System</w:t>
            </w:r>
          </w:p>
        </w:tc>
        <w:tc>
          <w:tcPr/>
          <w:p>
            <w:pPr>
              <w:pStyle w:val="Compact"/>
              <w:jc w:val="left"/>
            </w:pPr>
            <w:r>
              <w:t xml:space="preserve">Lisbeth Marcher</w:t>
            </w:r>
          </w:p>
        </w:tc>
        <w:tc>
          <w:tcPr/>
          <w:p>
            <w:pPr>
              <w:pStyle w:val="Compact"/>
              <w:jc w:val="left"/>
            </w:pPr>
            <w:r>
              <w:t xml:space="preserve">Muscle-based character, developmental phases</w:t>
            </w:r>
            <w:r>
              <w:t xml:space="preserve"> </w:t>
            </w:r>
            <w:fldSimple w:instr="NOTEREF _Ref_Footnote_78 \h \f">
              <w:r>
                <w:rPr>
                  <w:vertAlign w:val="superscript"/>
                </w:rPr>
                <w:t>78</w:t>
              </w:r>
            </w:fldSimple>
          </w:p>
        </w:tc>
        <w:tc>
          <w:tcPr/>
          <w:p>
            <w:pPr>
              <w:pStyle w:val="Compact"/>
              <w:jc w:val="left"/>
            </w:pPr>
            <w:r>
              <w:t xml:space="preserve">4-year EABP-recognized; now fully online</w:t>
            </w:r>
            <w:r>
              <w:t xml:space="preserve"> </w:t>
            </w:r>
            <w:fldSimple w:instr="NOTEREF _Ref_Footnote_79 \h \f">
              <w:r>
                <w:rPr>
                  <w:vertAlign w:val="superscript"/>
                </w:rPr>
                <w:t>79</w:t>
              </w:r>
            </w:fldSimple>
          </w:p>
        </w:tc>
        <w:tc>
          <w:tcPr/>
          <w:p>
            <w:pPr>
              <w:pStyle w:val="Compact"/>
              <w:jc w:val="left"/>
            </w:pPr>
            <w:r>
              <w:t xml:space="preserve">$8,000–$15,000</w:t>
            </w:r>
          </w:p>
        </w:tc>
        <w:tc>
          <w:tcPr/>
          <w:p>
            <w:pPr>
              <w:pStyle w:val="Compact"/>
              <w:jc w:val="left"/>
            </w:pPr>
            <w:r>
              <w:t xml:space="preserve">Empirical (25-year study)</w:t>
            </w:r>
          </w:p>
        </w:tc>
      </w:tr>
      <w:tr>
        <w:tc>
          <w:tcPr/>
          <w:p>
            <w:pPr>
              <w:pStyle w:val="Compact"/>
              <w:jc w:val="left"/>
            </w:pPr>
            <w:r>
              <w:t xml:space="preserve">TRE</w:t>
            </w:r>
          </w:p>
        </w:tc>
        <w:tc>
          <w:tcPr/>
          <w:p>
            <w:pPr>
              <w:pStyle w:val="Compact"/>
              <w:jc w:val="left"/>
            </w:pPr>
            <w:r>
              <w:t xml:space="preserve">David Berceli</w:t>
            </w:r>
          </w:p>
        </w:tc>
        <w:tc>
          <w:tcPr/>
          <w:p>
            <w:pPr>
              <w:pStyle w:val="Compact"/>
              <w:jc w:val="left"/>
            </w:pPr>
            <w:r>
              <w:t xml:space="preserve">Somatic tremor discharge, self-regulation</w:t>
            </w:r>
            <w:r>
              <w:t xml:space="preserve"> </w:t>
            </w:r>
            <w:fldSimple w:instr="NOTEREF _Ref_Footnote_80 \h \f">
              <w:r>
                <w:rPr>
                  <w:vertAlign w:val="superscript"/>
                </w:rPr>
                <w:t>80</w:t>
              </w:r>
            </w:fldSimple>
          </w:p>
        </w:tc>
        <w:tc>
          <w:tcPr/>
          <w:p>
            <w:pPr>
              <w:pStyle w:val="Compact"/>
              <w:jc w:val="left"/>
            </w:pPr>
            <w:r>
              <w:t xml:space="preserve">3 modules + 13 supervision credits</w:t>
            </w:r>
            <w:r>
              <w:t xml:space="preserve"> </w:t>
            </w:r>
            <w:fldSimple w:instr="NOTEREF _Ref_Footnote_61 \h \f">
              <w:r>
                <w:rPr>
                  <w:vertAlign w:val="superscript"/>
                </w:rPr>
                <w:t>61</w:t>
              </w:r>
            </w:fldSimple>
          </w:p>
        </w:tc>
        <w:tc>
          <w:tcPr/>
          <w:p>
            <w:pPr>
              <w:pStyle w:val="Compact"/>
              <w:jc w:val="left"/>
            </w:pPr>
            <w:r>
              <w:t xml:space="preserve">~$4,000</w:t>
            </w:r>
          </w:p>
        </w:tc>
        <w:tc>
          <w:tcPr/>
          <w:p>
            <w:pPr>
              <w:pStyle w:val="Compact"/>
              <w:jc w:val="left"/>
            </w:pPr>
            <w:r>
              <w:t xml:space="preserve">Pilot studies; growing adoption</w:t>
            </w:r>
          </w:p>
        </w:tc>
      </w:tr>
      <w:tr>
        <w:tc>
          <w:tcPr/>
          <w:p>
            <w:pPr>
              <w:pStyle w:val="Compact"/>
              <w:jc w:val="left"/>
            </w:pPr>
            <w:r>
              <w:t xml:space="preserve">NeuroAffective Touch</w:t>
            </w:r>
          </w:p>
        </w:tc>
        <w:tc>
          <w:tcPr/>
          <w:p>
            <w:pPr>
              <w:pStyle w:val="Compact"/>
              <w:jc w:val="left"/>
            </w:pPr>
            <w:r>
              <w:t xml:space="preserve">Aline LaPierre</w:t>
            </w:r>
          </w:p>
        </w:tc>
        <w:tc>
          <w:tcPr/>
          <w:p>
            <w:pPr>
              <w:pStyle w:val="Compact"/>
              <w:jc w:val="left"/>
            </w:pPr>
            <w:r>
              <w:t xml:space="preserve">Touch-based developmental trauma</w:t>
            </w:r>
            <w:r>
              <w:t xml:space="preserve"> </w:t>
            </w:r>
            <w:fldSimple w:instr="NOTEREF _Ref_Footnote_58 \h \f">
              <w:r>
                <w:rPr>
                  <w:vertAlign w:val="superscript"/>
                </w:rPr>
                <w:t>58</w:t>
              </w:r>
            </w:fldSimple>
          </w:p>
        </w:tc>
        <w:tc>
          <w:tcPr/>
          <w:p>
            <w:pPr>
              <w:pStyle w:val="Compact"/>
              <w:jc w:val="left"/>
            </w:pPr>
            <w:r>
              <w:t xml:space="preserve">Foundation + ongoing Clinical Practicums</w:t>
            </w:r>
            <w:r>
              <w:t xml:space="preserve"> </w:t>
            </w:r>
            <w:r>
              <w:rPr>
                <w:vertAlign w:val="superscript"/>
              </w:rPr>
              <w:footnoteReference w:id="84"/>
            </w:r>
          </w:p>
        </w:tc>
        <w:tc>
          <w:tcPr/>
          <w:p>
            <w:pPr>
              <w:pStyle w:val="Compact"/>
              <w:jc w:val="left"/>
            </w:pPr>
            <w:r>
              <w:t xml:space="preserve">$5,000–$10,000</w:t>
            </w:r>
          </w:p>
        </w:tc>
        <w:tc>
          <w:tcPr/>
          <w:p>
            <w:pPr>
              <w:pStyle w:val="Compact"/>
              <w:jc w:val="left"/>
            </w:pPr>
            <w:r>
              <w:t xml:space="preserve">Clinical framework; case series</w:t>
            </w:r>
          </w:p>
        </w:tc>
      </w:tr>
      <w:tr>
        <w:tc>
          <w:tcPr/>
          <w:p>
            <w:pPr>
              <w:pStyle w:val="Compact"/>
              <w:jc w:val="left"/>
            </w:pPr>
            <w:r>
              <w:t xml:space="preserve">Biodynamic Craniosacral Therapy</w:t>
            </w:r>
          </w:p>
        </w:tc>
        <w:tc>
          <w:tcPr/>
          <w:p>
            <w:pPr>
              <w:pStyle w:val="Compact"/>
              <w:jc w:val="left"/>
            </w:pPr>
            <w:r>
              <w:t xml:space="preserve">Franklyn Sills, Rollin Becker</w:t>
            </w:r>
          </w:p>
        </w:tc>
        <w:tc>
          <w:tcPr/>
          <w:p>
            <w:pPr>
              <w:pStyle w:val="Compact"/>
              <w:jc w:val="left"/>
            </w:pPr>
            <w:r>
              <w:t xml:space="preserve">Primary respiration, trauma resolution</w:t>
            </w:r>
            <w:r>
              <w:t xml:space="preserve"> </w:t>
            </w:r>
            <w:fldSimple w:instr="NOTEREF _Ref_Footnote_76 \h \f">
              <w:r>
                <w:rPr>
                  <w:vertAlign w:val="superscript"/>
                </w:rPr>
                <w:t>76</w:t>
              </w:r>
            </w:fldSimple>
          </w:p>
        </w:tc>
        <w:tc>
          <w:tcPr/>
          <w:p>
            <w:pPr>
              <w:pStyle w:val="Compact"/>
              <w:jc w:val="left"/>
            </w:pPr>
            <w:r>
              <w:t xml:space="preserve">3+ years, 18 modules, 150 practice sessions</w:t>
            </w:r>
            <w:r>
              <w:t xml:space="preserve"> </w:t>
            </w:r>
            <w:fldSimple w:instr="NOTEREF _Ref_Footnote_76 \h \f">
              <w:r>
                <w:rPr>
                  <w:vertAlign w:val="superscript"/>
                </w:rPr>
                <w:t>76</w:t>
              </w:r>
            </w:fldSimple>
          </w:p>
        </w:tc>
        <w:tc>
          <w:tcPr/>
          <w:p>
            <w:pPr>
              <w:pStyle w:val="Compact"/>
              <w:jc w:val="left"/>
            </w:pPr>
            <w:r>
              <w:t xml:space="preserve">$8,000–$14,000</w:t>
            </w:r>
          </w:p>
        </w:tc>
        <w:tc>
          <w:tcPr/>
          <w:p>
            <w:pPr>
              <w:pStyle w:val="Compact"/>
              <w:jc w:val="left"/>
            </w:pPr>
            <w:r>
              <w:t xml:space="preserve">Small studies; 600+ practitioners</w:t>
            </w:r>
          </w:p>
        </w:tc>
      </w:tr>
    </w:tbl>
    <w:p>
      <w:pPr>
        <w:pStyle w:val="BodyText"/>
      </w:pPr>
      <w:r>
        <w:t xml:space="preserve">Collectively, these emerging modalities represent the expanding frontier of somatic therapy. NARM and NeuroAffective Touch converge on developmental and attachment trauma that standard cognitive treatments often fail to resolve. OI’s growth orientation appeals to clients seeking resilience-building. TRE’s low barrier to entry suits community and group settings. This diversity has direct implications for platform design: a dance/movement-based therapist may draw from any combination of these frameworks, and the platform must accommodate this clinical pluralism.</w:t>
      </w:r>
    </w:p>
    <w:p>
      <w:pPr>
        <w:pStyle w:val="CaptionedFigure"/>
      </w:pPr>
      <w:r>
        <w:drawing>
          <wp:inline>
            <wp:extent cx="4990142" cy="4461720"/>
            <wp:effectExtent b="0" l="0" r="0" t="0"/>
            <wp:docPr descr="Somatic Therapy Market Share by Modality" title="" id="33" name="Picture"/>
            <a:graphic>
              <a:graphicData uri="http://schemas.openxmlformats.org/drawingml/2006/picture">
                <pic:pic>
                  <pic:nvPicPr>
                    <pic:cNvPr descr="/mnt/agents/output/ch01_modality_share.png" id="34" name="Picture"/>
                    <pic:cNvPicPr>
                      <a:picLocks noChangeArrowheads="1" noChangeAspect="1"/>
                    </pic:cNvPicPr>
                  </pic:nvPicPr>
                  <pic:blipFill>
                    <a:blip r:embed="rId32"/>
                    <a:stretch>
                      <a:fillRect/>
                    </a:stretch>
                  </pic:blipFill>
                  <pic:spPr bwMode="auto">
                    <a:xfrm>
                      <a:off x="0" y="0"/>
                      <a:ext cx="4990142" cy="4461720"/>
                    </a:xfrm>
                    <a:prstGeom prst="rect">
                      <a:avLst/>
                    </a:prstGeom>
                    <a:noFill/>
                    <a:ln w="9525">
                      <a:noFill/>
                      <a:headEnd/>
                      <a:tailEnd/>
                    </a:ln>
                  </pic:spPr>
                </pic:pic>
              </a:graphicData>
            </a:graphic>
          </wp:inline>
        </w:drawing>
      </w:r>
    </w:p>
    <w:p>
      <w:pPr>
        <w:pStyle w:val="ImageCaption"/>
      </w:pPr>
      <w:r>
        <w:t xml:space="preserve">Somatic Therapy Market Share by Modality</w:t>
      </w:r>
    </w:p>
    <w:bookmarkEnd w:id="35"/>
    <w:bookmarkEnd w:id="36"/>
    <w:bookmarkStart w:id="41" w:name="movement-expressive-therapies"/>
    <w:p>
      <w:pPr>
        <w:pStyle w:val="Heading2"/>
      </w:pPr>
      <w:r>
        <w:t xml:space="preserve">1.3 Movement &amp; Expressive Therapies</w:t>
      </w:r>
    </w:p>
    <w:bookmarkStart w:id="37" w:name="dancemovement-therapy"/>
    <w:p>
      <w:pPr>
        <w:pStyle w:val="Heading3"/>
      </w:pPr>
      <w:r>
        <w:t xml:space="preserve">1.3.1 Dance/Movement Therapy</w:t>
      </w:r>
    </w:p>
    <w:p>
      <w:pPr>
        <w:pStyle w:val="FirstParagraph"/>
      </w:pPr>
      <w:r>
        <w:t xml:space="preserve">Dance/Movement Therapy (DMT), as defined by the American Dance Therapy Association (ADTA), is</w:t>
      </w:r>
      <w:r>
        <w:t xml:space="preserve"> </w:t>
      </w:r>
      <w:r>
        <w:t xml:space="preserve">“</w:t>
      </w:r>
      <w:r>
        <w:t xml:space="preserve">the psychotherapeutic use of movement to promote emotional, social, cognitive and physical integration of the individual, for the purpose of improving health and well-being</w:t>
      </w:r>
      <w:r>
        <w:t xml:space="preserve">”</w:t>
      </w:r>
      <w:r>
        <w:t xml:space="preserve"> </w:t>
      </w:r>
      <w:r>
        <w:rPr>
          <w:vertAlign w:val="superscript"/>
        </w:rPr>
        <w:footnoteReference w:id="85"/>
      </w:r>
      <w:r>
        <w:t xml:space="preserve">. Founded by Marian Chace in 1966, the ADTA oversees credentialing through the Dance/Movement Therapy Certification Board (DMTCB): the Registered Dance/Movement Therapist (R-DMT) requires a master’s degree, 28 credit hours of DMT coursework, 200 hours of fieldwork, and a 700-hour internship supervised by a BC-DMT</w:t>
      </w:r>
      <w:r>
        <w:t xml:space="preserve"> </w:t>
      </w:r>
      <w:r>
        <w:rPr>
          <w:vertAlign w:val="superscript"/>
        </w:rPr>
        <w:footnoteReference w:id="86"/>
      </w:r>
      <w:r>
        <w:t xml:space="preserve"> </w:t>
      </w:r>
      <w:fldSimple w:instr="NOTEREF _Ref_Footnote_80 \h \f">
        <w:r>
          <w:rPr>
            <w:vertAlign w:val="superscript"/>
          </w:rPr>
          <w:t>80</w:t>
        </w:r>
      </w:fldSimple>
      <w:r>
        <w:t xml:space="preserve">. The advanced Board Certified Dance/Movement Therapist (BC-DMT) requires two additional years of supervised clinical work and permits independent practice, training, and supervision</w:t>
      </w:r>
      <w:r>
        <w:t xml:space="preserve"> </w:t>
      </w:r>
      <w:fldSimple w:instr="NOTEREF _Ref_Footnote_82 \h \f">
        <w:r>
          <w:rPr>
            <w:vertAlign w:val="superscript"/>
          </w:rPr>
          <w:t>82</w:t>
        </w:r>
      </w:fldSimple>
      <w:r>
        <w:t xml:space="preserve">.</w:t>
      </w:r>
    </w:p>
    <w:p>
      <w:pPr>
        <w:pStyle w:val="BodyText"/>
      </w:pPr>
      <w:r>
        <w:t xml:space="preserve">Seven ADTA-approved graduate programs operate in the United States, including Drexel University, Pratt Institute, and Naropa University — the latter offering a Somatic Counseling MA with Dance/Movement Theories concentration producing graduates eligible for R-DMT credentialing</w:t>
      </w:r>
      <w:r>
        <w:t xml:space="preserve"> </w:t>
      </w:r>
      <w:r>
        <w:rPr>
          <w:vertAlign w:val="superscript"/>
        </w:rPr>
        <w:footnoteReference w:id="87"/>
      </w:r>
      <w:r>
        <w:t xml:space="preserve"> </w:t>
      </w:r>
      <w:r>
        <w:rPr>
          <w:vertAlign w:val="superscript"/>
        </w:rPr>
        <w:footnoteReference w:id="88"/>
      </w:r>
      <w:r>
        <w:t xml:space="preserve">. The ADTA maintains 1,370 registered members, with approximately 247 actively practicing DMT therapists in North America</w:t>
      </w:r>
      <w:r>
        <w:t xml:space="preserve"> </w:t>
      </w:r>
      <w:fldSimple w:instr="NOTEREF _Ref_Footnote_25 \h \f">
        <w:r>
          <w:rPr>
            <w:vertAlign w:val="superscript"/>
          </w:rPr>
          <w:t>25</w:t>
        </w:r>
      </w:fldSimple>
      <w:r>
        <w:t xml:space="preserve">.</w:t>
      </w:r>
    </w:p>
    <w:p>
      <w:pPr>
        <w:pStyle w:val="BodyText"/>
      </w:pPr>
      <w:r>
        <w:t xml:space="preserve">DMT’s meta-analytic evidence is strongest for depression. Koch et al.’s 2019 meta-analysis synthesized 41 controlled studies (</w:t>
      </w:r>
      <m:oMath>
        <m:r>
          <m:t>N</m:t>
        </m:r>
        <m:r>
          <m:rPr>
            <m:sty m:val="p"/>
          </m:rPr>
          <m:t>=</m:t>
        </m:r>
        <m:r>
          <m:t>2</m:t>
        </m:r>
        <m:r>
          <m:rPr>
            <m:sty m:val="p"/>
          </m:rPr>
          <m:t>,</m:t>
        </m:r>
        <m:r>
          <m:t>374</m:t>
        </m:r>
      </m:oMath>
      <w:r>
        <w:t xml:space="preserve">), finding DMT produced a consistent small-to-medium overall effect (</w:t>
      </w:r>
      <m:oMath>
        <m:r>
          <m:t>d</m:t>
        </m:r>
        <m:r>
          <m:rPr>
            <m:sty m:val="p"/>
          </m:rPr>
          <m:t>=</m:t>
        </m:r>
        <m:r>
          <m:t>0.60</m:t>
        </m:r>
      </m:oMath>
      <w:r>
        <w:t xml:space="preserve">), with specific reductions in depression (</w:t>
      </w:r>
      <m:oMath>
        <m:r>
          <m:t>d</m:t>
        </m:r>
        <m:r>
          <m:rPr>
            <m:sty m:val="p"/>
          </m:rPr>
          <m:t>=</m:t>
        </m:r>
        <m:r>
          <m:t>0.54</m:t>
        </m:r>
      </m:oMath>
      <w:r>
        <w:t xml:space="preserve">) and anxiety (</w:t>
      </w:r>
      <m:oMath>
        <m:r>
          <m:t>d</m:t>
        </m:r>
        <m:r>
          <m:rPr>
            <m:sty m:val="p"/>
          </m:rPr>
          <m:t>=</m:t>
        </m:r>
        <m:r>
          <m:t>0.47</m:t>
        </m:r>
      </m:oMath>
      <w:r>
        <w:t xml:space="preserve">)</w:t>
      </w:r>
      <w:r>
        <w:t xml:space="preserve"> </w:t>
      </w:r>
      <w:fldSimple w:instr="NOTEREF _Ref_Footnote_23 \h \f">
        <w:r>
          <w:rPr>
            <w:vertAlign w:val="superscript"/>
          </w:rPr>
          <w:t>23</w:t>
        </w:r>
      </w:fldSimple>
      <w:r>
        <w:t xml:space="preserve">. The Finnish multicenter RCT (</w:t>
      </w:r>
      <m:oMath>
        <m:r>
          <m:t>n</m:t>
        </m:r>
        <m:r>
          <m:rPr>
            <m:sty m:val="p"/>
          </m:rPr>
          <m:t>=</m:t>
        </m:r>
        <m:r>
          <m:t>109</m:t>
        </m:r>
      </m:oMath>
      <w:r>
        <w:t xml:space="preserve">) reported</w:t>
      </w:r>
      <w:r>
        <w:t xml:space="preserve"> </w:t>
      </w:r>
      <m:oMath>
        <m:r>
          <m:t>d</m:t>
        </m:r>
        <m:r>
          <m:rPr>
            <m:sty m:val="p"/>
          </m:rPr>
          <m:t>=</m:t>
        </m:r>
        <m:r>
          <m:t>0.72</m:t>
        </m:r>
      </m:oMath>
      <w:r>
        <w:t xml:space="preserve"> </w:t>
      </w:r>
      <w:r>
        <w:t xml:space="preserve">for depression, with 43.3% of DMT participants recovered or improved versus 14% of controls</w:t>
      </w:r>
      <w:r>
        <w:t xml:space="preserve"> </w:t>
      </w:r>
      <w:r>
        <w:rPr>
          <w:vertAlign w:val="superscript"/>
        </w:rPr>
        <w:footnoteReference w:id="89"/>
      </w:r>
      <w:r>
        <w:t xml:space="preserve">. A 2025 Chinese network meta-analysis of 19 RCTs ranked DMT combined with culturally-specific dance elements as the most effective intervention for depression (SUCRA = 99.7%)</w:t>
      </w:r>
      <w:r>
        <w:t xml:space="preserve"> </w:t>
      </w:r>
      <w:r>
        <w:rPr>
          <w:vertAlign w:val="superscript"/>
        </w:rPr>
        <w:footnoteReference w:id="90"/>
      </w:r>
      <w:r>
        <w:t xml:space="preserve">.</w:t>
      </w:r>
    </w:p>
    <w:p>
      <w:pPr>
        <w:pStyle w:val="BodyText"/>
      </w:pPr>
      <w:r>
        <w:t xml:space="preserve">Dr. Tal Shafir’s research at the University of Haifa provides neuroscientific validation for DMT’s core premise. Shafir demonstrated that motor execution of emotionally expressive movements enhances corresponding affective states within approximately three minutes, and that specific movement qualities — identified through Laban Movement Analysis — predictably map to specific emotions: expanded torso and open chest movements enhance happiness, while head-down, shoulder-rounded postures intensify sadness</w:t>
      </w:r>
      <w:r>
        <w:t xml:space="preserve"> </w:t>
      </w:r>
      <w:r>
        <w:rPr>
          <w:vertAlign w:val="superscript"/>
        </w:rPr>
        <w:footnoteReference w:id="91"/>
      </w:r>
      <w:r>
        <w:t xml:space="preserve"> </w:t>
      </w:r>
      <w:r>
        <w:rPr>
          <w:vertAlign w:val="superscript"/>
        </w:rPr>
        <w:footnoteReference w:id="92"/>
      </w:r>
      <w:r>
        <w:t xml:space="preserve">. This one-to-one correspondence between movement quality and emotional state validates DMT’s theoretical foundations and provides evidence-based guidance for therapeutic movement sequencing.</w:t>
      </w:r>
    </w:p>
    <w:bookmarkEnd w:id="37"/>
    <w:bookmarkStart w:id="38" w:name="yoga-therapy"/>
    <w:p>
      <w:pPr>
        <w:pStyle w:val="Heading3"/>
      </w:pPr>
      <w:r>
        <w:t xml:space="preserve">1.3.2 Yoga Therapy</w:t>
      </w:r>
    </w:p>
    <w:p>
      <w:pPr>
        <w:pStyle w:val="FirstParagraph"/>
      </w:pPr>
      <w:r>
        <w:t xml:space="preserve">Yoga therapy, as distinguished from general yoga instruction, is governed by the International Association of Yoga Therapists (IAYT). The Certified-IAYT (C-IAYT) credential requires an IAYT-accredited program of 875+ hours over two or more years, and since July 2023, all new applicants must pass a certification examination</w:t>
      </w:r>
      <w:r>
        <w:t xml:space="preserve"> </w:t>
      </w:r>
      <w:r>
        <w:rPr>
          <w:vertAlign w:val="superscript"/>
        </w:rPr>
        <w:footnoteReference w:id="93"/>
      </w:r>
      <w:r>
        <w:t xml:space="preserve">. Trauma-Center Trauma-Sensitive Yoga (TCTSY) was recognized by SAMHSA as an evidence-based practice for PTSD following van der Kolk et al.’s 2014 RCT, which reported Cohen’s</w:t>
      </w:r>
      <w:r>
        <w:t xml:space="preserve"> </w:t>
      </w:r>
      <m:oMath>
        <m:r>
          <m:t>d</m:t>
        </m:r>
        <m:r>
          <m:rPr>
            <m:sty m:val="p"/>
          </m:rPr>
          <m:t>=</m:t>
        </m:r>
        <m:r>
          <m:t>1.07</m:t>
        </m:r>
      </m:oMath>
      <w:r>
        <w:t xml:space="preserve"> </w:t>
      </w:r>
      <w:r>
        <w:t xml:space="preserve">for PTSD symptom reduction and 52% remission at 10 weeks (83% with a 20-week extended protocol)</w:t>
      </w:r>
      <w:r>
        <w:t xml:space="preserve"> </w:t>
      </w:r>
      <w:r>
        <w:rPr>
          <w:vertAlign w:val="superscript"/>
        </w:rPr>
        <w:footnoteReference w:id="94"/>
      </w:r>
      <w:r>
        <w:t xml:space="preserve">. Meta-analytic evidence supports yoga’s short-term efficacy for depressive symptoms (SMD</w:t>
      </w:r>
      <w:r>
        <w:t xml:space="preserve"> </w:t>
      </w:r>
      <m:oMath>
        <m:r>
          <m:rPr>
            <m:sty m:val="p"/>
          </m:rPr>
          <m:t>−</m:t>
        </m:r>
        <m:r>
          <m:t>0.69</m:t>
        </m:r>
      </m:oMath>
      <w:r>
        <w:t xml:space="preserve"> </w:t>
      </w:r>
      <w:r>
        <w:t xml:space="preserve">versus usual care)</w:t>
      </w:r>
      <w:r>
        <w:t xml:space="preserve"> </w:t>
      </w:r>
      <w:r>
        <w:rPr>
          <w:vertAlign w:val="superscript"/>
        </w:rPr>
        <w:footnoteReference w:id="95"/>
      </w:r>
      <w:r>
        <w:t xml:space="preserve">.</w:t>
      </w:r>
    </w:p>
    <w:bookmarkEnd w:id="38"/>
    <w:bookmarkStart w:id="39" w:name="feldenkrais-and-alexander-technique"/>
    <w:p>
      <w:pPr>
        <w:pStyle w:val="Heading3"/>
      </w:pPr>
      <w:r>
        <w:t xml:space="preserve">1.3.3 Feldenkrais and Alexander Technique</w:t>
      </w:r>
    </w:p>
    <w:p>
      <w:pPr>
        <w:pStyle w:val="FirstParagraph"/>
      </w:pPr>
      <w:r>
        <w:t xml:space="preserve">The Feldenkrais Method, developed by physicist Moshe Feldenkrais in the 1950s, uses Awareness Through Movement (group verbal instruction) and Functional Integration (one-on-one touch) to re-educate the nervous system through gentle movement</w:t>
      </w:r>
      <w:r>
        <w:t xml:space="preserve"> </w:t>
      </w:r>
      <w:r>
        <w:rPr>
          <w:vertAlign w:val="superscript"/>
        </w:rPr>
        <w:footnoteReference w:id="96"/>
      </w:r>
      <w:r>
        <w:t xml:space="preserve">. Guild-accredited training requires 700–800 hours over 3–4 years at $16,000–$18,000, with approximately 2,000 US practitioners</w:t>
      </w:r>
      <w:r>
        <w:t xml:space="preserve"> </w:t>
      </w:r>
      <w:fldSimple w:instr="NOTEREF _Ref_Footnote_96 \h \f">
        <w:r>
          <w:rPr>
            <w:vertAlign w:val="superscript"/>
          </w:rPr>
          <w:t>96</w:t>
        </w:r>
      </w:fldSimple>
      <w:r>
        <w:t xml:space="preserve">. Evidence supports benefits for chronic pain, balance, and mobility</w:t>
      </w:r>
      <w:r>
        <w:t xml:space="preserve"> </w:t>
      </w:r>
      <w:fldSimple w:instr="NOTEREF _Ref_Footnote_48 \h \f">
        <w:r>
          <w:rPr>
            <w:vertAlign w:val="superscript"/>
          </w:rPr>
          <w:t>48</w:t>
        </w:r>
      </w:fldSimple>
      <w:r>
        <w:t xml:space="preserve">.</w:t>
      </w:r>
    </w:p>
    <w:p>
      <w:pPr>
        <w:pStyle w:val="BodyText"/>
      </w:pPr>
      <w:r>
        <w:t xml:space="preserve">The Alexander Technique, developed by Frederick Matthias Alexander in the 1890s, teaches</w:t>
      </w:r>
      <w:r>
        <w:t xml:space="preserve"> </w:t>
      </w:r>
      <w:r>
        <w:t xml:space="preserve">“</w:t>
      </w:r>
      <w:r>
        <w:t xml:space="preserve">psychophysical re-education of the use of self</w:t>
      </w:r>
      <w:r>
        <w:t xml:space="preserve">”</w:t>
      </w:r>
      <w:r>
        <w:t xml:space="preserve"> </w:t>
      </w:r>
      <w:r>
        <w:t xml:space="preserve">through gentle hands-on guidance</w:t>
      </w:r>
      <w:r>
        <w:t xml:space="preserve"> </w:t>
      </w:r>
      <w:r>
        <w:rPr>
          <w:vertAlign w:val="superscript"/>
        </w:rPr>
        <w:footnoteReference w:id="97"/>
      </w:r>
      <w:r>
        <w:t xml:space="preserve">. Its 1,620-hour training over 3–5 years is among the most intensive in the field</w:t>
      </w:r>
      <w:r>
        <w:t xml:space="preserve"> </w:t>
      </w:r>
      <w:r>
        <w:rPr>
          <w:vertAlign w:val="superscript"/>
        </w:rPr>
        <w:footnoteReference w:id="98"/>
      </w:r>
      <w:r>
        <w:t xml:space="preserve">. The ATLAS RCT (</w:t>
      </w:r>
      <m:oMath>
        <m:r>
          <m:t>n</m:t>
        </m:r>
        <m:r>
          <m:rPr>
            <m:sty m:val="p"/>
          </m:rPr>
          <m:t>=</m:t>
        </m:r>
        <m:r>
          <m:t>517</m:t>
        </m:r>
      </m:oMath>
      <w:r>
        <w:t xml:space="preserve">) found Alexander Technique produced</w:t>
      </w:r>
      <w:r>
        <w:t xml:space="preserve"> </w:t>
      </w:r>
      <w:r>
        <w:t xml:space="preserve">“</w:t>
      </w:r>
      <w:r>
        <w:t xml:space="preserve">significant and clinically meaningful reductions in neck pain and associated disability</w:t>
      </w:r>
      <w:r>
        <w:t xml:space="preserve">”</w:t>
      </w:r>
      <w:r>
        <w:t xml:space="preserve"> </w:t>
      </w:r>
      <w:r>
        <w:t xml:space="preserve">maintained at 12 months</w:t>
      </w:r>
      <w:r>
        <w:t xml:space="preserve"> </w:t>
      </w:r>
      <w:r>
        <w:rPr>
          <w:vertAlign w:val="superscript"/>
        </w:rPr>
        <w:footnoteReference w:id="99"/>
      </w:r>
      <w:r>
        <w:t xml:space="preserve">, while the ATEAM trial demonstrated significant long-term reduction in chronic back pain</w:t>
      </w:r>
      <w:r>
        <w:t xml:space="preserve"> </w:t>
      </w:r>
      <w:fldSimple w:instr="NOTEREF _Ref_Footnote_99 \h \f">
        <w:r>
          <w:rPr>
            <w:vertAlign w:val="superscript"/>
          </w:rPr>
          <w:t>99</w:t>
        </w:r>
      </w:fldSimple>
      <w:r>
        <w:t xml:space="preserve">.</w:t>
      </w:r>
    </w:p>
    <w:bookmarkEnd w:id="39"/>
    <w:bookmarkStart w:id="40" w:name="related-movement-practices"/>
    <w:p>
      <w:pPr>
        <w:pStyle w:val="Heading3"/>
      </w:pPr>
      <w:r>
        <w:t xml:space="preserve">1.3.4 Related Movement Practices</w:t>
      </w:r>
    </w:p>
    <w:p>
      <w:pPr>
        <w:pStyle w:val="FirstParagraph"/>
      </w:pPr>
      <w:r>
        <w:t xml:space="preserve">A constellation of movement practices operates adjacent to clinical DMT, frequently integrated but lacking formal psychotherapy credentials.</w:t>
      </w:r>
    </w:p>
    <w:p>
      <w:pPr>
        <w:pStyle w:val="BodyText"/>
      </w:pPr>
      <w:r>
        <w:rPr>
          <w:bCs/>
          <w:b/>
        </w:rPr>
        <w:t xml:space="preserve">5Rhythms</w:t>
      </w:r>
      <w:r>
        <w:t xml:space="preserve">, created by Gabrielle Roth at the Esalen Institute, is a movement meditation practice organized around five sequential rhythms: Flowing (receptive), Staccato (expressive), Chaos (transformation), Lyrical (integration), and Stillness (completion)</w:t>
      </w:r>
      <w:r>
        <w:t xml:space="preserve"> </w:t>
      </w:r>
      <w:r>
        <w:rPr>
          <w:vertAlign w:val="superscript"/>
        </w:rPr>
        <w:footnoteReference w:id="100"/>
      </w:r>
      <w:r>
        <w:t xml:space="preserve">. Teacher training spans one year with prerequisites of 300+ hours, costing approximately $11,300</w:t>
      </w:r>
      <w:r>
        <w:t xml:space="preserve"> </w:t>
      </w:r>
      <w:r>
        <w:rPr>
          <w:vertAlign w:val="superscript"/>
        </w:rPr>
        <w:footnoteReference w:id="101"/>
      </w:r>
      <w:r>
        <w:t xml:space="preserve">.</w:t>
      </w:r>
    </w:p>
    <w:p>
      <w:pPr>
        <w:pStyle w:val="BodyText"/>
      </w:pPr>
      <w:r>
        <w:rPr>
          <w:bCs/>
          <w:b/>
        </w:rPr>
        <w:t xml:space="preserve">Authentic Movement</w:t>
      </w:r>
      <w:r>
        <w:t xml:space="preserve">, developed by Mary Starks Whitehouse (student of Martha Graham and Carl Jung), is a mindfulness-based practice bridging unconscious and conscious mind through Jung’s Active Imagination</w:t>
      </w:r>
      <w:r>
        <w:t xml:space="preserve"> </w:t>
      </w:r>
      <w:r>
        <w:rPr>
          <w:vertAlign w:val="superscript"/>
        </w:rPr>
        <w:footnoteReference w:id="102"/>
      </w:r>
      <w:r>
        <w:t xml:space="preserve">. The Mover closes their eyes and follows internal impulses while the Witness observes without judgment</w:t>
      </w:r>
      <w:r>
        <w:t xml:space="preserve"> </w:t>
      </w:r>
      <w:fldSimple w:instr="NOTEREF _Ref_Footnote_102 \h \f">
        <w:r>
          <w:rPr>
            <w:vertAlign w:val="superscript"/>
          </w:rPr>
          <w:t>102</w:t>
        </w:r>
      </w:fldSimple>
      <w:r>
        <w:t xml:space="preserve">. Research in</w:t>
      </w:r>
      <w:r>
        <w:t xml:space="preserve"> </w:t>
      </w:r>
      <w:r>
        <w:rPr>
          <w:iCs/>
          <w:i/>
        </w:rPr>
        <w:t xml:space="preserve">The Arts in Psychotherapy</w:t>
      </w:r>
      <w:r>
        <w:t xml:space="preserve"> </w:t>
      </w:r>
      <w:r>
        <w:t xml:space="preserve">found AM significantly improved emotional state</w:t>
      </w:r>
      <w:r>
        <w:t xml:space="preserve"> </w:t>
      </w:r>
      <w:r>
        <w:rPr>
          <w:vertAlign w:val="superscript"/>
        </w:rPr>
        <w:footnoteReference w:id="103"/>
      </w:r>
      <w:r>
        <w:t xml:space="preserve">.</w:t>
      </w:r>
    </w:p>
    <w:p>
      <w:pPr>
        <w:pStyle w:val="BodyText"/>
      </w:pPr>
      <w:r>
        <w:rPr>
          <w:bCs/>
          <w:b/>
        </w:rPr>
        <w:t xml:space="preserve">Body-Mind Centering (BMC)</w:t>
      </w:r>
      <w:r>
        <w:t xml:space="preserve">, founded by Bonnie Bainbridge Cohen in 1973, offers experiential learning through movement, touch, and voice to explore anatomy, embryology, and developmental movement</w:t>
      </w:r>
      <w:r>
        <w:t xml:space="preserve"> </w:t>
      </w:r>
      <w:r>
        <w:rPr>
          <w:vertAlign w:val="superscript"/>
        </w:rPr>
        <w:footnoteReference w:id="104"/>
      </w:r>
      <w:r>
        <w:t xml:space="preserve">. Certification as Somatic Movement Educator or BMC Practitioner requires multi-year programs offered through fifteen licensed organizations globally</w:t>
      </w:r>
      <w:r>
        <w:t xml:space="preserve"> </w:t>
      </w:r>
      <w:fldSimple w:instr="NOTEREF _Ref_Footnote_104 \h \f">
        <w:r>
          <w:rPr>
            <w:vertAlign w:val="superscript"/>
          </w:rPr>
          <w:t>104</w:t>
        </w:r>
      </w:fldSimple>
      <w:r>
        <w:t xml:space="preserve">. BMC is frequently cited as foundational training complementing clinical DMT</w:t>
      </w:r>
      <w:r>
        <w:t xml:space="preserve"> </w:t>
      </w:r>
      <w:r>
        <w:rPr>
          <w:vertAlign w:val="superscript"/>
        </w:rPr>
        <w:footnoteReference w:id="105"/>
      </w:r>
      <w:r>
        <w:t xml:space="preserve">.</w:t>
      </w:r>
    </w:p>
    <w:p>
      <w:pPr>
        <w:pStyle w:val="BodyText"/>
      </w:pPr>
      <w:r>
        <w:rPr>
          <w:bCs/>
          <w:b/>
        </w:rPr>
        <w:t xml:space="preserve">Continuum Movement</w:t>
      </w:r>
      <w:r>
        <w:t xml:space="preserve">, developed by Emilie Conrad (1934–2014), works from the premise that the body is mostly water and fluid movement promotes health at the deepest tissue level</w:t>
      </w:r>
      <w:r>
        <w:t xml:space="preserve"> </w:t>
      </w:r>
      <w:r>
        <w:rPr>
          <w:vertAlign w:val="superscript"/>
        </w:rPr>
        <w:footnoteReference w:id="106"/>
      </w:r>
      <w:r>
        <w:t xml:space="preserve">. Conrad’s research at UCLA demonstrated fluid movement can restore neural function even in paralysis cases</w:t>
      </w:r>
      <w:r>
        <w:t xml:space="preserve"> </w:t>
      </w:r>
      <w:fldSimple w:instr="NOTEREF _Ref_Footnote_106 \h \f">
        <w:r>
          <w:rPr>
            <w:vertAlign w:val="superscript"/>
          </w:rPr>
          <w:t>106</w:t>
        </w:r>
      </w:fldSimple>
      <w:r>
        <w:t xml:space="preserve"> </w:t>
      </w:r>
      <w:r>
        <w:rPr>
          <w:vertAlign w:val="superscript"/>
        </w:rPr>
        <w:footnoteReference w:id="107"/>
      </w:r>
      <w:r>
        <w:t xml:space="preserve">.</w:t>
      </w:r>
    </w:p>
    <w:tbl>
      <w:tblPr>
        <w:tblStyle w:val="Table"/>
        <w:tblW w:type="pct" w:w="5000"/>
        <w:tblLook w:firstRow="1" w:lastRow="0" w:firstColumn="0" w:lastColumn="0" w:noHBand="0" w:noVBand="0" w:val="0020"/>
      </w:tblPr>
      <w:tblGrid>
        <w:gridCol w:w="784"/>
        <w:gridCol w:w="705"/>
        <w:gridCol w:w="1176"/>
        <w:gridCol w:w="1176"/>
        <w:gridCol w:w="2038"/>
        <w:gridCol w:w="2038"/>
      </w:tblGrid>
      <w:tr>
        <w:trPr>
          <w:tblHeader w:val="true"/>
        </w:trPr>
        <w:tc>
          <w:tcPr/>
          <w:p>
            <w:pPr>
              <w:pStyle w:val="Compact"/>
              <w:jc w:val="left"/>
            </w:pPr>
            <w:r>
              <w:t xml:space="preserve">Practice</w:t>
            </w:r>
          </w:p>
        </w:tc>
        <w:tc>
          <w:tcPr/>
          <w:p>
            <w:pPr>
              <w:pStyle w:val="Compact"/>
              <w:jc w:val="left"/>
            </w:pPr>
            <w:r>
              <w:t xml:space="preserve">Founder</w:t>
            </w:r>
          </w:p>
        </w:tc>
        <w:tc>
          <w:tcPr/>
          <w:p>
            <w:pPr>
              <w:pStyle w:val="Compact"/>
              <w:jc w:val="left"/>
            </w:pPr>
            <w:r>
              <w:t xml:space="preserve">Primary Format</w:t>
            </w:r>
          </w:p>
        </w:tc>
        <w:tc>
          <w:tcPr/>
          <w:p>
            <w:pPr>
              <w:pStyle w:val="Compact"/>
              <w:jc w:val="left"/>
            </w:pPr>
            <w:r>
              <w:t xml:space="preserve">Credentialing</w:t>
            </w:r>
          </w:p>
        </w:tc>
        <w:tc>
          <w:tcPr/>
          <w:p>
            <w:pPr>
              <w:pStyle w:val="Compact"/>
              <w:jc w:val="left"/>
            </w:pPr>
            <w:r>
              <w:t xml:space="preserve">Clinical vs. Experiential</w:t>
            </w:r>
          </w:p>
        </w:tc>
        <w:tc>
          <w:tcPr/>
          <w:p>
            <w:pPr>
              <w:pStyle w:val="Compact"/>
              <w:jc w:val="left"/>
            </w:pPr>
            <w:r>
              <w:t xml:space="preserve">Key Therapeutic Mechanism</w:t>
            </w:r>
          </w:p>
        </w:tc>
      </w:tr>
      <w:tr>
        <w:tc>
          <w:tcPr/>
          <w:p>
            <w:pPr>
              <w:pStyle w:val="Compact"/>
              <w:jc w:val="left"/>
            </w:pPr>
            <w:r>
              <w:t xml:space="preserve">Dance/Movement Therapy (DMT)</w:t>
            </w:r>
          </w:p>
        </w:tc>
        <w:tc>
          <w:tcPr/>
          <w:p>
            <w:pPr>
              <w:pStyle w:val="Compact"/>
              <w:jc w:val="left"/>
            </w:pPr>
            <w:r>
              <w:t xml:space="preserve">Marian Chace (ADTA, 1966)</w:t>
            </w:r>
            <w:r>
              <w:t xml:space="preserve"> </w:t>
            </w:r>
            <w:r>
              <w:rPr>
                <w:vertAlign w:val="superscript"/>
              </w:rPr>
              <w:footnoteReference w:id="108"/>
            </w:r>
          </w:p>
        </w:tc>
        <w:tc>
          <w:tcPr/>
          <w:p>
            <w:pPr>
              <w:pStyle w:val="Compact"/>
              <w:jc w:val="left"/>
            </w:pPr>
            <w:r>
              <w:t xml:space="preserve">Individual and group psychotherapy with movement</w:t>
            </w:r>
          </w:p>
        </w:tc>
        <w:tc>
          <w:tcPr/>
          <w:p>
            <w:pPr>
              <w:pStyle w:val="Compact"/>
              <w:jc w:val="left"/>
            </w:pPr>
            <w:r>
              <w:t xml:space="preserve">R-DMT / BC-DMT; master’s required</w:t>
            </w:r>
            <w:r>
              <w:t xml:space="preserve"> </w:t>
            </w:r>
            <w:fldSimple w:instr="NOTEREF _Ref_Footnote_86 \h \f">
              <w:r>
                <w:rPr>
                  <w:vertAlign w:val="superscript"/>
                </w:rPr>
                <w:t>86</w:t>
              </w:r>
            </w:fldSimple>
          </w:p>
        </w:tc>
        <w:tc>
          <w:tcPr/>
          <w:p>
            <w:pPr>
              <w:pStyle w:val="Compact"/>
              <w:jc w:val="left"/>
            </w:pPr>
            <w:r>
              <w:t xml:space="preserve">Clinical psychotherapy</w:t>
            </w:r>
          </w:p>
        </w:tc>
        <w:tc>
          <w:tcPr/>
          <w:p>
            <w:pPr>
              <w:pStyle w:val="Compact"/>
              <w:jc w:val="left"/>
            </w:pPr>
            <w:r>
              <w:t xml:space="preserve">Kinesthetic empathy, nonverbal processing, Laban Movement Analysis</w:t>
            </w:r>
            <w:r>
              <w:t xml:space="preserve"> </w:t>
            </w:r>
            <w:fldSimple w:instr="NOTEREF _Ref_Footnote_12 \h \f">
              <w:r>
                <w:rPr>
                  <w:vertAlign w:val="superscript"/>
                </w:rPr>
                <w:t>12</w:t>
              </w:r>
            </w:fldSimple>
          </w:p>
        </w:tc>
      </w:tr>
      <w:tr>
        <w:tc>
          <w:tcPr/>
          <w:p>
            <w:pPr>
              <w:pStyle w:val="Compact"/>
              <w:jc w:val="left"/>
            </w:pPr>
            <w:r>
              <w:t xml:space="preserve">Yoga Therapy</w:t>
            </w:r>
          </w:p>
        </w:tc>
        <w:tc>
          <w:tcPr/>
          <w:p>
            <w:pPr>
              <w:pStyle w:val="Compact"/>
              <w:jc w:val="left"/>
            </w:pPr>
            <w:r>
              <w:t xml:space="preserve">IAYT (governing body)</w:t>
            </w:r>
          </w:p>
        </w:tc>
        <w:tc>
          <w:tcPr/>
          <w:p>
            <w:pPr>
              <w:pStyle w:val="Compact"/>
              <w:jc w:val="left"/>
            </w:pPr>
            <w:r>
              <w:t xml:space="preserve">Individual therapeutic yoga sessions</w:t>
            </w:r>
          </w:p>
        </w:tc>
        <w:tc>
          <w:tcPr/>
          <w:p>
            <w:pPr>
              <w:pStyle w:val="Compact"/>
              <w:jc w:val="left"/>
            </w:pPr>
            <w:r>
              <w:t xml:space="preserve">C-IAYT; 875+ hours</w:t>
            </w:r>
            <w:r>
              <w:t xml:space="preserve"> </w:t>
            </w:r>
            <w:fldSimple w:instr="NOTEREF _Ref_Footnote_93 \h \f">
              <w:r>
                <w:rPr>
                  <w:vertAlign w:val="superscript"/>
                </w:rPr>
                <w:t>93</w:t>
              </w:r>
            </w:fldSimple>
          </w:p>
        </w:tc>
        <w:tc>
          <w:tcPr/>
          <w:p>
            <w:pPr>
              <w:pStyle w:val="Compact"/>
              <w:jc w:val="left"/>
            </w:pPr>
            <w:r>
              <w:t xml:space="preserve">Clinical allied health</w:t>
            </w:r>
          </w:p>
        </w:tc>
        <w:tc>
          <w:tcPr/>
          <w:p>
            <w:pPr>
              <w:pStyle w:val="Compact"/>
              <w:jc w:val="left"/>
            </w:pPr>
            <w:r>
              <w:t xml:space="preserve">Breath regulation, interoception, postural integration</w:t>
            </w:r>
            <w:r>
              <w:t xml:space="preserve"> </w:t>
            </w:r>
            <w:fldSimple w:instr="NOTEREF _Ref_Footnote_81 \h \f">
              <w:r>
                <w:rPr>
                  <w:vertAlign w:val="superscript"/>
                </w:rPr>
                <w:t>81</w:t>
              </w:r>
            </w:fldSimple>
          </w:p>
        </w:tc>
      </w:tr>
      <w:tr>
        <w:tc>
          <w:tcPr/>
          <w:p>
            <w:pPr>
              <w:pStyle w:val="Compact"/>
              <w:jc w:val="left"/>
            </w:pPr>
            <w:r>
              <w:t xml:space="preserve">Feldenkrais Method</w:t>
            </w:r>
          </w:p>
        </w:tc>
        <w:tc>
          <w:tcPr/>
          <w:p>
            <w:pPr>
              <w:pStyle w:val="Compact"/>
              <w:jc w:val="left"/>
            </w:pPr>
            <w:r>
              <w:t xml:space="preserve">Moshe Feldenkrais (1950s)</w:t>
            </w:r>
            <w:r>
              <w:t xml:space="preserve"> </w:t>
            </w:r>
            <w:fldSimple w:instr="NOTEREF _Ref_Footnote_96 \h \f">
              <w:r>
                <w:rPr>
                  <w:vertAlign w:val="superscript"/>
                </w:rPr>
                <w:t>96</w:t>
              </w:r>
            </w:fldSimple>
          </w:p>
        </w:tc>
        <w:tc>
          <w:tcPr/>
          <w:p>
            <w:pPr>
              <w:pStyle w:val="Compact"/>
              <w:jc w:val="left"/>
            </w:pPr>
            <w:r>
              <w:t xml:space="preserve">ATM (group) and FI (individual touch)</w:t>
            </w:r>
          </w:p>
        </w:tc>
        <w:tc>
          <w:tcPr/>
          <w:p>
            <w:pPr>
              <w:pStyle w:val="Compact"/>
              <w:jc w:val="left"/>
            </w:pPr>
            <w:r>
              <w:t xml:space="preserve">Guild Certified; 700–800 hours</w:t>
            </w:r>
            <w:r>
              <w:t xml:space="preserve"> </w:t>
            </w:r>
            <w:fldSimple w:instr="NOTEREF _Ref_Footnote_96 \h \f">
              <w:r>
                <w:rPr>
                  <w:vertAlign w:val="superscript"/>
                </w:rPr>
                <w:t>96</w:t>
              </w:r>
            </w:fldSimple>
          </w:p>
        </w:tc>
        <w:tc>
          <w:tcPr/>
          <w:p>
            <w:pPr>
              <w:pStyle w:val="Compact"/>
              <w:jc w:val="left"/>
            </w:pPr>
            <w:r>
              <w:t xml:space="preserve">Educational / somatic</w:t>
            </w:r>
          </w:p>
        </w:tc>
        <w:tc>
          <w:tcPr/>
          <w:p>
            <w:pPr>
              <w:pStyle w:val="Compact"/>
              <w:jc w:val="left"/>
            </w:pPr>
            <w:r>
              <w:t xml:space="preserve">Neuromuscular re-education, proprioceptive awareness</w:t>
            </w:r>
            <w:r>
              <w:t xml:space="preserve"> </w:t>
            </w:r>
            <w:fldSimple w:instr="NOTEREF _Ref_Footnote_48 \h \f">
              <w:r>
                <w:rPr>
                  <w:vertAlign w:val="superscript"/>
                </w:rPr>
                <w:t>48</w:t>
              </w:r>
            </w:fldSimple>
          </w:p>
        </w:tc>
      </w:tr>
      <w:tr>
        <w:tc>
          <w:tcPr/>
          <w:p>
            <w:pPr>
              <w:pStyle w:val="Compact"/>
              <w:jc w:val="left"/>
            </w:pPr>
            <w:r>
              <w:t xml:space="preserve">Alexander Technique</w:t>
            </w:r>
          </w:p>
        </w:tc>
        <w:tc>
          <w:tcPr/>
          <w:p>
            <w:pPr>
              <w:pStyle w:val="Compact"/>
              <w:jc w:val="left"/>
            </w:pPr>
            <w:r>
              <w:t xml:space="preserve">F.M. Alexander (1890s)</w:t>
            </w:r>
            <w:r>
              <w:t xml:space="preserve"> </w:t>
            </w:r>
            <w:fldSimple w:instr="NOTEREF _Ref_Footnote_97 \h \f">
              <w:r>
                <w:rPr>
                  <w:vertAlign w:val="superscript"/>
                </w:rPr>
                <w:t>97</w:t>
              </w:r>
            </w:fldSimple>
          </w:p>
        </w:tc>
        <w:tc>
          <w:tcPr/>
          <w:p>
            <w:pPr>
              <w:pStyle w:val="Compact"/>
              <w:jc w:val="left"/>
            </w:pPr>
            <w:r>
              <w:t xml:space="preserve">Individual hands-on instruction</w:t>
            </w:r>
          </w:p>
        </w:tc>
        <w:tc>
          <w:tcPr/>
          <w:p>
            <w:pPr>
              <w:pStyle w:val="Compact"/>
              <w:jc w:val="left"/>
            </w:pPr>
            <w:r>
              <w:t xml:space="preserve">AmSAT; 1,620 hours</w:t>
            </w:r>
            <w:r>
              <w:t xml:space="preserve"> </w:t>
            </w:r>
            <w:fldSimple w:instr="NOTEREF _Ref_Footnote_98 \h \f">
              <w:r>
                <w:rPr>
                  <w:vertAlign w:val="superscript"/>
                </w:rPr>
                <w:t>98</w:t>
              </w:r>
            </w:fldSimple>
          </w:p>
        </w:tc>
        <w:tc>
          <w:tcPr/>
          <w:p>
            <w:pPr>
              <w:pStyle w:val="Compact"/>
              <w:jc w:val="left"/>
            </w:pPr>
            <w:r>
              <w:t xml:space="preserve">Educational</w:t>
            </w:r>
          </w:p>
        </w:tc>
        <w:tc>
          <w:tcPr/>
          <w:p>
            <w:pPr>
              <w:pStyle w:val="Compact"/>
              <w:jc w:val="left"/>
            </w:pPr>
            <w:r>
              <w:t xml:space="preserve">Psychophysical re-education, inhibition of habit</w:t>
            </w:r>
            <w:r>
              <w:t xml:space="preserve"> </w:t>
            </w:r>
            <w:fldSimple w:instr="NOTEREF _Ref_Footnote_97 \h \f">
              <w:r>
                <w:rPr>
                  <w:vertAlign w:val="superscript"/>
                </w:rPr>
                <w:t>97</w:t>
              </w:r>
            </w:fldSimple>
          </w:p>
        </w:tc>
      </w:tr>
      <w:tr>
        <w:tc>
          <w:tcPr/>
          <w:p>
            <w:pPr>
              <w:pStyle w:val="Compact"/>
              <w:jc w:val="left"/>
            </w:pPr>
            <w:r>
              <w:t xml:space="preserve">5Rhythms</w:t>
            </w:r>
          </w:p>
        </w:tc>
        <w:tc>
          <w:tcPr/>
          <w:p>
            <w:pPr>
              <w:pStyle w:val="Compact"/>
              <w:jc w:val="left"/>
            </w:pPr>
            <w:r>
              <w:t xml:space="preserve">Gabrielle Roth (1970s)</w:t>
            </w:r>
            <w:r>
              <w:t xml:space="preserve"> </w:t>
            </w:r>
            <w:fldSimple w:instr="NOTEREF _Ref_Footnote_50 \h \f">
              <w:r>
                <w:rPr>
                  <w:vertAlign w:val="superscript"/>
                </w:rPr>
                <w:t>50</w:t>
              </w:r>
            </w:fldSimple>
          </w:p>
        </w:tc>
        <w:tc>
          <w:tcPr/>
          <w:p>
            <w:pPr>
              <w:pStyle w:val="Compact"/>
              <w:jc w:val="left"/>
            </w:pPr>
            <w:r>
              <w:t xml:space="preserve">Group movement classes / Waves</w:t>
            </w:r>
          </w:p>
        </w:tc>
        <w:tc>
          <w:tcPr/>
          <w:p>
            <w:pPr>
              <w:pStyle w:val="Compact"/>
              <w:jc w:val="left"/>
            </w:pPr>
            <w:r>
              <w:t xml:space="preserve">5RTA teacher certification; ~$11,300</w:t>
            </w:r>
            <w:r>
              <w:t xml:space="preserve"> </w:t>
            </w:r>
            <w:fldSimple w:instr="NOTEREF _Ref_Footnote_101 \h \f">
              <w:r>
                <w:rPr>
                  <w:vertAlign w:val="superscript"/>
                </w:rPr>
                <w:t>101</w:t>
              </w:r>
            </w:fldSimple>
          </w:p>
        </w:tc>
        <w:tc>
          <w:tcPr/>
          <w:p>
            <w:pPr>
              <w:pStyle w:val="Compact"/>
              <w:jc w:val="left"/>
            </w:pPr>
            <w:r>
              <w:t xml:space="preserve">Experiential / personal growth</w:t>
            </w:r>
          </w:p>
        </w:tc>
        <w:tc>
          <w:tcPr/>
          <w:p>
            <w:pPr>
              <w:pStyle w:val="Compact"/>
              <w:jc w:val="left"/>
            </w:pPr>
            <w:r>
              <w:t xml:space="preserve">Rhythmic progression through emotional states</w:t>
            </w:r>
            <w:r>
              <w:t xml:space="preserve"> </w:t>
            </w:r>
            <w:fldSimple w:instr="NOTEREF _Ref_Footnote_100 \h \f">
              <w:r>
                <w:rPr>
                  <w:vertAlign w:val="superscript"/>
                </w:rPr>
                <w:t>100</w:t>
              </w:r>
            </w:fldSimple>
          </w:p>
        </w:tc>
      </w:tr>
      <w:tr>
        <w:tc>
          <w:tcPr/>
          <w:p>
            <w:pPr>
              <w:pStyle w:val="Compact"/>
              <w:jc w:val="left"/>
            </w:pPr>
            <w:r>
              <w:t xml:space="preserve">Authentic Movement</w:t>
            </w:r>
          </w:p>
        </w:tc>
        <w:tc>
          <w:tcPr/>
          <w:p>
            <w:pPr>
              <w:pStyle w:val="Compact"/>
              <w:jc w:val="left"/>
            </w:pPr>
            <w:r>
              <w:t xml:space="preserve">Mary Whitehouse (1960s)</w:t>
            </w:r>
            <w:r>
              <w:t xml:space="preserve"> </w:t>
            </w:r>
            <w:fldSimple w:instr="NOTEREF _Ref_Footnote_102 \h \f">
              <w:r>
                <w:rPr>
                  <w:vertAlign w:val="superscript"/>
                </w:rPr>
                <w:t>102</w:t>
              </w:r>
            </w:fldSimple>
          </w:p>
        </w:tc>
        <w:tc>
          <w:tcPr/>
          <w:p>
            <w:pPr>
              <w:pStyle w:val="Compact"/>
              <w:jc w:val="left"/>
            </w:pPr>
            <w:r>
              <w:t xml:space="preserve">Mover-Witness dyad or group</w:t>
            </w:r>
          </w:p>
        </w:tc>
        <w:tc>
          <w:tcPr/>
          <w:p>
            <w:pPr>
              <w:pStyle w:val="Compact"/>
              <w:jc w:val="left"/>
            </w:pPr>
            <w:r>
              <w:t xml:space="preserve">Workshop-based + supervised practice</w:t>
            </w:r>
            <w:r>
              <w:t xml:space="preserve"> </w:t>
            </w:r>
            <w:r>
              <w:rPr>
                <w:vertAlign w:val="superscript"/>
              </w:rPr>
              <w:footnoteReference w:id="109"/>
            </w:r>
          </w:p>
        </w:tc>
        <w:tc>
          <w:tcPr/>
          <w:p>
            <w:pPr>
              <w:pStyle w:val="Compact"/>
              <w:jc w:val="left"/>
            </w:pPr>
            <w:r>
              <w:t xml:space="preserve">Both clinical and experiential</w:t>
            </w:r>
          </w:p>
        </w:tc>
        <w:tc>
          <w:tcPr/>
          <w:p>
            <w:pPr>
              <w:pStyle w:val="Compact"/>
              <w:jc w:val="left"/>
            </w:pPr>
            <w:r>
              <w:t xml:space="preserve">Active imagination through movement</w:t>
            </w:r>
            <w:r>
              <w:t xml:space="preserve"> </w:t>
            </w:r>
            <w:fldSimple w:instr="NOTEREF _Ref_Footnote_103 \h \f">
              <w:r>
                <w:rPr>
                  <w:vertAlign w:val="superscript"/>
                </w:rPr>
                <w:t>103</w:t>
              </w:r>
            </w:fldSimple>
          </w:p>
        </w:tc>
      </w:tr>
      <w:tr>
        <w:tc>
          <w:tcPr/>
          <w:p>
            <w:pPr>
              <w:pStyle w:val="Compact"/>
              <w:jc w:val="left"/>
            </w:pPr>
            <w:r>
              <w:t xml:space="preserve">Body-Mind Centering</w:t>
            </w:r>
          </w:p>
        </w:tc>
        <w:tc>
          <w:tcPr/>
          <w:p>
            <w:pPr>
              <w:pStyle w:val="Compact"/>
              <w:jc w:val="left"/>
            </w:pPr>
            <w:r>
              <w:t xml:space="preserve">Bonnie Bainbridge Cohen (1973)</w:t>
            </w:r>
            <w:r>
              <w:t xml:space="preserve"> </w:t>
            </w:r>
            <w:fldSimple w:instr="NOTEREF _Ref_Footnote_104 \h \f">
              <w:r>
                <w:rPr>
                  <w:vertAlign w:val="superscript"/>
                </w:rPr>
                <w:t>104</w:t>
              </w:r>
            </w:fldSimple>
          </w:p>
        </w:tc>
        <w:tc>
          <w:tcPr/>
          <w:p>
            <w:pPr>
              <w:pStyle w:val="Compact"/>
              <w:jc w:val="left"/>
            </w:pPr>
            <w:r>
              <w:t xml:space="preserve">Individual and group experiential</w:t>
            </w:r>
          </w:p>
        </w:tc>
        <w:tc>
          <w:tcPr/>
          <w:p>
            <w:pPr>
              <w:pStyle w:val="Compact"/>
              <w:jc w:val="left"/>
            </w:pPr>
            <w:r>
              <w:t xml:space="preserve">SME / BMC Practitioner; multi-year</w:t>
            </w:r>
            <w:r>
              <w:t xml:space="preserve"> </w:t>
            </w:r>
            <w:fldSimple w:instr="NOTEREF _Ref_Footnote_104 \h \f">
              <w:r>
                <w:rPr>
                  <w:vertAlign w:val="superscript"/>
                </w:rPr>
                <w:t>104</w:t>
              </w:r>
            </w:fldSimple>
          </w:p>
        </w:tc>
        <w:tc>
          <w:tcPr/>
          <w:p>
            <w:pPr>
              <w:pStyle w:val="Compact"/>
              <w:jc w:val="left"/>
            </w:pPr>
            <w:r>
              <w:t xml:space="preserve">Experiential / educational</w:t>
            </w:r>
          </w:p>
        </w:tc>
        <w:tc>
          <w:tcPr/>
          <w:p>
            <w:pPr>
              <w:pStyle w:val="Compact"/>
              <w:jc w:val="left"/>
            </w:pPr>
            <w:r>
              <w:t xml:space="preserve">Embodied anatomy, developmental movement</w:t>
            </w:r>
            <w:r>
              <w:t xml:space="preserve"> </w:t>
            </w:r>
            <w:fldSimple w:instr="NOTEREF _Ref_Footnote_104 \h \f">
              <w:r>
                <w:rPr>
                  <w:vertAlign w:val="superscript"/>
                </w:rPr>
                <w:t>104</w:t>
              </w:r>
            </w:fldSimple>
          </w:p>
        </w:tc>
      </w:tr>
      <w:tr>
        <w:tc>
          <w:tcPr/>
          <w:p>
            <w:pPr>
              <w:pStyle w:val="Compact"/>
              <w:jc w:val="left"/>
            </w:pPr>
            <w:r>
              <w:t xml:space="preserve">Continuum Movement</w:t>
            </w:r>
          </w:p>
        </w:tc>
        <w:tc>
          <w:tcPr/>
          <w:p>
            <w:pPr>
              <w:pStyle w:val="Compact"/>
              <w:jc w:val="left"/>
            </w:pPr>
            <w:r>
              <w:t xml:space="preserve">Emilie Conrad (1960s)</w:t>
            </w:r>
            <w:r>
              <w:t xml:space="preserve"> </w:t>
            </w:r>
            <w:fldSimple w:instr="NOTEREF _Ref_Footnote_106 \h \f">
              <w:r>
                <w:rPr>
                  <w:vertAlign w:val="superscript"/>
                </w:rPr>
                <w:t>106</w:t>
              </w:r>
            </w:fldSimple>
          </w:p>
        </w:tc>
        <w:tc>
          <w:tcPr/>
          <w:p>
            <w:pPr>
              <w:pStyle w:val="Compact"/>
              <w:jc w:val="left"/>
            </w:pPr>
            <w:r>
              <w:t xml:space="preserve">Group workshops with breath, sound, movement</w:t>
            </w:r>
          </w:p>
        </w:tc>
        <w:tc>
          <w:tcPr/>
          <w:p>
            <w:pPr>
              <w:pStyle w:val="Compact"/>
              <w:jc w:val="left"/>
            </w:pPr>
            <w:r>
              <w:t xml:space="preserve">Teacher-authorized; workshop-based</w:t>
            </w:r>
            <w:r>
              <w:t xml:space="preserve"> </w:t>
            </w:r>
            <w:fldSimple w:instr="NOTEREF _Ref_Footnote_107 \h \f">
              <w:r>
                <w:rPr>
                  <w:vertAlign w:val="superscript"/>
                </w:rPr>
                <w:t>107</w:t>
              </w:r>
            </w:fldSimple>
          </w:p>
        </w:tc>
        <w:tc>
          <w:tcPr/>
          <w:p>
            <w:pPr>
              <w:pStyle w:val="Compact"/>
              <w:jc w:val="left"/>
            </w:pPr>
            <w:r>
              <w:t xml:space="preserve">Experiential / therapeutic</w:t>
            </w:r>
          </w:p>
        </w:tc>
        <w:tc>
          <w:tcPr/>
          <w:p>
            <w:pPr>
              <w:pStyle w:val="Compact"/>
              <w:jc w:val="left"/>
            </w:pPr>
            <w:r>
              <w:t xml:space="preserve">Fluid system activation, neural restoration</w:t>
            </w:r>
            <w:r>
              <w:t xml:space="preserve"> </w:t>
            </w:r>
            <w:fldSimple w:instr="NOTEREF _Ref_Footnote_106 \h \f">
              <w:r>
                <w:rPr>
                  <w:vertAlign w:val="superscript"/>
                </w:rPr>
                <w:t>106</w:t>
              </w:r>
            </w:fldSimple>
          </w:p>
        </w:tc>
      </w:tr>
    </w:tbl>
    <w:p>
      <w:pPr>
        <w:pStyle w:val="BodyText"/>
      </w:pPr>
      <w:r>
        <w:t xml:space="preserve">This comparison reveals a critical distinction for platform design. DMT is the only movement-based therapy requiring graduate-level clinical training, board certification, and a regulated mental health framework</w:t>
      </w:r>
      <w:r>
        <w:t xml:space="preserve"> </w:t>
      </w:r>
      <w:fldSimple w:instr="NOTEREF _Ref_Footnote_85 \h \f">
        <w:r>
          <w:rPr>
            <w:vertAlign w:val="superscript"/>
          </w:rPr>
          <w:t>85</w:t>
        </w:r>
      </w:fldSimple>
      <w:r>
        <w:t xml:space="preserve">. Adjacent practices — 5Rhythms, Authentic Movement, BMC, Continuum — offer rich movement vocabularies but lack clinical assessment, diagnosis, and treatment planning capacity. For a platform serving a dance/movement-based therapist, the integration challenge is layering these complementary contributions: DMT provides the clinical container; 5Rhythms offers structured movement vocabulary; Authentic Movement deepens unconscious exploration; BMC enriches anatomical embodiment. A practitioner profile might list BC-DMT as the primary credential while drawing on three or four adjacent disciplines to differentiate their offering.</w:t>
      </w:r>
    </w:p>
    <w:bookmarkEnd w:id="40"/>
    <w:bookmarkEnd w:id="41"/>
    <w:bookmarkStart w:id="45" w:name="integration-patterns"/>
    <w:p>
      <w:pPr>
        <w:pStyle w:val="Heading2"/>
      </w:pPr>
      <w:r>
        <w:t xml:space="preserve">1.4 Integration Patterns</w:t>
      </w:r>
    </w:p>
    <w:bookmarkStart w:id="42" w:name="dual-certification-trends"/>
    <w:p>
      <w:pPr>
        <w:pStyle w:val="Heading3"/>
      </w:pPr>
      <w:r>
        <w:t xml:space="preserve">1.4.1 Dual-Certification Trends</w:t>
      </w:r>
    </w:p>
    <w:p>
      <w:pPr>
        <w:pStyle w:val="FirstParagraph"/>
      </w:pPr>
      <w:r>
        <w:t xml:space="preserve">The contemporary somatic therapy field is characterized by extensive cross-training. The most common dual-certification patterns include BC-DMT + Somatic Experiencing (SEP), BC-DMT + Sensorimotor Psychotherapy, BC-DMT + EMDR, and Sensorimotor Psychotherapy + Dance/Movement Therapy</w:t>
      </w:r>
      <w:r>
        <w:t xml:space="preserve"> </w:t>
      </w:r>
      <w:r>
        <w:rPr>
          <w:vertAlign w:val="superscript"/>
        </w:rPr>
        <w:footnoteReference w:id="110"/>
      </w:r>
      <w:r>
        <w:t xml:space="preserve"> </w:t>
      </w:r>
      <w:r>
        <w:rPr>
          <w:vertAlign w:val="superscript"/>
        </w:rPr>
        <w:footnoteReference w:id="111"/>
      </w:r>
      <w:r>
        <w:t xml:space="preserve"> </w:t>
      </w:r>
      <w:r>
        <w:rPr>
          <w:vertAlign w:val="superscript"/>
        </w:rPr>
        <w:footnoteReference w:id="112"/>
      </w:r>
      <w:r>
        <w:t xml:space="preserve">. An exemplary practitioner such as Katrina Curry holds credentials spanning Hakomi, Art Therapy, Sensorimotor Psychotherapy, yoga, Feldenkrais, Body-Mind Centering, Authentic Movement, Laban Movement Analysis, and Bartenieff Fundamentals — a</w:t>
      </w:r>
      <w:r>
        <w:t xml:space="preserve"> </w:t>
      </w:r>
      <w:r>
        <w:t xml:space="preserve">“</w:t>
      </w:r>
      <w:r>
        <w:t xml:space="preserve">stack</w:t>
      </w:r>
      <w:r>
        <w:t xml:space="preserve">”</w:t>
      </w:r>
      <w:r>
        <w:t xml:space="preserve"> </w:t>
      </w:r>
      <w:r>
        <w:t xml:space="preserve">spanning clinical licenses, somatic trauma modalities, and movement disciplines</w:t>
      </w:r>
      <w:r>
        <w:t xml:space="preserve"> </w:t>
      </w:r>
      <w:fldSimple w:instr="NOTEREF _Ref_Footnote_105 \h \f">
        <w:r>
          <w:rPr>
            <w:vertAlign w:val="superscript"/>
          </w:rPr>
          <w:t>105</w:t>
        </w:r>
      </w:fldSimple>
      <w:r>
        <w:t xml:space="preserve">.</w:t>
      </w:r>
    </w:p>
    <w:p>
      <w:pPr>
        <w:pStyle w:val="BodyText"/>
      </w:pPr>
      <w:r>
        <w:t xml:space="preserve">For a DMT-specializing therapist, the strategic certification trajectory typically proceeds in tiers: foundational credentials (master’s in DMT → R-DMT → BC-DMT), trauma specialization (SEP or SP certification, 3+ years), additional processing modalities (EMDR or IFS), and movement depth (BMC, 5Rhythms, or Continuum study). Naropa University’s Somatic Counseling MA with Dance/Movement Theories concentration exemplifies institutional support for this integration, producing graduates eligible for R-DMT credentialing while training in contemplative clinical counseling</w:t>
      </w:r>
      <w:r>
        <w:t xml:space="preserve"> </w:t>
      </w:r>
      <w:fldSimple w:instr="NOTEREF _Ref_Footnote_88 \h \f">
        <w:r>
          <w:rPr>
            <w:vertAlign w:val="superscript"/>
          </w:rPr>
          <w:t>88</w:t>
        </w:r>
      </w:fldSimple>
      <w:r>
        <w:t xml:space="preserve">.</w:t>
      </w:r>
    </w:p>
    <w:bookmarkEnd w:id="42"/>
    <w:bookmarkStart w:id="43" w:name="session-integration"/>
    <w:p>
      <w:pPr>
        <w:pStyle w:val="Heading3"/>
      </w:pPr>
      <w:r>
        <w:t xml:space="preserve">1.4.2 Session Integration</w:t>
      </w:r>
    </w:p>
    <w:p>
      <w:pPr>
        <w:pStyle w:val="FirstParagraph"/>
      </w:pPr>
      <w:r>
        <w:t xml:space="preserve">Practitioners combine modalities through structured layering. The SE-DMT integration follows a predictable arc: sessions begin with SE-based grounding and orientation to establish nervous system regulation, transition to DMT-based movement exploration when the autonomic state permits, and return to SE-based tracking after movement experiences</w:t>
      </w:r>
      <w:r>
        <w:t xml:space="preserve"> </w:t>
      </w:r>
      <w:fldSimple w:instr="NOTEREF _Ref_Footnote_112 \h \f">
        <w:r>
          <w:rPr>
            <w:vertAlign w:val="superscript"/>
          </w:rPr>
          <w:t>112</w:t>
        </w:r>
      </w:fldSimple>
      <w:r>
        <w:t xml:space="preserve">. SE contributes the nervous system regulation framework; DMT contributes expressive movement vocabulary for releasing stored trauma; together they address both the regulatory and expressive dimensions of healing</w:t>
      </w:r>
      <w:r>
        <w:t xml:space="preserve"> </w:t>
      </w:r>
      <w:fldSimple w:instr="NOTEREF _Ref_Footnote_112 \h \f">
        <w:r>
          <w:rPr>
            <w:vertAlign w:val="superscript"/>
          </w:rPr>
          <w:t>112</w:t>
        </w:r>
      </w:fldSimple>
      <w:r>
        <w:t xml:space="preserve">.</w:t>
      </w:r>
    </w:p>
    <w:p>
      <w:pPr>
        <w:pStyle w:val="BodyText"/>
      </w:pPr>
      <w:r>
        <w:t xml:space="preserve">An ADTA continuing education course titled</w:t>
      </w:r>
      <w:r>
        <w:t xml:space="preserve"> </w:t>
      </w:r>
      <w:r>
        <w:t xml:space="preserve">“</w:t>
      </w:r>
      <w:r>
        <w:t xml:space="preserve">Listening to the Body: Using Sensorimotor Psychotherapy and Dance/Movement Therapy to Facilitate Change</w:t>
      </w:r>
      <w:r>
        <w:t xml:space="preserve">”</w:t>
      </w:r>
      <w:r>
        <w:t xml:space="preserve"> </w:t>
      </w:r>
      <w:r>
        <w:t xml:space="preserve">explicitly formalizes this integration, teaching that SP</w:t>
      </w:r>
      <w:r>
        <w:t xml:space="preserve"> </w:t>
      </w:r>
      <w:r>
        <w:t xml:space="preserve">“</w:t>
      </w:r>
      <w:r>
        <w:t xml:space="preserve">offers a framework for addressing trauma and attachment issues and provides a lens for understanding these issues that can help dance/movement therapists pace and structure therapeutic work effectively</w:t>
      </w:r>
      <w:r>
        <w:t xml:space="preserve">”</w:t>
      </w:r>
      <w:r>
        <w:t xml:space="preserve"> </w:t>
      </w:r>
      <w:fldSimple w:instr="NOTEREF _Ref_Footnote_111 \h \f">
        <w:r>
          <w:rPr>
            <w:vertAlign w:val="superscript"/>
          </w:rPr>
          <w:t>111</w:t>
        </w:r>
      </w:fldSimple>
      <w:r>
        <w:t xml:space="preserve">. Presenter Annabelle Coote (MA, LMHC, BC-DMT) models the dual-credentialed practitioner who moves fluidly between somatic tracking and movement facilitation within a single session.</w:t>
      </w:r>
    </w:p>
    <w:bookmarkEnd w:id="43"/>
    <w:bookmarkStart w:id="44" w:name="telehealth-compatibility-by-modality"/>
    <w:p>
      <w:pPr>
        <w:pStyle w:val="Heading3"/>
      </w:pPr>
      <w:r>
        <w:t xml:space="preserve">1.4.3 Telehealth Compatibility by Modality</w:t>
      </w:r>
    </w:p>
    <w:p>
      <w:pPr>
        <w:pStyle w:val="FirstParagraph"/>
      </w:pPr>
      <w:r>
        <w:t xml:space="preserve">Virtual delivery feasibility varies substantially across modalities. Somatic Experiencing and Sensorimotor Psychotherapy are both fully deliverable online: through video, therapists observe posture, breath patterns, facial expressions, tone of voice, and subtle autonomic shifts</w:t>
      </w:r>
      <w:r>
        <w:t xml:space="preserve"> </w:t>
      </w:r>
      <w:r>
        <w:rPr>
          <w:vertAlign w:val="superscript"/>
        </w:rPr>
        <w:footnoteReference w:id="113"/>
      </w:r>
      <w:r>
        <w:t xml:space="preserve">. One systematic review found no strong evidence for the superiority of face-to-face over digital delivery for systemic psychotherapy, with some outcomes favoring digital formats</w:t>
      </w:r>
      <w:r>
        <w:t xml:space="preserve"> </w:t>
      </w:r>
      <w:r>
        <w:rPr>
          <w:vertAlign w:val="superscript"/>
        </w:rPr>
        <w:footnoteReference w:id="114"/>
      </w:r>
      <w:r>
        <w:t xml:space="preserve">. Somatic therapy demonstrated effect sizes of 0.94 to 1.26 for PTSD symptom reduction virtually — comparable to in-person outcomes</w:t>
      </w:r>
      <w:r>
        <w:t xml:space="preserve"> </w:t>
      </w:r>
      <w:r>
        <w:rPr>
          <w:vertAlign w:val="superscript"/>
        </w:rPr>
        <w:footnoteReference w:id="115"/>
      </w:r>
      <w:r>
        <w:t xml:space="preserve">.</w:t>
      </w:r>
    </w:p>
    <w:p>
      <w:pPr>
        <w:pStyle w:val="BodyText"/>
      </w:pPr>
      <w:r>
        <w:t xml:space="preserve">Dance/Movement Therapy presents a more complex telehealth profile. Research in</w:t>
      </w:r>
      <w:r>
        <w:t xml:space="preserve"> </w:t>
      </w:r>
      <w:r>
        <w:rPr>
          <w:iCs/>
          <w:i/>
        </w:rPr>
        <w:t xml:space="preserve">Frontiers in Psychology</w:t>
      </w:r>
      <w:r>
        <w:t xml:space="preserve"> </w:t>
      </w:r>
      <w:r>
        <w:t xml:space="preserve">documented successful virtual DMT delivery to school children in high-risk regions using multi-sensory engagement and familiar platforms</w:t>
      </w:r>
      <w:r>
        <w:t xml:space="preserve"> </w:t>
      </w:r>
      <w:r>
        <w:rPr>
          <w:vertAlign w:val="superscript"/>
        </w:rPr>
        <w:footnoteReference w:id="116"/>
      </w:r>
      <w:r>
        <w:t xml:space="preserve">. Individual DMT sessions with seated or limited-range movement translate reasonably to video</w:t>
      </w:r>
      <w:r>
        <w:t xml:space="preserve"> </w:t>
      </w:r>
      <w:r>
        <w:rPr>
          <w:vertAlign w:val="superscript"/>
        </w:rPr>
        <w:footnoteReference w:id="117"/>
      </w:r>
      <w:r>
        <w:t xml:space="preserve">. However, full-body group work requiring spatial exploration, circle formations, and kinesthetic attunement remains constrained by camera framing and spatial limitations</w:t>
      </w:r>
      <w:r>
        <w:t xml:space="preserve"> </w:t>
      </w:r>
      <w:r>
        <w:rPr>
          <w:vertAlign w:val="superscript"/>
        </w:rPr>
        <w:footnoteReference w:id="118"/>
      </w:r>
      <w:r>
        <w:t xml:space="preserve">.</w:t>
      </w:r>
    </w:p>
    <w:p>
      <w:pPr>
        <w:pStyle w:val="BodyText"/>
      </w:pPr>
      <w:r>
        <w:t xml:space="preserve">Techniques that translate well to virtual formats include body scans, breathwork, grounding exercises, guided self-touch, and sensation tracking</w:t>
      </w:r>
      <w:r>
        <w:t xml:space="preserve"> </w:t>
      </w:r>
      <w:r>
        <w:rPr>
          <w:vertAlign w:val="superscript"/>
        </w:rPr>
        <w:footnoteReference w:id="119"/>
      </w:r>
      <w:r>
        <w:t xml:space="preserve">. Techniques that are difficult include therapist-facilitated touch, full-body movement observation, group synchrony, and spatial awareness activities</w:t>
      </w:r>
      <w:r>
        <w:t xml:space="preserve"> </w:t>
      </w:r>
      <w:fldSimple w:instr="NOTEREF _Ref_Footnote_119 \h \f">
        <w:r>
          <w:rPr>
            <w:vertAlign w:val="superscript"/>
          </w:rPr>
          <w:t>119</w:t>
        </w:r>
      </w:fldSimple>
      <w:r>
        <w:t xml:space="preserve">.</w:t>
      </w:r>
    </w:p>
    <w:p>
      <w:pPr>
        <w:pStyle w:val="BodyText"/>
      </w:pPr>
      <w:r>
        <w:t xml:space="preserve">For a platform designed around a dance/movement-based therapist, these constraints point toward a hybrid delivery model: in-person sessions for full-body movement work, supplemented by telehealth check-ins, digital between-session homework, and progress tracking. No existing platform currently supports this hybrid workflow — it represents both a design challenge and a significant differentiation opportunity. Somatic Experiencing and Sensorimotor Psychotherapy sessions can be delivered fully online, providing continuity between in-person movement sessions, while the platform functions as connective tissue linking modalities into a coherent treatment arc.</w:t>
      </w:r>
    </w:p>
    <w:p>
      <w:r>
        <w:pict>
          <v:rect style="width:0;height:1.5pt" o:hralign="center" o:hrstd="t" o:hr="t"/>
        </w:pict>
      </w:r>
    </w:p>
    <w:bookmarkEnd w:id="44"/>
    <w:bookmarkEnd w:id="45"/>
    <w:bookmarkStart w:id="69" w:name="clinical-evidence-base"/>
    <w:p>
      <w:pPr>
        <w:pStyle w:val="Heading2"/>
      </w:pPr>
      <w:r>
        <w:t xml:space="preserve">2. Clinical Evidence Base</w:t>
      </w:r>
    </w:p>
    <w:p>
      <w:pPr>
        <w:pStyle w:val="FirstParagraph"/>
      </w:pPr>
      <w:r>
        <w:t xml:space="preserve">The business case for a somatic therapy platform ultimately rests on one question: does working with the body produce measurable clinical outcomes? This chapter examines the evidence across three domains—trauma and PTSD, depression and anxiety, and the neurobiological mechanisms explaining</w:t>
      </w:r>
      <w:r>
        <w:t xml:space="preserve"> </w:t>
      </w:r>
      <w:r>
        <w:rPr>
          <w:iCs/>
          <w:i/>
        </w:rPr>
        <w:t xml:space="preserve">why</w:t>
      </w:r>
      <w:r>
        <w:t xml:space="preserve"> </w:t>
      </w:r>
      <w:r>
        <w:t xml:space="preserve">somatic approaches work. Every claim is anchored to quantitative data from RCTs, meta-analyses, and systematic reviews. The evidence already demonstrates medium-to-large effect sizes that meet or exceed established interventions.</w:t>
      </w:r>
    </w:p>
    <w:p>
      <w:r>
        <w:pict>
          <v:rect style="width:0;height:1.5pt" o:hralign="center" o:hrstd="t" o:hr="t"/>
        </w:pict>
      </w:r>
    </w:p>
    <w:bookmarkStart w:id="50" w:name="trauma-ptsd-evidence"/>
    <w:p>
      <w:pPr>
        <w:pStyle w:val="Heading3"/>
      </w:pPr>
      <w:r>
        <w:t xml:space="preserve">2.1 Trauma &amp; PTSD Evidence</w:t>
      </w:r>
    </w:p>
    <w:p>
      <w:pPr>
        <w:pStyle w:val="FirstParagraph"/>
      </w:pPr>
      <w:r>
        <w:t xml:space="preserve">Trauma accounts for an estimated 36.7% of the somatic therapy market,[^dim01^] and the evidence supporting body-based trauma interventions has grown substantially over the past decade.</w:t>
      </w:r>
    </w:p>
    <w:bookmarkStart w:id="49" w:name="X0f9a6dae14f1b92ce4d8b0433001dcc1954285a"/>
    <w:p>
      <w:pPr>
        <w:pStyle w:val="Heading4"/>
      </w:pPr>
      <w:r>
        <w:t xml:space="preserve">2.1.1 Somatic Experiencing: Landmark RCT and Scoping Review</w:t>
      </w:r>
    </w:p>
    <w:tbl>
      <w:tblPr>
        <w:tblStyle w:val="Table"/>
        <w:tblW w:type="pct" w:w="5000"/>
        <w:tblLook w:firstRow="1" w:lastRow="0" w:firstColumn="0" w:lastColumn="0" w:noHBand="0" w:noVBand="0" w:val="0020"/>
      </w:tblPr>
      <w:tblGrid>
        <w:gridCol w:w="1208"/>
        <w:gridCol w:w="2953"/>
        <w:gridCol w:w="3758"/>
      </w:tblGrid>
      <w:tr>
        <w:trPr>
          <w:tblHeader w:val="true"/>
        </w:trPr>
        <w:tc>
          <w:tcPr/>
          <w:p>
            <w:pPr>
              <w:pStyle w:val="Compact"/>
              <w:jc w:val="left"/>
            </w:pPr>
            <w:r>
              <w:t xml:space="preserve">The first RCT of Somatic Experiencing (SE) for PTSD, conducted by Brom and colleagues in 2017, randomized 63 participants meeting full DSM-IV-TR criteria to 15 weekly SE sessions or a waitlist control.</w:t>
            </w:r>
            <w:fldSimple w:instr="NOTEREF _Ref_Footnote_12 \h \f">
              <w:r>
                <w:rPr>
                  <w:vertAlign w:val="superscript"/>
                </w:rPr>
                <w:t>12</w:t>
              </w:r>
            </w:fldSimple>
            <w:r>
              <w:t xml:space="preserve">Data collection occurred during active military conflict—two wars (2012, 2014) and ongoing terrorist attacks—with participants experiencing additional traumatic events during treatment.</w:t>
            </w:r>
            <w:fldSimple w:instr="NOTEREF _Ref_Footnote_13 \h \f">
              <w:r>
                <w:rPr>
                  <w:vertAlign w:val="superscript"/>
                </w:rPr>
                <w:t>13</w:t>
              </w:r>
            </w:fldSimple>
            <w:r>
              <w:t xml:space="preserve">Despite these conditions, the intervention group achieved Cohen’s</w:t>
            </w:r>
            <w:r>
              <w:t xml:space="preserve"> </w:t>
            </w:r>
            <w:r>
              <w:rPr>
                <w:iCs/>
                <w:i/>
              </w:rPr>
              <w:t xml:space="preserve">d</w:t>
            </w:r>
            <w:r>
              <w:t xml:space="preserve"> </w:t>
            </w:r>
            <w:r>
              <w:t xml:space="preserve">= 1.26 on the Clinician-Administered PTSD Scale (CAPS), a very large effect size.</w:t>
            </w:r>
            <w:fldSimple w:instr="NOTEREF _Ref_Footnote_91 \h \f">
              <w:r>
                <w:rPr>
                  <w:vertAlign w:val="superscript"/>
                </w:rPr>
                <w:t>91</w:t>
              </w:r>
            </w:fldSimple>
          </w:p>
        </w:tc>
        <w:tc>
          <w:tcPr/>
          <w:p>
            <w:pPr>
              <w:pStyle w:val="Compact"/>
              <w:jc w:val="left"/>
            </w:pPr>
            <w:r>
              <w:t xml:space="preserve">Measure</w:t>
            </w:r>
          </w:p>
        </w:tc>
        <w:tc>
          <w:tcPr/>
          <w:p>
            <w:pPr>
              <w:pStyle w:val="Compact"/>
              <w:jc w:val="left"/>
            </w:pPr>
            <w:r>
              <w:t xml:space="preserve">Cohen’s</w:t>
            </w:r>
            <w:r>
              <w:t xml:space="preserve"> </w:t>
            </w:r>
            <w:r>
              <w:rPr>
                <w:iCs/>
                <w:i/>
              </w:rPr>
              <w:t xml:space="preserve">d</w:t>
            </w:r>
            <w:r>
              <w:t xml:space="preserve"> </w:t>
            </w:r>
            <w:r>
              <w:t xml:space="preserve">(Pre–Post)</w:t>
            </w:r>
          </w:p>
        </w:tc>
      </w:tr>
      <w:tr>
        <w:tc>
          <w:tcPr/>
          <w:p>
            <w:pPr>
              <w:pStyle w:val="Compact"/>
              <w:jc w:val="left"/>
            </w:pPr>
            <w:r>
              <w:t xml:space="preserve">CAPS (PTSD, clinician-rated)</w:t>
            </w:r>
          </w:p>
        </w:tc>
        <w:tc>
          <w:tcPr/>
          <w:p>
            <w:pPr>
              <w:pStyle w:val="Compact"/>
              <w:jc w:val="left"/>
            </w:pPr>
            <w:r>
              <w:rPr>
                <w:bCs/>
                <w:b/>
              </w:rPr>
              <w:t xml:space="preserve">1.26</w:t>
            </w:r>
            <w:r>
              <w:t xml:space="preserve"> </w:t>
            </w:r>
            <w:fldSimple w:instr="NOTEREF _Ref_Footnote_12 \h \f">
              <w:r>
                <w:rPr>
                  <w:vertAlign w:val="superscript"/>
                </w:rPr>
                <w:t>12</w:t>
              </w:r>
            </w:fldSimple>
          </w:p>
        </w:tc>
        <w:tc>
          <w:tcPr/>
          <w:p>
            <w:pPr>
              <w:pStyle w:val="Compact"/>
              <w:jc w:val="left"/>
            </w:pPr>
            <w:r>
              <w:rPr>
                <w:bCs/>
                <w:b/>
              </w:rPr>
              <w:t xml:space="preserve">1.25</w:t>
            </w:r>
            <w:r>
              <w:t xml:space="preserve"> </w:t>
            </w:r>
            <w:fldSimple w:instr="NOTEREF _Ref_Footnote_91 \h \f">
              <w:r>
                <w:rPr>
                  <w:vertAlign w:val="superscript"/>
                </w:rPr>
                <w:t>91</w:t>
              </w:r>
            </w:fldSimple>
          </w:p>
        </w:tc>
      </w:tr>
      <w:tr>
        <w:tc>
          <w:tcPr/>
          <w:p>
            <w:pPr>
              <w:pStyle w:val="Compact"/>
              <w:jc w:val="left"/>
            </w:pPr>
            <w:r>
              <w:t xml:space="preserve">PDS (PTSD, self-report)</w:t>
            </w:r>
          </w:p>
        </w:tc>
        <w:tc>
          <w:tcPr/>
          <w:p>
            <w:pPr>
              <w:pStyle w:val="Compact"/>
              <w:jc w:val="left"/>
            </w:pPr>
            <w:r>
              <w:t xml:space="preserve">1.18</w:t>
            </w:r>
            <w:r>
              <w:t xml:space="preserve"> </w:t>
            </w:r>
            <w:fldSimple w:instr="NOTEREF _Ref_Footnote_91 \h \f">
              <w:r>
                <w:rPr>
                  <w:vertAlign w:val="superscript"/>
                </w:rPr>
                <w:t>91</w:t>
              </w:r>
            </w:fldSimple>
          </w:p>
        </w:tc>
        <w:tc>
          <w:tcPr/>
          <w:p>
            <w:pPr>
              <w:pStyle w:val="Compact"/>
              <w:jc w:val="left"/>
            </w:pPr>
            <w:r>
              <w:t xml:space="preserve">1.13</w:t>
            </w:r>
            <w:r>
              <w:t xml:space="preserve"> </w:t>
            </w:r>
            <w:fldSimple w:instr="NOTEREF _Ref_Footnote_91 \h \f">
              <w:r>
                <w:rPr>
                  <w:vertAlign w:val="superscript"/>
                </w:rPr>
                <w:t>91</w:t>
              </w:r>
            </w:fldSimple>
          </w:p>
        </w:tc>
      </w:tr>
      <w:tr>
        <w:tc>
          <w:tcPr/>
          <w:p>
            <w:pPr>
              <w:pStyle w:val="Compact"/>
              <w:jc w:val="left"/>
            </w:pPr>
            <w:r>
              <w:t xml:space="preserve">CES-D (Depression)</w:t>
            </w:r>
          </w:p>
        </w:tc>
        <w:tc>
          <w:tcPr/>
          <w:p>
            <w:pPr>
              <w:pStyle w:val="Compact"/>
              <w:jc w:val="left"/>
            </w:pPr>
            <w:r>
              <w:t xml:space="preserve">1.08</w:t>
            </w:r>
            <w:r>
              <w:t xml:space="preserve"> </w:t>
            </w:r>
            <w:fldSimple w:instr="NOTEREF _Ref_Footnote_91 \h \f">
              <w:r>
                <w:rPr>
                  <w:vertAlign w:val="superscript"/>
                </w:rPr>
                <w:t>91</w:t>
              </w:r>
            </w:fldSimple>
          </w:p>
        </w:tc>
        <w:tc>
          <w:tcPr/>
          <w:p>
            <w:pPr>
              <w:pStyle w:val="Compact"/>
              <w:jc w:val="left"/>
            </w:pPr>
            <w:r>
              <w:t xml:space="preserve">1.00</w:t>
            </w:r>
            <w:r>
              <w:t xml:space="preserve"> </w:t>
            </w:r>
            <w:fldSimple w:instr="NOTEREF _Ref_Footnote_91 \h \f">
              <w:r>
                <w:rPr>
                  <w:vertAlign w:val="superscript"/>
                </w:rPr>
                <w:t>91</w:t>
              </w:r>
            </w:fldSimple>
          </w:p>
        </w:tc>
      </w:tr>
    </w:tbl>
    <w:p>
      <w:pPr>
        <w:pStyle w:val="BodyText"/>
      </w:pPr>
      <w:r>
        <w:t xml:space="preserve">Clinically, 44.1% of SE participants lost their PTSD diagnosis, maintained at follow-up, with an NNT fewer than four—placing SE within the range of established effective therapies such as trauma-focused CBT.</w:t>
      </w:r>
      <w:fldSimple w:instr="NOTEREF _Ref_Footnote_13 \h \f">
        <w:r>
          <w:rPr>
            <w:vertAlign w:val="superscript"/>
          </w:rPr>
          <w:t>13</w:t>
        </w:r>
      </w:fldSimple>
      <w:r>
        <w:t xml:space="preserve">A subsequent scoping review of 16 SE publications (Kuhfuss et al., 2021) confirmed positive effects on PTSD-related outcomes, affective symptoms, and well-being, with effect sizes ranging from medium to large across all included studies.</w:t>
      </w:r>
      <w:fldSimple w:instr="NOTEREF _Ref_Footnote_51 \h \f">
        <w:r>
          <w:rPr>
            <w:vertAlign w:val="superscript"/>
          </w:rPr>
          <w:t>51</w:t>
        </w:r>
      </w:fldSimple>
      <w:r>
        <w:t xml:space="preserve">#### 2.1.2 Trauma-Sensitive Yoga: van der Kolk 2014 and Extended Protocols</w:t>
      </w:r>
    </w:p>
    <w:p>
      <w:pPr>
        <w:pStyle w:val="BodyText"/>
      </w:pPr>
      <w:r>
        <w:t xml:space="preserve">Bessel van der Kolk’s 2014 RCT established Trauma-Centered Trauma-Sensitive Yoga (TCTSY) as the first yoga-based intervention with evidence from a controlled trial for chronic, treatment-resistant PTSD.</w:t>
      </w:r>
      <w:fldSimple w:instr="NOTEREF _Ref_Footnote_14 \h \f">
        <w:r>
          <w:rPr>
            <w:vertAlign w:val="superscript"/>
          </w:rPr>
          <w:t>14</w:t>
        </w:r>
      </w:fldSimple>
      <w:r>
        <w:t xml:space="preserve">Sixty-four women with PTSD were randomized to 10 weekly yoga sessions or supportive women’s health education. The yoga group demonstrated a large effect size (</w:t>
      </w:r>
      <w:r>
        <w:rPr>
          <w:iCs/>
          <w:i/>
        </w:rPr>
        <w:t xml:space="preserve">d</w:t>
      </w:r>
      <w:r>
        <w:t xml:space="preserve"> </w:t>
      </w:r>
      <w:r>
        <w:t xml:space="preserve">= 1.07) on CAPS scores, with 52% no longer meeting PTSD criteria versus only 21% of controls (</w:t>
      </w:r>
      <m:oMath>
        <m:sSup>
          <m:e>
            <m:r>
              <m:t>χ</m:t>
            </m:r>
          </m:e>
          <m:sup>
            <m:r>
              <m:t>2</m:t>
            </m:r>
          </m:sup>
        </m:sSup>
      </m:oMath>
      <w:r>
        <w:t xml:space="preserve"> </w:t>
      </w:r>
      <w:r>
        <w:t xml:space="preserve">= 6.17,</w:t>
      </w:r>
      <w:r>
        <w:t xml:space="preserve"> </w:t>
      </w:r>
      <w:r>
        <w:rPr>
          <w:iCs/>
          <w:i/>
        </w:rPr>
        <w:t xml:space="preserve">p</w:t>
      </w:r>
      <w:r>
        <w:t xml:space="preserve"> </w:t>
      </w:r>
      <w:r>
        <w:t xml:space="preserve">= .013).</w:t>
      </w:r>
      <w:fldSimple w:instr="NOTEREF _Ref_Footnote_14 \h \f">
        <w:r>
          <w:rPr>
            <w:vertAlign w:val="superscript"/>
          </w:rPr>
          <w:t>14</w:t>
        </w:r>
      </w:fldSimple>
      <w:r>
        <w:t xml:space="preserve">Critically, the yoga group showed sustained linear improvement throughout the 10 weeks, while the control group relapsed after initial gains—suggesting that TCTSY produces cumulative rather than temporary benefits.</w:t>
      </w:r>
      <w:fldSimple w:instr="NOTEREF _Ref_Footnote_14 \h \f">
        <w:r>
          <w:rPr>
            <w:vertAlign w:val="superscript"/>
          </w:rPr>
          <w:t>14</w:t>
        </w:r>
      </w:fldSimple>
      <w:r>
        <w:t xml:space="preserve">The importance of treatment duration emerged from Price’s 2007 extended-protocol study, which doubled the intervention to 20 weeks.</w:t>
      </w:r>
      <w:fldSimple w:instr="NOTEREF _Ref_Footnote_15 \h \f">
        <w:r>
          <w:rPr>
            <w:vertAlign w:val="superscript"/>
          </w:rPr>
          <w:t>15</w:t>
        </w:r>
      </w:fldSimple>
      <w:r>
        <w:t xml:space="preserve">Among treatment completers, 83% no longer met PTSD criteria one week post-treatment—compared to only 52% in the 10-week van der Kolk trial.</w:t>
      </w:r>
      <w:fldSimple w:instr="NOTEREF _Ref_Footnote_15 \h \f">
        <w:r>
          <w:rPr>
            <w:vertAlign w:val="superscript"/>
          </w:rPr>
          <w:t>15</w:t>
        </w:r>
      </w:fldSimple>
      <w:r>
        <w:t xml:space="preserve">The overall sample experienced a 51% reduction in PTSD symptoms at one-week post-treatment versus only 33% in the 10-week study, and at two-month follow-up, this improvement deepened to 64%.</w:t>
      </w:r>
      <w:fldSimple w:instr="NOTEREF _Ref_Footnote_15 \h \f">
        <w:r>
          <w:rPr>
            <w:vertAlign w:val="superscript"/>
          </w:rPr>
          <w:t>15</w:t>
        </w:r>
      </w:fldSimple>
      <w:r>
        <w:t xml:space="preserve">Trauma-Centered Trauma-Sensitive Yoga is the only yoga-based intervention currently listed on SAMHSA’s National Registry of Evidence-Based Programs and Practices (NREPP) for complex trauma and chronic treatment-resistant PTSD.</w:t>
      </w:r>
      <w:r>
        <w:rPr>
          <w:vertAlign w:val="superscript"/>
        </w:rPr>
        <w:footnoteReference w:id="120"/>
      </w:r>
      <w:r>
        <w:t xml:space="preserve"> </w:t>
      </w:r>
      <w:r>
        <w:rPr>
          <w:vertAlign w:val="superscript"/>
        </w:rPr>
        <w:footnoteReference w:id="121"/>
      </w:r>
      <w:r>
        <w:t xml:space="preserve">Military-specific evidence has strengthened TCTSY’s profile further. Kelly and colleagues’ pilot RCT (2022) of 41 women veterans with PTSD related to military sexual trauma compared TCTSY (</w:t>
      </w:r>
      <w:r>
        <w:rPr>
          <w:iCs/>
          <w:i/>
        </w:rPr>
        <w:t xml:space="preserve">n</w:t>
      </w:r>
      <w:r>
        <w:t xml:space="preserve"> </w:t>
      </w:r>
      <w:r>
        <w:t xml:space="preserve">= 17) to Cognitive Processing Therapy (CPT,</w:t>
      </w:r>
      <w:r>
        <w:t xml:space="preserve"> </w:t>
      </w:r>
      <w:r>
        <w:rPr>
          <w:iCs/>
          <w:i/>
        </w:rPr>
        <w:t xml:space="preserve">n</w:t>
      </w:r>
      <w:r>
        <w:t xml:space="preserve"> </w:t>
      </w:r>
      <w:r>
        <w:t xml:space="preserve">= 24).</w:t>
      </w:r>
      <w:fldSimple w:instr="NOTEREF _Ref_Footnote_69 \h \f">
        <w:r>
          <w:rPr>
            <w:vertAlign w:val="superscript"/>
          </w:rPr>
          <w:t>69</w:t>
        </w:r>
      </w:fldSimple>
      <w:r>
        <w:t xml:space="preserve">TCTSY produced large within-group effect sizes (0.90–0.99), with 44.4% no longer meeting PTSD criteria by two weeks post-intervention versus 20% of CPT participants.</w:t>
      </w:r>
      <w:fldSimple w:instr="NOTEREF _Ref_Footnote_69 \h \f">
        <w:r>
          <w:rPr>
            <w:vertAlign w:val="superscript"/>
          </w:rPr>
          <w:t>69</w:t>
        </w:r>
      </w:fldSimple>
      <w:r>
        <w:t xml:space="preserve">At three-month follow-up, 50% of TCTSY participants maintained remission versus only 12.5% of CPT participants.</w:t>
      </w:r>
      <w:fldSimple w:instr="NOTEREF _Ref_Footnote_69 \h \f">
        <w:r>
          <w:rPr>
            <w:vertAlign w:val="superscript"/>
          </w:rPr>
          <w:t>69</w:t>
        </w:r>
      </w:fldSimple>
      <w:r>
        <w:t xml:space="preserve">#### 2.1.3 Sensorimotor Psychotherapy: Pilot Evidence</w:t>
      </w:r>
    </w:p>
    <w:p>
      <w:pPr>
        <w:pStyle w:val="BodyText"/>
      </w:pPr>
      <w:r>
        <w:t xml:space="preserve">Sensorimotor Psychotherapy (SP), developed by Pat Ogden, uses physical action and body sensation as primary vehicles for change.</w:t>
      </w:r>
      <w:r>
        <w:rPr>
          <w:vertAlign w:val="superscript"/>
        </w:rPr>
        <w:footnoteReference w:id="122"/>
      </w:r>
      <w:r>
        <w:t xml:space="preserve">Classen and colleagues’ 2021 pilot RCT tested a 20-session body-oriented group adapted from SP principles with 32 women with childhood trauma histories.</w:t>
      </w:r>
      <w:r>
        <w:rPr>
          <w:vertAlign w:val="superscript"/>
        </w:rPr>
        <w:footnoteReference w:id="123"/>
      </w:r>
      <w:r>
        <w:t xml:space="preserve">While no significant effects on PTSD symptoms were observed (</w:t>
      </w:r>
      <w:r>
        <w:rPr>
          <w:iCs/>
          <w:i/>
        </w:rPr>
        <w:t xml:space="preserve">F</w:t>
      </w:r>
      <w:r>
        <w:t xml:space="preserve"> </w:t>
      </w:r>
      <w:r>
        <w:t xml:space="preserve">= 3.42,</w:t>
      </w:r>
      <w:r>
        <w:t xml:space="preserve"> </w:t>
      </w:r>
      <w:r>
        <w:rPr>
          <w:iCs/>
          <w:i/>
        </w:rPr>
        <w:t xml:space="preserve">p</w:t>
      </w:r>
      <w:r>
        <w:t xml:space="preserve"> </w:t>
      </w:r>
      <w:r>
        <w:t xml:space="preserve">= .070), significant improvements emerged in body awareness (</w:t>
      </w:r>
      <w:r>
        <w:rPr>
          <w:iCs/>
          <w:i/>
        </w:rPr>
        <w:t xml:space="preserve">d</w:t>
      </w:r>
      <w:r>
        <w:t xml:space="preserve"> </w:t>
      </w:r>
      <w:r>
        <w:t xml:space="preserve">= 0.91), anxiety (</w:t>
      </w:r>
      <w:r>
        <w:rPr>
          <w:iCs/>
          <w:i/>
        </w:rPr>
        <w:t xml:space="preserve">d</w:t>
      </w:r>
      <w:r>
        <w:t xml:space="preserve"> </w:t>
      </w:r>
      <w:r>
        <w:t xml:space="preserve">= 0.81), and soothing receptivity (</w:t>
      </w:r>
      <w:r>
        <w:rPr>
          <w:iCs/>
          <w:i/>
        </w:rPr>
        <w:t xml:space="preserve">d</w:t>
      </w:r>
      <w:r>
        <w:t xml:space="preserve"> </w:t>
      </w:r>
      <w:r>
        <w:t xml:space="preserve">= 1.12).</w:t>
      </w:r>
      <w:fldSimple w:instr="NOTEREF _Ref_Footnote_123 \h \f">
        <w:r>
          <w:rPr>
            <w:vertAlign w:val="superscript"/>
          </w:rPr>
          <w:t>123</w:t>
        </w:r>
      </w:fldSimple>
      <w:r>
        <w:t xml:space="preserve"> </w:t>
      </w:r>
      <w:r>
        <w:rPr>
          <w:vertAlign w:val="superscript"/>
        </w:rPr>
        <w:footnoteReference w:id="124"/>
      </w:r>
      <w:r>
        <w:t xml:space="preserve">These findings suggest SP primarily targets body awareness and affect regulation</w:t>
      </w:r>
      <w:r>
        <w:t xml:space="preserve"> </w:t>
      </w:r>
      <w:r>
        <w:rPr>
          <w:iCs/>
          <w:i/>
        </w:rPr>
        <w:t xml:space="preserve">capacity</w:t>
      </w:r>
      <w:r>
        <w:t xml:space="preserve"> </w:t>
      </w:r>
      <w:r>
        <w:t xml:space="preserve">rather than reducing PTSD symptom scores directly—a transformation standardized measures may not fully capture.</w:t>
      </w:r>
      <w:r>
        <w:rPr>
          <w:vertAlign w:val="superscript"/>
        </w:rPr>
        <w:footnoteReference w:id="125"/>
      </w:r>
      <w:r>
        <w:t xml:space="preserve"> </w:t>
      </w:r>
      <w:r>
        <w:rPr>
          <w:vertAlign w:val="superscript"/>
        </w:rPr>
        <w:footnoteReference w:id="126"/>
      </w:r>
      <w:r>
        <w:t xml:space="preserve">#### 2.1.4 Body Psychotherapy Meta-Analysis</w:t>
      </w:r>
    </w:p>
    <w:p>
      <w:pPr>
        <w:pStyle w:val="BodyText"/>
      </w:pPr>
      <w:r>
        <w:t xml:space="preserve">Rosendahl and colleagues’ 2021 systematic review and meta-analysis of 18 RCTs found medium effects of Body Psychotherapy on psychopathology (Hedges’</w:t>
      </w:r>
      <w:r>
        <w:t xml:space="preserve"> </w:t>
      </w:r>
      <w:r>
        <w:rPr>
          <w:iCs/>
          <w:i/>
        </w:rPr>
        <w:t xml:space="preserve">g</w:t>
      </w:r>
      <w:r>
        <w:t xml:space="preserve"> </w:t>
      </w:r>
      <w:r>
        <w:t xml:space="preserve">= 0.56, 95% CI: 0.35–0.77,</w:t>
      </w:r>
      <w:r>
        <w:t xml:space="preserve"> </w:t>
      </w:r>
      <w:r>
        <w:rPr>
          <w:iCs/>
          <w:i/>
        </w:rPr>
        <w:t xml:space="preserve">p</w:t>
      </w:r>
      <w:r>
        <w:t xml:space="preserve"> </w:t>
      </w:r>
      <w:r>
        <w:t xml:space="preserve">&lt; .001) and psychological distress (</w:t>
      </w:r>
      <w:r>
        <w:rPr>
          <w:iCs/>
          <w:i/>
        </w:rPr>
        <w:t xml:space="preserve">g</w:t>
      </w:r>
      <w:r>
        <w:t xml:space="preserve"> </w:t>
      </w:r>
      <w:r>
        <w:t xml:space="preserve">= 0.52, 95% CI: 0.27–0.78,</w:t>
      </w:r>
      <w:r>
        <w:t xml:space="preserve"> </w:t>
      </w:r>
      <w:r>
        <w:rPr>
          <w:iCs/>
          <w:i/>
        </w:rPr>
        <w:t xml:space="preserve">p</w:t>
      </w:r>
      <w:r>
        <w:t xml:space="preserve"> </w:t>
      </w:r>
      <w:r>
        <w:t xml:space="preserve">&lt; .001), with long-term effects at seven-month follow-up remaining significant (</w:t>
      </w:r>
      <w:r>
        <w:rPr>
          <w:iCs/>
          <w:i/>
        </w:rPr>
        <w:t xml:space="preserve">g</w:t>
      </w:r>
      <w:r>
        <w:t xml:space="preserve"> </w:t>
      </w:r>
      <w:r>
        <w:t xml:space="preserve">= 0.41 and 0.47 respectively).</w:t>
      </w:r>
      <w:r>
        <w:rPr>
          <w:vertAlign w:val="superscript"/>
        </w:rPr>
        <w:footnoteReference w:id="127"/>
      </w:r>
      <w:r>
        <w:t xml:space="preserve"> </w:t>
      </w:r>
      <w:r>
        <w:rPr>
          <w:vertAlign w:val="superscript"/>
        </w:rPr>
        <w:footnoteReference w:id="128"/>
      </w:r>
      <w:r>
        <w:t xml:space="preserve">Heterogeneity was moderate-to-high (</w:t>
      </w:r>
      <m:oMath>
        <m:sSup>
          <m:e>
            <m:r>
              <m:t>I</m:t>
            </m:r>
          </m:e>
          <m:sup>
            <m:r>
              <m:t>2</m:t>
            </m:r>
          </m:sup>
        </m:sSup>
      </m:oMath>
      <w:r>
        <w:t xml:space="preserve"> </w:t>
      </w:r>
      <w:r>
        <w:t xml:space="preserve">= 62–68%), reflecting diverse interventions, diagnoses, and designs.</w:t>
      </w:r>
      <w:fldSimple w:instr="NOTEREF _Ref_Footnote_127 \h \f">
        <w:r>
          <w:rPr>
            <w:vertAlign w:val="superscript"/>
          </w:rPr>
          <w:t>127</w:t>
        </w:r>
      </w:fldSimple>
      <w:r>
        <w:rPr>
          <w:bCs/>
          <w:b/>
        </w:rPr>
        <w:t xml:space="preserve">Table 2.1: Trauma &amp; PTSD Evidence Comparison</w:t>
      </w:r>
    </w:p>
    <w:tbl>
      <w:tblPr>
        <w:tblStyle w:val="Table"/>
        <w:tblW w:type="pct" w:w="5000"/>
        <w:tblLook w:firstRow="1" w:lastRow="0" w:firstColumn="0" w:lastColumn="0" w:noHBand="0" w:noVBand="0" w:val="0020"/>
      </w:tblPr>
      <w:tblGrid>
        <w:gridCol w:w="1131"/>
        <w:gridCol w:w="1244"/>
        <w:gridCol w:w="678"/>
        <w:gridCol w:w="905"/>
        <w:gridCol w:w="1018"/>
        <w:gridCol w:w="1697"/>
        <w:gridCol w:w="1244"/>
      </w:tblGrid>
      <w:tr>
        <w:trPr>
          <w:tblHeader w:val="true"/>
        </w:trPr>
        <w:tc>
          <w:tcPr/>
          <w:p>
            <w:pPr>
              <w:pStyle w:val="Compact"/>
              <w:jc w:val="left"/>
            </w:pPr>
            <w:r>
              <w:t xml:space="preserve">Modality</w:t>
            </w:r>
          </w:p>
        </w:tc>
        <w:tc>
          <w:tcPr/>
          <w:p>
            <w:pPr>
              <w:pStyle w:val="Compact"/>
              <w:jc w:val="left"/>
            </w:pPr>
            <w:r>
              <w:t xml:space="preserve">Key Study</w:t>
            </w:r>
          </w:p>
        </w:tc>
        <w:tc>
          <w:tcPr/>
          <w:p>
            <w:pPr>
              <w:pStyle w:val="Compact"/>
              <w:jc w:val="left"/>
            </w:pPr>
            <w:r>
              <w:rPr>
                <w:iCs/>
                <w:i/>
              </w:rPr>
              <w:t xml:space="preserve">N</w:t>
            </w:r>
          </w:p>
        </w:tc>
        <w:tc>
          <w:tcPr/>
          <w:p>
            <w:pPr>
              <w:pStyle w:val="Compact"/>
              <w:jc w:val="left"/>
            </w:pPr>
            <w:r>
              <w:t xml:space="preserve">Design</w:t>
            </w:r>
          </w:p>
        </w:tc>
        <w:tc>
          <w:tcPr/>
          <w:p>
            <w:pPr>
              <w:pStyle w:val="Compact"/>
              <w:jc w:val="left"/>
            </w:pPr>
            <w:r>
              <w:t xml:space="preserve">PTSD ES</w:t>
            </w:r>
          </w:p>
        </w:tc>
        <w:tc>
          <w:tcPr/>
          <w:p>
            <w:pPr>
              <w:pStyle w:val="Compact"/>
              <w:jc w:val="left"/>
            </w:pPr>
            <w:r>
              <w:t xml:space="preserve">Remission Rate</w:t>
            </w:r>
          </w:p>
        </w:tc>
        <w:tc>
          <w:tcPr/>
          <w:p>
            <w:pPr>
              <w:pStyle w:val="Compact"/>
              <w:jc w:val="left"/>
            </w:pPr>
            <w:r>
              <w:t xml:space="preserve">Follow-up</w:t>
            </w:r>
          </w:p>
        </w:tc>
      </w:tr>
      <w:tr>
        <w:tc>
          <w:tcPr/>
          <w:p>
            <w:pPr>
              <w:pStyle w:val="Compact"/>
              <w:jc w:val="left"/>
            </w:pPr>
            <w:r>
              <w:t xml:space="preserve">Somatic Experiencing</w:t>
            </w:r>
          </w:p>
        </w:tc>
        <w:tc>
          <w:tcPr/>
          <w:p>
            <w:pPr>
              <w:pStyle w:val="Compact"/>
              <w:jc w:val="left"/>
            </w:pPr>
            <w:r>
              <w:t xml:space="preserve">Brom et al. (2017)</w:t>
            </w:r>
          </w:p>
        </w:tc>
        <w:tc>
          <w:tcPr/>
          <w:p>
            <w:pPr>
              <w:pStyle w:val="Compact"/>
              <w:jc w:val="left"/>
            </w:pPr>
            <w:r>
              <w:t xml:space="preserve">63</w:t>
            </w:r>
          </w:p>
        </w:tc>
        <w:tc>
          <w:tcPr/>
          <w:p>
            <w:pPr>
              <w:pStyle w:val="Compact"/>
              <w:jc w:val="left"/>
            </w:pPr>
            <w:r>
              <w:t xml:space="preserve">RCT vs. waitlist</w:t>
            </w:r>
          </w:p>
        </w:tc>
        <w:tc>
          <w:tcPr/>
          <w:p>
            <w:pPr>
              <w:pStyle w:val="Compact"/>
              <w:jc w:val="left"/>
            </w:pPr>
            <w:r>
              <w:rPr>
                <w:iCs/>
                <w:i/>
              </w:rPr>
              <w:t xml:space="preserve">d</w:t>
            </w:r>
            <w:r>
              <w:t xml:space="preserve"> </w:t>
            </w:r>
            <w:r>
              <w:t xml:space="preserve">= 1.26</w:t>
            </w:r>
            <w:r>
              <w:t xml:space="preserve"> </w:t>
            </w:r>
            <w:fldSimple w:instr="NOTEREF _Ref_Footnote_12 \h \f">
              <w:r>
                <w:rPr>
                  <w:vertAlign w:val="superscript"/>
                </w:rPr>
                <w:t>12</w:t>
              </w:r>
            </w:fldSimple>
          </w:p>
        </w:tc>
        <w:tc>
          <w:tcPr/>
          <w:p>
            <w:pPr>
              <w:pStyle w:val="Compact"/>
              <w:jc w:val="left"/>
            </w:pPr>
            <w:r>
              <w:t xml:space="preserve">44.1%</w:t>
            </w:r>
            <w:r>
              <w:t xml:space="preserve"> </w:t>
            </w:r>
            <w:fldSimple w:instr="NOTEREF _Ref_Footnote_13 \h \f">
              <w:r>
                <w:rPr>
                  <w:vertAlign w:val="superscript"/>
                </w:rPr>
                <w:t>13</w:t>
              </w:r>
            </w:fldSimple>
          </w:p>
        </w:tc>
        <w:tc>
          <w:tcPr/>
          <w:p>
            <w:pPr>
              <w:pStyle w:val="Compact"/>
              <w:jc w:val="left"/>
            </w:pPr>
            <w:r>
              <w:t xml:space="preserve">7 months</w:t>
            </w:r>
          </w:p>
        </w:tc>
      </w:tr>
      <w:tr>
        <w:tc>
          <w:tcPr/>
          <w:p>
            <w:pPr>
              <w:pStyle w:val="Compact"/>
              <w:jc w:val="left"/>
            </w:pPr>
            <w:r>
              <w:t xml:space="preserve">TCTSY (10-week)</w:t>
            </w:r>
          </w:p>
        </w:tc>
        <w:tc>
          <w:tcPr/>
          <w:p>
            <w:pPr>
              <w:pStyle w:val="Compact"/>
              <w:jc w:val="left"/>
            </w:pPr>
            <w:r>
              <w:t xml:space="preserve">van der Kolk et al. (2014)</w:t>
            </w:r>
          </w:p>
        </w:tc>
        <w:tc>
          <w:tcPr/>
          <w:p>
            <w:pPr>
              <w:pStyle w:val="Compact"/>
              <w:jc w:val="left"/>
            </w:pPr>
            <w:r>
              <w:t xml:space="preserve">64</w:t>
            </w:r>
          </w:p>
        </w:tc>
        <w:tc>
          <w:tcPr/>
          <w:p>
            <w:pPr>
              <w:pStyle w:val="Compact"/>
              <w:jc w:val="left"/>
            </w:pPr>
            <w:r>
              <w:t xml:space="preserve">RCT vs. active control</w:t>
            </w:r>
          </w:p>
        </w:tc>
        <w:tc>
          <w:tcPr/>
          <w:p>
            <w:pPr>
              <w:pStyle w:val="Compact"/>
              <w:jc w:val="left"/>
            </w:pPr>
            <w:r>
              <w:rPr>
                <w:iCs/>
                <w:i/>
              </w:rPr>
              <w:t xml:space="preserve">d</w:t>
            </w:r>
            <w:r>
              <w:t xml:space="preserve"> </w:t>
            </w:r>
            <w:r>
              <w:t xml:space="preserve">= 1.07</w:t>
            </w:r>
            <w:r>
              <w:t xml:space="preserve"> </w:t>
            </w:r>
            <w:fldSimple w:instr="NOTEREF _Ref_Footnote_14 \h \f">
              <w:r>
                <w:rPr>
                  <w:vertAlign w:val="superscript"/>
                </w:rPr>
                <w:t>14</w:t>
              </w:r>
            </w:fldSimple>
          </w:p>
        </w:tc>
        <w:tc>
          <w:tcPr/>
          <w:p>
            <w:pPr>
              <w:pStyle w:val="Compact"/>
              <w:jc w:val="left"/>
            </w:pPr>
            <w:r>
              <w:t xml:space="preserve">52% vs. 21%</w:t>
            </w:r>
            <w:r>
              <w:t xml:space="preserve"> </w:t>
            </w:r>
            <w:fldSimple w:instr="NOTEREF _Ref_Footnote_14 \h \f">
              <w:r>
                <w:rPr>
                  <w:vertAlign w:val="superscript"/>
                </w:rPr>
                <w:t>14</w:t>
              </w:r>
            </w:fldSimple>
          </w:p>
        </w:tc>
        <w:tc>
          <w:tcPr/>
          <w:p>
            <w:pPr>
              <w:pStyle w:val="Compact"/>
              <w:jc w:val="left"/>
            </w:pPr>
            <w:r>
              <w:t xml:space="preserve">10 weeks</w:t>
            </w:r>
          </w:p>
        </w:tc>
      </w:tr>
      <w:tr>
        <w:tc>
          <w:tcPr/>
          <w:p>
            <w:pPr>
              <w:pStyle w:val="Compact"/>
              <w:jc w:val="left"/>
            </w:pPr>
            <w:r>
              <w:t xml:space="preserve">TCTSY (20-week)</w:t>
            </w:r>
          </w:p>
        </w:tc>
        <w:tc>
          <w:tcPr/>
          <w:p>
            <w:pPr>
              <w:pStyle w:val="Compact"/>
              <w:jc w:val="left"/>
            </w:pPr>
            <w:r>
              <w:t xml:space="preserve">Price (2007)</w:t>
            </w:r>
          </w:p>
        </w:tc>
        <w:tc>
          <w:tcPr/>
          <w:p>
            <w:pPr>
              <w:pStyle w:val="Compact"/>
              <w:jc w:val="left"/>
            </w:pPr>
            <w:r>
              <w:t xml:space="preserve">6 completers</w:t>
            </w:r>
          </w:p>
        </w:tc>
        <w:tc>
          <w:tcPr/>
          <w:p>
            <w:pPr>
              <w:pStyle w:val="Compact"/>
              <w:jc w:val="left"/>
            </w:pPr>
            <w:r>
              <w:t xml:space="preserve">Extended case series</w:t>
            </w:r>
          </w:p>
        </w:tc>
        <w:tc>
          <w:tcPr/>
          <w:p>
            <w:pPr>
              <w:pStyle w:val="Compact"/>
              <w:jc w:val="left"/>
            </w:pPr>
            <w:r>
              <w:t xml:space="preserve">—</w:t>
            </w:r>
          </w:p>
        </w:tc>
        <w:tc>
          <w:tcPr/>
          <w:p>
            <w:pPr>
              <w:pStyle w:val="Compact"/>
              <w:jc w:val="left"/>
            </w:pPr>
            <w:r>
              <w:t xml:space="preserve">83%</w:t>
            </w:r>
            <w:r>
              <w:t xml:space="preserve"> </w:t>
            </w:r>
            <w:fldSimple w:instr="NOTEREF _Ref_Footnote_15 \h \f">
              <w:r>
                <w:rPr>
                  <w:vertAlign w:val="superscript"/>
                </w:rPr>
                <w:t>15</w:t>
              </w:r>
            </w:fldSimple>
          </w:p>
        </w:tc>
        <w:tc>
          <w:tcPr/>
          <w:p>
            <w:pPr>
              <w:pStyle w:val="Compact"/>
              <w:jc w:val="left"/>
            </w:pPr>
            <w:r>
              <w:t xml:space="preserve">2 months</w:t>
            </w:r>
          </w:p>
        </w:tc>
      </w:tr>
      <w:tr>
        <w:tc>
          <w:tcPr/>
          <w:p>
            <w:pPr>
              <w:pStyle w:val="Compact"/>
              <w:jc w:val="left"/>
            </w:pPr>
            <w:r>
              <w:t xml:space="preserve">TCTSY (veterans)</w:t>
            </w:r>
          </w:p>
        </w:tc>
        <w:tc>
          <w:tcPr/>
          <w:p>
            <w:pPr>
              <w:pStyle w:val="Compact"/>
              <w:jc w:val="left"/>
            </w:pPr>
            <w:r>
              <w:t xml:space="preserve">Kelly et al. (2022)</w:t>
            </w:r>
          </w:p>
        </w:tc>
        <w:tc>
          <w:tcPr/>
          <w:p>
            <w:pPr>
              <w:pStyle w:val="Compact"/>
              <w:jc w:val="left"/>
            </w:pPr>
            <w:r>
              <w:t xml:space="preserve">41</w:t>
            </w:r>
          </w:p>
        </w:tc>
        <w:tc>
          <w:tcPr/>
          <w:p>
            <w:pPr>
              <w:pStyle w:val="Compact"/>
              <w:jc w:val="left"/>
            </w:pPr>
            <w:r>
              <w:t xml:space="preserve">Pilot RCT vs. CPT</w:t>
            </w:r>
          </w:p>
        </w:tc>
        <w:tc>
          <w:tcPr/>
          <w:p>
            <w:pPr>
              <w:pStyle w:val="Compact"/>
              <w:jc w:val="left"/>
            </w:pPr>
            <w:r>
              <w:rPr>
                <w:iCs/>
                <w:i/>
              </w:rPr>
              <w:t xml:space="preserve">d</w:t>
            </w:r>
            <w:r>
              <w:t xml:space="preserve"> </w:t>
            </w:r>
            <w:r>
              <w:t xml:space="preserve">= 0.90–0.99</w:t>
            </w:r>
            <w:r>
              <w:t xml:space="preserve"> </w:t>
            </w:r>
            <w:fldSimple w:instr="NOTEREF _Ref_Footnote_69 \h \f">
              <w:r>
                <w:rPr>
                  <w:vertAlign w:val="superscript"/>
                </w:rPr>
                <w:t>69</w:t>
              </w:r>
            </w:fldSimple>
          </w:p>
        </w:tc>
        <w:tc>
          <w:tcPr/>
          <w:p>
            <w:pPr>
              <w:pStyle w:val="Compact"/>
              <w:jc w:val="left"/>
            </w:pPr>
            <w:r>
              <w:t xml:space="preserve">50% vs. 12.5% at 3 mo</w:t>
            </w:r>
            <w:r>
              <w:t xml:space="preserve"> </w:t>
            </w:r>
            <w:fldSimple w:instr="NOTEREF _Ref_Footnote_69 \h \f">
              <w:r>
                <w:rPr>
                  <w:vertAlign w:val="superscript"/>
                </w:rPr>
                <w:t>69</w:t>
              </w:r>
            </w:fldSimple>
          </w:p>
        </w:tc>
        <w:tc>
          <w:tcPr/>
          <w:p>
            <w:pPr>
              <w:pStyle w:val="Compact"/>
              <w:jc w:val="left"/>
            </w:pPr>
            <w:r>
              <w:t xml:space="preserve">3 months</w:t>
            </w:r>
          </w:p>
        </w:tc>
      </w:tr>
      <w:tr>
        <w:tc>
          <w:tcPr/>
          <w:p>
            <w:pPr>
              <w:pStyle w:val="Compact"/>
              <w:jc w:val="left"/>
            </w:pPr>
            <w:r>
              <w:t xml:space="preserve">Sensorimotor PT</w:t>
            </w:r>
          </w:p>
        </w:tc>
        <w:tc>
          <w:tcPr/>
          <w:p>
            <w:pPr>
              <w:pStyle w:val="Compact"/>
              <w:jc w:val="left"/>
            </w:pPr>
            <w:r>
              <w:t xml:space="preserve">Classen et al. (2021)</w:t>
            </w:r>
          </w:p>
        </w:tc>
        <w:tc>
          <w:tcPr/>
          <w:p>
            <w:pPr>
              <w:pStyle w:val="Compact"/>
              <w:jc w:val="left"/>
            </w:pPr>
            <w:r>
              <w:t xml:space="preserve">32</w:t>
            </w:r>
          </w:p>
        </w:tc>
        <w:tc>
          <w:tcPr/>
          <w:p>
            <w:pPr>
              <w:pStyle w:val="Compact"/>
              <w:jc w:val="left"/>
            </w:pPr>
            <w:r>
              <w:t xml:space="preserve">Pilot RCT vs. waitlist</w:t>
            </w:r>
          </w:p>
        </w:tc>
        <w:tc>
          <w:tcPr/>
          <w:p>
            <w:pPr>
              <w:pStyle w:val="Compact"/>
              <w:jc w:val="left"/>
            </w:pPr>
            <w:r>
              <w:rPr>
                <w:iCs/>
                <w:i/>
              </w:rPr>
              <w:t xml:space="preserve">d</w:t>
            </w:r>
            <w:r>
              <w:t xml:space="preserve"> </w:t>
            </w:r>
            <w:r>
              <w:t xml:space="preserve">= 0.59 (n.s.)</w:t>
            </w:r>
            <w:r>
              <w:t xml:space="preserve"> </w:t>
            </w:r>
            <w:fldSimple w:instr="NOTEREF _Ref_Footnote_124 \h \f">
              <w:r>
                <w:rPr>
                  <w:vertAlign w:val="superscript"/>
                </w:rPr>
                <w:t>124</w:t>
              </w:r>
            </w:fldSimple>
          </w:p>
        </w:tc>
        <w:tc>
          <w:tcPr/>
          <w:p>
            <w:pPr>
              <w:pStyle w:val="Compact"/>
              <w:jc w:val="left"/>
            </w:pPr>
            <w:r>
              <w:t xml:space="preserve">—</w:t>
            </w:r>
          </w:p>
        </w:tc>
        <w:tc>
          <w:tcPr/>
          <w:p>
            <w:pPr>
              <w:pStyle w:val="Compact"/>
              <w:jc w:val="left"/>
            </w:pPr>
            <w:r>
              <w:t xml:space="preserve">—</w:t>
            </w:r>
          </w:p>
        </w:tc>
      </w:tr>
      <w:tr>
        <w:tc>
          <w:tcPr/>
          <w:p>
            <w:pPr>
              <w:pStyle w:val="Compact"/>
              <w:jc w:val="left"/>
            </w:pPr>
            <w:r>
              <w:t xml:space="preserve">Body Psychotherapy</w:t>
            </w:r>
          </w:p>
        </w:tc>
        <w:tc>
          <w:tcPr/>
          <w:p>
            <w:pPr>
              <w:pStyle w:val="Compact"/>
              <w:jc w:val="left"/>
            </w:pPr>
            <w:r>
              <w:t xml:space="preserve">Rosendahl et al. (2021)</w:t>
            </w:r>
          </w:p>
        </w:tc>
        <w:tc>
          <w:tcPr/>
          <w:p>
            <w:pPr>
              <w:pStyle w:val="Compact"/>
              <w:jc w:val="left"/>
            </w:pPr>
            <w:r>
              <w:t xml:space="preserve">18 RCTs</w:t>
            </w:r>
          </w:p>
        </w:tc>
        <w:tc>
          <w:tcPr/>
          <w:p>
            <w:pPr>
              <w:pStyle w:val="Compact"/>
              <w:jc w:val="left"/>
            </w:pPr>
            <w:r>
              <w:t xml:space="preserve">Meta-analysis</w:t>
            </w:r>
          </w:p>
        </w:tc>
        <w:tc>
          <w:tcPr/>
          <w:p>
            <w:pPr>
              <w:pStyle w:val="Compact"/>
              <w:jc w:val="left"/>
            </w:pPr>
            <w:r>
              <w:rPr>
                <w:iCs/>
                <w:i/>
              </w:rPr>
              <w:t xml:space="preserve">g</w:t>
            </w:r>
            <w:r>
              <w:t xml:space="preserve"> </w:t>
            </w:r>
            <w:r>
              <w:t xml:space="preserve">= 0.56</w:t>
            </w:r>
            <w:r>
              <w:t xml:space="preserve"> </w:t>
            </w:r>
            <w:fldSimple w:instr="NOTEREF _Ref_Footnote_127 \h \f">
              <w:r>
                <w:rPr>
                  <w:vertAlign w:val="superscript"/>
                </w:rPr>
                <w:t>127</w:t>
              </w:r>
            </w:fldSimple>
          </w:p>
        </w:tc>
        <w:tc>
          <w:tcPr/>
          <w:p>
            <w:pPr>
              <w:pStyle w:val="Compact"/>
              <w:jc w:val="left"/>
            </w:pPr>
            <w:r>
              <w:t xml:space="preserve">—</w:t>
            </w:r>
          </w:p>
        </w:tc>
        <w:tc>
          <w:tcPr/>
          <w:p>
            <w:pPr>
              <w:pStyle w:val="Compact"/>
              <w:jc w:val="left"/>
            </w:pPr>
            <w:r>
              <w:t xml:space="preserve">7 months</w:t>
            </w:r>
          </w:p>
        </w:tc>
      </w:tr>
      <w:tr>
        <w:tc>
          <w:tcPr/>
          <w:p>
            <w:pPr>
              <w:pStyle w:val="Compact"/>
              <w:jc w:val="left"/>
            </w:pPr>
            <w:r>
              <w:t xml:space="preserve">Conscious Dance</w:t>
            </w:r>
          </w:p>
        </w:tc>
        <w:tc>
          <w:tcPr/>
          <w:p>
            <w:pPr>
              <w:pStyle w:val="Compact"/>
              <w:jc w:val="left"/>
            </w:pPr>
            <w:r>
              <w:t xml:space="preserve">Laird et al. (2021)</w:t>
            </w:r>
          </w:p>
        </w:tc>
        <w:tc>
          <w:tcPr/>
          <w:p>
            <w:pPr>
              <w:pStyle w:val="Compact"/>
              <w:jc w:val="left"/>
            </w:pPr>
            <w:r>
              <w:t xml:space="preserve">1,003</w:t>
            </w:r>
          </w:p>
        </w:tc>
        <w:tc>
          <w:tcPr/>
          <w:p>
            <w:pPr>
              <w:pStyle w:val="Compact"/>
              <w:jc w:val="left"/>
            </w:pPr>
            <w:r>
              <w:t xml:space="preserve">Cross-sectional survey</w:t>
            </w:r>
          </w:p>
        </w:tc>
        <w:tc>
          <w:tcPr/>
          <w:p>
            <w:pPr>
              <w:pStyle w:val="Compact"/>
              <w:jc w:val="left"/>
            </w:pPr>
            <w:r>
              <w:rPr>
                <w:iCs/>
                <w:i/>
              </w:rPr>
              <w:t xml:space="preserve">d</w:t>
            </w:r>
            <w:r>
              <w:t xml:space="preserve"> </w:t>
            </w:r>
            <w:r>
              <w:t xml:space="preserve">= 1.30 (flow)</w:t>
            </w:r>
            <w:r>
              <w:t xml:space="preserve"> </w:t>
            </w:r>
            <w:r>
              <w:rPr>
                <w:vertAlign w:val="superscript"/>
              </w:rPr>
              <w:footnoteReference w:id="129"/>
            </w:r>
          </w:p>
        </w:tc>
        <w:tc>
          <w:tcPr/>
          <w:p>
            <w:pPr>
              <w:pStyle w:val="Compact"/>
              <w:jc w:val="left"/>
            </w:pPr>
            <w:r>
              <w:t xml:space="preserve">94.9% self-report</w:t>
            </w:r>
            <w:r>
              <w:t xml:space="preserve"> </w:t>
            </w:r>
            <w:r>
              <w:rPr>
                <w:vertAlign w:val="superscript"/>
              </w:rPr>
              <w:footnoteReference w:id="130"/>
            </w:r>
          </w:p>
        </w:tc>
        <w:tc>
          <w:tcPr/>
          <w:p>
            <w:pPr>
              <w:pStyle w:val="Compact"/>
              <w:jc w:val="left"/>
            </w:pPr>
            <w:r>
              <w:t xml:space="preserve">—</w:t>
            </w:r>
          </w:p>
        </w:tc>
      </w:tr>
    </w:tbl>
    <w:p>
      <w:pPr>
        <w:pStyle w:val="CaptionedFigure"/>
      </w:pPr>
      <w:r>
        <w:drawing>
          <wp:inline>
            <wp:extent cx="5334000" cy="2537297"/>
            <wp:effectExtent b="0" l="0" r="0" t="0"/>
            <wp:docPr descr="Figure 2.1: Effect Sizes for Somatic Trauma/PTSD Interventions" title="" id="47" name="Picture"/>
            <a:graphic>
              <a:graphicData uri="http://schemas.openxmlformats.org/drawingml/2006/picture">
                <pic:pic>
                  <pic:nvPicPr>
                    <pic:cNvPr descr="/mnt/agents/output/fig2_1_trauma_effect_sizes.png" id="48" name="Picture"/>
                    <pic:cNvPicPr>
                      <a:picLocks noChangeArrowheads="1" noChangeAspect="1"/>
                    </pic:cNvPicPr>
                  </pic:nvPicPr>
                  <pic:blipFill>
                    <a:blip r:embed="rId46"/>
                    <a:stretch>
                      <a:fillRect/>
                    </a:stretch>
                  </pic:blipFill>
                  <pic:spPr bwMode="auto">
                    <a:xfrm>
                      <a:off x="0" y="0"/>
                      <a:ext cx="5334000" cy="2537297"/>
                    </a:xfrm>
                    <a:prstGeom prst="rect">
                      <a:avLst/>
                    </a:prstGeom>
                    <a:noFill/>
                    <a:ln w="9525">
                      <a:noFill/>
                      <a:headEnd/>
                      <a:tailEnd/>
                    </a:ln>
                  </pic:spPr>
                </pic:pic>
              </a:graphicData>
            </a:graphic>
          </wp:inline>
        </w:drawing>
      </w:r>
    </w:p>
    <w:p>
      <w:pPr>
        <w:pStyle w:val="ImageCaption"/>
      </w:pPr>
      <w:r>
        <w:t xml:space="preserve">Figure 2.1: Effect Sizes for Somatic Trauma/PTSD Interventions</w:t>
      </w:r>
    </w:p>
    <w:p>
      <w:pPr>
        <w:pStyle w:val="BodyText"/>
      </w:pPr>
      <w:r>
        <w:t xml:space="preserve">The pattern is clear: somatic interventions consistently produce large effect sizes for trauma, with the strongest evidence for Somatic Experiencing (</w:t>
      </w:r>
      <w:r>
        <w:rPr>
          <w:iCs/>
          <w:i/>
        </w:rPr>
        <w:t xml:space="preserve">d</w:t>
      </w:r>
      <w:r>
        <w:t xml:space="preserve"> </w:t>
      </w:r>
      <w:r>
        <w:t xml:space="preserve">= 1.26) and TCTSY (</w:t>
      </w:r>
      <w:r>
        <w:rPr>
          <w:iCs/>
          <w:i/>
        </w:rPr>
        <w:t xml:space="preserve">d</w:t>
      </w:r>
      <w:r>
        <w:t xml:space="preserve"> </w:t>
      </w:r>
      <w:r>
        <w:t xml:space="preserve">= 1.07–1.30). Several observations bear on platform design. The dose-response relationship is unmistakable—20-week protocols outperform 10-week protocols (83% versus 52% remission).</w:t>
      </w:r>
      <w:fldSimple w:instr="NOTEREF _Ref_Footnote_15 \h \f">
        <w:r>
          <w:rPr>
            <w:vertAlign w:val="superscript"/>
          </w:rPr>
          <w:t>15</w:t>
        </w:r>
      </w:fldSimple>
      <w:r>
        <w:t xml:space="preserve">The Classen et al. findings suggest body awareness improves</w:t>
      </w:r>
      <w:r>
        <w:t xml:space="preserve"> </w:t>
      </w:r>
      <w:r>
        <w:rPr>
          <w:iCs/>
          <w:i/>
        </w:rPr>
        <w:t xml:space="preserve">before</w:t>
      </w:r>
      <w:r>
        <w:t xml:space="preserve"> </w:t>
      </w:r>
      <w:r>
        <w:t xml:space="preserve">PTSD symptoms resolve, pointing to a sequencing that progress-tracking tools should capture.</w:t>
      </w:r>
      <w:fldSimple w:instr="NOTEREF _Ref_Footnote_123 \h \f">
        <w:r>
          <w:rPr>
            <w:vertAlign w:val="superscript"/>
          </w:rPr>
          <w:t>123</w:t>
        </w:r>
      </w:fldSimple>
      <w:r>
        <w:t xml:space="preserve">Finally, the conscious dance data demonstrates that 94.9% of participants with trauma history reported therapeutic benefit, with flow associations reaching</w:t>
      </w:r>
      <w:r>
        <w:t xml:space="preserve"> </w:t>
      </w:r>
      <w:r>
        <w:rPr>
          <w:iCs/>
          <w:i/>
        </w:rPr>
        <w:t xml:space="preserve">d</w:t>
      </w:r>
      <w:r>
        <w:t xml:space="preserve"> </w:t>
      </w:r>
      <w:r>
        <w:t xml:space="preserve">= 1.30.</w:t>
      </w:r>
      <w:fldSimple w:instr="NOTEREF _Ref_Footnote_130 \h \f">
        <w:r>
          <w:rPr>
            <w:vertAlign w:val="superscript"/>
          </w:rPr>
          <w:t>130</w:t>
        </w:r>
      </w:fldSimple>
      <w:r>
        <w:t xml:space="preserve"> </w:t>
      </w:r>
      <w:fldSimple w:instr="NOTEREF _Ref_Footnote_129 \h \f">
        <w:r>
          <w:rPr>
            <w:vertAlign w:val="superscript"/>
          </w:rPr>
          <w:t>129</w:t>
        </w:r>
      </w:fldSimple>
      <w:r>
        <w:t xml:space="preserve">—</w:t>
      </w:r>
    </w:p>
    <w:bookmarkEnd w:id="49"/>
    <w:bookmarkEnd w:id="50"/>
    <w:bookmarkStart w:id="55" w:name="depression-anxiety-evidence"/>
    <w:p>
      <w:pPr>
        <w:pStyle w:val="Heading3"/>
      </w:pPr>
      <w:r>
        <w:t xml:space="preserve">2.2 Depression &amp; Anxiety Evidence</w:t>
      </w:r>
    </w:p>
    <w:p>
      <w:pPr>
        <w:pStyle w:val="FirstParagraph"/>
      </w:pPr>
      <w:r>
        <w:t xml:space="preserve">While trauma represents the largest application segment, depression and anxiety together constitute a substantially larger addressable population—8.3% of US adults annually for depression versus approximately 5% for PTSD.[^dim01^] Somatic approaches, particularly Dance/Movement Therapy (DMT), have produced some of their strongest evidence in this domain.</w:t>
      </w:r>
    </w:p>
    <w:bookmarkStart w:id="54" w:name="dmt-meta-analysis-koch-et-al.-2019"/>
    <w:p>
      <w:pPr>
        <w:pStyle w:val="Heading4"/>
      </w:pPr>
      <w:r>
        <w:t xml:space="preserve">2.2.1 DMT Meta-Analysis: Koch et al. 2019</w:t>
      </w:r>
    </w:p>
    <w:p>
      <w:pPr>
        <w:pStyle w:val="FirstParagraph"/>
      </w:pPr>
      <w:r>
        <w:t xml:space="preserve">Koch and colleagues’ (2019) definitive meta-analysis synthesized 41 controlled studies (</w:t>
      </w:r>
      <w:r>
        <w:rPr>
          <w:iCs/>
          <w:i/>
        </w:rPr>
        <w:t xml:space="preserve">N</w:t>
      </w:r>
      <w:r>
        <w:t xml:space="preserve"> </w:t>
      </w:r>
      <w:r>
        <w:t xml:space="preserve">= 2,374), finding an overall mean effect size of</w:t>
      </w:r>
      <w:r>
        <w:t xml:space="preserve"> </w:t>
      </w:r>
      <w:r>
        <w:rPr>
          <w:iCs/>
          <w:i/>
        </w:rPr>
        <w:t xml:space="preserve">d</w:t>
      </w:r>
      <w:r>
        <w:t xml:space="preserve"> </w:t>
      </w:r>
      <w:r>
        <w:t xml:space="preserve">= 0.60 (medium,</w:t>
      </w:r>
      <w:r>
        <w:t xml:space="preserve"> </w:t>
      </w:r>
      <w:r>
        <w:rPr>
          <w:iCs/>
          <w:i/>
        </w:rPr>
        <w:t xml:space="preserve">p</w:t>
      </w:r>
      <w:r>
        <w:t xml:space="preserve"> </w:t>
      </w:r>
      <w:r>
        <w:t xml:space="preserve">&lt; .001).</w:t>
      </w:r>
      <w:fldSimple w:instr="NOTEREF _Ref_Footnote_23 \h \f">
        <w:r>
          <w:rPr>
            <w:vertAlign w:val="superscript"/>
          </w:rPr>
          <w:t>23</w:t>
        </w:r>
      </w:fldSimple>
      <w:r>
        <w:t xml:space="preserve"> </w:t>
      </w:r>
      <w:r>
        <w:rPr>
          <w:vertAlign w:val="superscript"/>
        </w:rPr>
        <w:footnoteReference w:id="131"/>
      </w:r>
      <w:r>
        <w:t xml:space="preserve">A critical distinction emerged: clinical DMT (therapist-led) produced smaller but highly consistent effects (</w:t>
      </w:r>
      <w:r>
        <w:rPr>
          <w:iCs/>
          <w:i/>
        </w:rPr>
        <w:t xml:space="preserve">d</w:t>
      </w:r>
      <w:r>
        <w:t xml:space="preserve"> </w:t>
      </w:r>
      <w:r>
        <w:t xml:space="preserve">= 0.30,</w:t>
      </w:r>
      <w:r>
        <w:t xml:space="preserve"> </w:t>
      </w:r>
      <m:oMath>
        <m:sSup>
          <m:e>
            <m:r>
              <m:t>I</m:t>
            </m:r>
          </m:e>
          <m:sup>
            <m:r>
              <m:t>2</m:t>
            </m:r>
          </m:sup>
        </m:sSup>
      </m:oMath>
      <w:r>
        <w:t xml:space="preserve"> </w:t>
      </w:r>
      <w:r>
        <w:t xml:space="preserve">= 3.47%), while dance interventions (instructor-led) produced larger but heterogeneous effects (</w:t>
      </w:r>
      <w:r>
        <w:rPr>
          <w:iCs/>
          <w:i/>
        </w:rPr>
        <w:t xml:space="preserve">d</w:t>
      </w:r>
      <w:r>
        <w:t xml:space="preserve"> </w:t>
      </w:r>
      <w:r>
        <w:t xml:space="preserve">= 0.81,</w:t>
      </w:r>
      <w:r>
        <w:t xml:space="preserve"> </w:t>
      </w:r>
      <m:oMath>
        <m:sSup>
          <m:e>
            <m:r>
              <m:t>I</m:t>
            </m:r>
          </m:e>
          <m:sup>
            <m:r>
              <m:t>2</m:t>
            </m:r>
          </m:sup>
        </m:sSup>
      </m:oMath>
      <w:r>
        <w:t xml:space="preserve"> </w:t>
      </w:r>
      <w:r>
        <w:t xml:space="preserve">= 77.96%).</w:t>
      </w:r>
      <w:fldSimple w:instr="NOTEREF _Ref_Footnote_23 \h \f">
        <w:r>
          <w:rPr>
            <w:vertAlign w:val="superscript"/>
          </w:rPr>
          <w:t>23</w:t>
        </w:r>
      </w:fldSimple>
      <w:r>
        <w:t xml:space="preserve">This likely reflects clinical reality: DMT studies enroll more severely impaired patients, where ceiling effects are lower.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Outcome Cluster</w:t>
            </w:r>
          </w:p>
        </w:tc>
        <w:tc>
          <w:tcPr/>
          <w:p>
            <w:pPr>
              <w:pStyle w:val="Compact"/>
              <w:jc w:val="left"/>
            </w:pPr>
            <w:r>
              <w:t xml:space="preserve">Effect Size (</w:t>
            </w:r>
            <w:r>
              <w:rPr>
                <w:iCs/>
                <w:i/>
              </w:rPr>
              <w:t xml:space="preserve">d</w:t>
            </w:r>
            <w:r>
              <w:t xml:space="preserve">)</w:t>
            </w:r>
          </w:p>
        </w:tc>
        <w:tc>
          <w:tcPr/>
          <w:p>
            <w:pPr>
              <w:pStyle w:val="Compact"/>
              <w:jc w:val="left"/>
            </w:pPr>
            <w:r>
              <w:t xml:space="preserve">Interpretation</w:t>
            </w:r>
          </w:p>
        </w:tc>
      </w:tr>
      <w:tr>
        <w:tc>
          <w:tcPr/>
          <w:p>
            <w:pPr>
              <w:pStyle w:val="Compact"/>
              <w:jc w:val="left"/>
            </w:pPr>
            <w:r>
              <w:t xml:space="preserve">Physiological variables</w:t>
            </w:r>
          </w:p>
        </w:tc>
        <w:tc>
          <w:tcPr/>
          <w:p>
            <w:pPr>
              <w:pStyle w:val="Compact"/>
              <w:jc w:val="left"/>
            </w:pPr>
            <w:r>
              <w:rPr>
                <w:bCs/>
                <w:b/>
              </w:rPr>
              <w:t xml:space="preserve">0.88</w:t>
            </w:r>
            <w:r>
              <w:t xml:space="preserve"> </w:t>
            </w:r>
            <w:fldSimple w:instr="NOTEREF _Ref_Footnote_23 \h \f">
              <w:r>
                <w:rPr>
                  <w:vertAlign w:val="superscript"/>
                </w:rPr>
                <w:t>23</w:t>
              </w:r>
            </w:fldSimple>
          </w:p>
        </w:tc>
        <w:tc>
          <w:tcPr/>
          <w:p>
            <w:pPr>
              <w:pStyle w:val="Compact"/>
              <w:jc w:val="left"/>
            </w:pPr>
            <w:r>
              <w:t xml:space="preserve">Large</w:t>
            </w:r>
          </w:p>
        </w:tc>
      </w:tr>
      <w:tr>
        <w:tc>
          <w:tcPr/>
          <w:p>
            <w:pPr>
              <w:pStyle w:val="Compact"/>
              <w:jc w:val="left"/>
            </w:pPr>
            <w:r>
              <w:t xml:space="preserve">Interpersonal skills</w:t>
            </w:r>
          </w:p>
        </w:tc>
        <w:tc>
          <w:tcPr/>
          <w:p>
            <w:pPr>
              <w:pStyle w:val="Compact"/>
              <w:jc w:val="left"/>
            </w:pPr>
            <w:r>
              <w:rPr>
                <w:bCs/>
                <w:b/>
              </w:rPr>
              <w:t xml:space="preserve">0.85</w:t>
            </w:r>
            <w:r>
              <w:t xml:space="preserve"> </w:t>
            </w:r>
            <w:fldSimple w:instr="NOTEREF _Ref_Footnote_23 \h \f">
              <w:r>
                <w:rPr>
                  <w:vertAlign w:val="superscript"/>
                </w:rPr>
                <w:t>23</w:t>
              </w:r>
            </w:fldSimple>
          </w:p>
        </w:tc>
        <w:tc>
          <w:tcPr/>
          <w:p>
            <w:pPr>
              <w:pStyle w:val="Compact"/>
              <w:jc w:val="left"/>
            </w:pPr>
            <w:r>
              <w:t xml:space="preserve">Large</w:t>
            </w:r>
          </w:p>
        </w:tc>
      </w:tr>
      <w:tr>
        <w:tc>
          <w:tcPr/>
          <w:p>
            <w:pPr>
              <w:pStyle w:val="Compact"/>
              <w:jc w:val="left"/>
            </w:pPr>
            <w:r>
              <w:t xml:space="preserve">Quality of life</w:t>
            </w:r>
          </w:p>
        </w:tc>
        <w:tc>
          <w:tcPr/>
          <w:p>
            <w:pPr>
              <w:pStyle w:val="Compact"/>
              <w:jc w:val="left"/>
            </w:pPr>
            <w:r>
              <w:rPr>
                <w:bCs/>
                <w:b/>
              </w:rPr>
              <w:t xml:space="preserve">0.67</w:t>
            </w:r>
            <w:r>
              <w:t xml:space="preserve"> </w:t>
            </w:r>
            <w:fldSimple w:instr="NOTEREF _Ref_Footnote_23 \h \f">
              <w:r>
                <w:rPr>
                  <w:vertAlign w:val="superscript"/>
                </w:rPr>
                <w:t>23</w:t>
              </w:r>
            </w:fldSimple>
          </w:p>
        </w:tc>
        <w:tc>
          <w:tcPr/>
          <w:p>
            <w:pPr>
              <w:pStyle w:val="Compact"/>
              <w:jc w:val="left"/>
            </w:pPr>
            <w:r>
              <w:t xml:space="preserve">Medium-large</w:t>
            </w:r>
          </w:p>
        </w:tc>
      </w:tr>
      <w:tr>
        <w:tc>
          <w:tcPr/>
          <w:p>
            <w:pPr>
              <w:pStyle w:val="Compact"/>
              <w:jc w:val="left"/>
            </w:pPr>
            <w:r>
              <w:t xml:space="preserve">(Psycho-)motor skills</w:t>
            </w:r>
          </w:p>
        </w:tc>
        <w:tc>
          <w:tcPr/>
          <w:p>
            <w:pPr>
              <w:pStyle w:val="Compact"/>
              <w:jc w:val="left"/>
            </w:pPr>
            <w:r>
              <w:rPr>
                <w:bCs/>
                <w:b/>
              </w:rPr>
              <w:t xml:space="preserve">0.65</w:t>
            </w:r>
            <w:r>
              <w:t xml:space="preserve"> </w:t>
            </w:r>
            <w:fldSimple w:instr="NOTEREF _Ref_Footnote_23 \h \f">
              <w:r>
                <w:rPr>
                  <w:vertAlign w:val="superscript"/>
                </w:rPr>
                <w:t>23</w:t>
              </w:r>
            </w:fldSimple>
          </w:p>
        </w:tc>
        <w:tc>
          <w:tcPr/>
          <w:p>
            <w:pPr>
              <w:pStyle w:val="Compact"/>
              <w:jc w:val="left"/>
            </w:pPr>
            <w:r>
              <w:t xml:space="preserve">Medium-large</w:t>
            </w:r>
          </w:p>
        </w:tc>
      </w:tr>
      <w:tr>
        <w:tc>
          <w:tcPr/>
          <w:p>
            <w:pPr>
              <w:pStyle w:val="Compact"/>
              <w:jc w:val="left"/>
            </w:pPr>
            <w:r>
              <w:t xml:space="preserve">Affect (depression/anxiety)</w:t>
            </w:r>
          </w:p>
        </w:tc>
        <w:tc>
          <w:tcPr/>
          <w:p>
            <w:pPr>
              <w:pStyle w:val="Compact"/>
              <w:jc w:val="left"/>
            </w:pPr>
            <w:r>
              <w:rPr>
                <w:bCs/>
                <w:b/>
              </w:rPr>
              <w:t xml:space="preserve">0.56</w:t>
            </w:r>
            <w:r>
              <w:t xml:space="preserve"> </w:t>
            </w:r>
            <w:fldSimple w:instr="NOTEREF _Ref_Footnote_23 \h \f">
              <w:r>
                <w:rPr>
                  <w:vertAlign w:val="superscript"/>
                </w:rPr>
                <w:t>23</w:t>
              </w:r>
            </w:fldSimple>
          </w:p>
        </w:tc>
        <w:tc>
          <w:tcPr/>
          <w:p>
            <w:pPr>
              <w:pStyle w:val="Compact"/>
              <w:jc w:val="left"/>
            </w:pPr>
            <w:r>
              <w:t xml:space="preserve">Medium</w:t>
            </w:r>
          </w:p>
        </w:tc>
      </w:tr>
      <w:tr>
        <w:tc>
          <w:tcPr/>
          <w:p>
            <w:pPr>
              <w:pStyle w:val="Compact"/>
              <w:jc w:val="left"/>
            </w:pPr>
            <w:r>
              <w:t xml:space="preserve">Cognitive skills</w:t>
            </w:r>
          </w:p>
        </w:tc>
        <w:tc>
          <w:tcPr/>
          <w:p>
            <w:pPr>
              <w:pStyle w:val="Compact"/>
              <w:jc w:val="left"/>
            </w:pPr>
            <w:r>
              <w:rPr>
                <w:bCs/>
                <w:b/>
              </w:rPr>
              <w:t xml:space="preserve">0.53</w:t>
            </w:r>
            <w:r>
              <w:t xml:space="preserve"> </w:t>
            </w:r>
            <w:fldSimple w:instr="NOTEREF _Ref_Footnote_23 \h \f">
              <w:r>
                <w:rPr>
                  <w:vertAlign w:val="superscript"/>
                </w:rPr>
                <w:t>23</w:t>
              </w:r>
            </w:fldSimple>
          </w:p>
        </w:tc>
        <w:tc>
          <w:tcPr/>
          <w:p>
            <w:pPr>
              <w:pStyle w:val="Compact"/>
              <w:jc w:val="left"/>
            </w:pPr>
            <w:r>
              <w:t xml:space="preserve">Medium</w:t>
            </w:r>
          </w:p>
        </w:tc>
      </w:tr>
    </w:tbl>
    <w:p>
      <w:pPr>
        <w:pStyle w:val="BodyText"/>
      </w:pPr>
      <w:r>
        <w:t xml:space="preserve">Sub-analyses for depression specifically (</w:t>
      </w:r>
      <w:r>
        <w:rPr>
          <w:iCs/>
          <w:i/>
        </w:rPr>
        <w:t xml:space="preserve">k</w:t>
      </w:r>
      <w:r>
        <w:t xml:space="preserve"> </w:t>
      </w:r>
      <w:r>
        <w:t xml:space="preserve">= 18 studies) yielded</w:t>
      </w:r>
      <w:r>
        <w:t xml:space="preserve"> </w:t>
      </w:r>
      <w:r>
        <w:rPr>
          <w:iCs/>
          <w:i/>
        </w:rPr>
        <w:t xml:space="preserve">d</w:t>
      </w:r>
      <w:r>
        <w:t xml:space="preserve"> </w:t>
      </w:r>
      <w:r>
        <w:t xml:space="preserve">= 0.54 (</w:t>
      </w:r>
      <w:r>
        <w:rPr>
          <w:iCs/>
          <w:i/>
        </w:rPr>
        <w:t xml:space="preserve">p</w:t>
      </w:r>
      <w:r>
        <w:t xml:space="preserve"> </w:t>
      </w:r>
      <w:r>
        <w:t xml:space="preserve">&lt; .001), and for anxiety (</w:t>
      </w:r>
      <w:r>
        <w:rPr>
          <w:iCs/>
          <w:i/>
        </w:rPr>
        <w:t xml:space="preserve">k</w:t>
      </w:r>
      <w:r>
        <w:t xml:space="preserve"> </w:t>
      </w:r>
      <w:r>
        <w:t xml:space="preserve">= 9 studies),</w:t>
      </w:r>
      <w:r>
        <w:t xml:space="preserve"> </w:t>
      </w:r>
      <w:r>
        <w:rPr>
          <w:iCs/>
          <w:i/>
        </w:rPr>
        <w:t xml:space="preserve">d</w:t>
      </w:r>
      <w:r>
        <w:t xml:space="preserve"> </w:t>
      </w:r>
      <w:r>
        <w:t xml:space="preserve">= 0.47 (</w:t>
      </w:r>
      <w:r>
        <w:rPr>
          <w:iCs/>
          <w:i/>
        </w:rPr>
        <w:t xml:space="preserve">p</w:t>
      </w:r>
      <w:r>
        <w:t xml:space="preserve"> </w:t>
      </w:r>
      <w:r>
        <w:t xml:space="preserve">= .015).</w:t>
      </w:r>
      <w:fldSimple w:instr="NOTEREF _Ref_Footnote_23 \h \f">
        <w:r>
          <w:rPr>
            <w:vertAlign w:val="superscript"/>
          </w:rPr>
          <w:t>23</w:t>
        </w:r>
      </w:fldSimple>
      <w:r>
        <w:t xml:space="preserve">Effects remained stable or slightly</w:t>
      </w:r>
      <w:r>
        <w:t xml:space="preserve"> </w:t>
      </w:r>
      <w:r>
        <w:rPr>
          <w:iCs/>
          <w:i/>
        </w:rPr>
        <w:t xml:space="preserve">increased</w:t>
      </w:r>
      <w:r>
        <w:t xml:space="preserve"> </w:t>
      </w:r>
      <w:r>
        <w:t xml:space="preserve">at a mean 22-week follow-up; in some studies, effects tripled between post-treatment and follow-up, attributed to continued development of mindfulness skills.</w:t>
      </w:r>
      <w:fldSimple w:instr="NOTEREF _Ref_Footnote_23 \h \f">
        <w:r>
          <w:rPr>
            <w:vertAlign w:val="superscript"/>
          </w:rPr>
          <w:t>23</w:t>
        </w:r>
      </w:fldSimple>
      <w:r>
        <w:t xml:space="preserve">#### 2.2.2 Finnish Multicenter RCT</w:t>
      </w:r>
    </w:p>
    <w:p>
      <w:pPr>
        <w:pStyle w:val="BodyText"/>
      </w:pPr>
      <w:r>
        <w:t xml:space="preserve">Hyvönen and colleagues (2020) randomized</w:t>
      </w:r>
      <w:r>
        <w:t xml:space="preserve"> </w:t>
      </w:r>
      <w:r>
        <w:rPr>
          <w:iCs/>
          <w:i/>
        </w:rPr>
        <w:t xml:space="preserve">N</w:t>
      </w:r>
      <w:r>
        <w:t xml:space="preserve"> </w:t>
      </w:r>
      <w:r>
        <w:t xml:space="preserve">= 109 participants with clinical depression across multiple Finnish centers to DMT plus treatment-as-usual (TAU,</w:t>
      </w:r>
      <w:r>
        <w:t xml:space="preserve"> </w:t>
      </w:r>
      <w:r>
        <w:rPr>
          <w:iCs/>
          <w:i/>
        </w:rPr>
        <w:t xml:space="preserve">n</w:t>
      </w:r>
      <w:r>
        <w:t xml:space="preserve"> </w:t>
      </w:r>
      <w:r>
        <w:t xml:space="preserve">= 52) versus TAU only (</w:t>
      </w:r>
      <w:r>
        <w:rPr>
          <w:iCs/>
          <w:i/>
        </w:rPr>
        <w:t xml:space="preserve">n</w:t>
      </w:r>
      <w:r>
        <w:t xml:space="preserve"> </w:t>
      </w:r>
      <w:r>
        <w:t xml:space="preserve">= 57).</w:t>
      </w:r>
      <w:fldSimple w:instr="NOTEREF _Ref_Footnote_16 \h \f">
        <w:r>
          <w:rPr>
            <w:vertAlign w:val="superscript"/>
          </w:rPr>
          <w:t>16</w:t>
        </w:r>
      </w:fldSimple>
      <w:r>
        <w:t xml:space="preserve">Participants received 20 DMT sessions (75 minutes, twice weekly) over 10 weeks, with three-month follow-up.</w:t>
      </w:r>
      <w:fldSimple w:instr="NOTEREF _Ref_Footnote_16 \h \f">
        <w:r>
          <w:rPr>
            <w:vertAlign w:val="superscript"/>
          </w:rPr>
          <w:t>16</w:t>
        </w:r>
      </w:fldSimple>
      <w:r>
        <w:t xml:space="preserve"> </w:t>
      </w:r>
      <w:r>
        <w:rPr>
          <w:vertAlign w:val="superscript"/>
        </w:rPr>
        <w:footnoteReference w:id="132"/>
      </w:r>
      <w:r>
        <w:t xml:space="preserve">The between-group effect size was</w:t>
      </w:r>
      <w:r>
        <w:t xml:space="preserve"> </w:t>
      </w:r>
      <w:r>
        <w:rPr>
          <w:iCs/>
          <w:i/>
        </w:rPr>
        <w:t xml:space="preserve">d</w:t>
      </w:r>
      <w:r>
        <w:t xml:space="preserve"> </w:t>
      </w:r>
      <w:r>
        <w:t xml:space="preserve">= 0.72 (medium-to-large), with an NNT of 3—meaning one additional patient achieves clinically meaningful improvement for every three receiving DMT.</w:t>
      </w:r>
      <w:fldSimple w:instr="NOTEREF _Ref_Footnote_16 \h \f">
        <w:r>
          <w:rPr>
            <w:vertAlign w:val="superscript"/>
          </w:rPr>
          <w:t>16</w:t>
        </w:r>
      </w:fldSimple>
      <w:r>
        <w:t xml:space="preserve">Using the Reliable Change Index, 43.3% of the DMT group recovered or improved versus only 14.3% of controls; none of the DMT participants deteriorated.</w:t>
      </w:r>
      <w:r>
        <w:rPr>
          <w:vertAlign w:val="superscript"/>
        </w:rPr>
        <w:footnoteReference w:id="133"/>
      </w:r>
      <w:r>
        <w:t xml:space="preserve">Secondary outcomes on psychological distress (CORE-OM) and psychiatric symptoms (SCL-90) reinforced the primary finding, with DMT improving somatization and autonomic arousal symptoms that conventional psychotherapy often leaves unaddressed.</w:t>
      </w:r>
      <w:fldSimple w:instr="NOTEREF _Ref_Footnote_16 \h \f">
        <w:r>
          <w:rPr>
            <w:vertAlign w:val="superscript"/>
          </w:rPr>
          <w:t>16</w:t>
        </w:r>
      </w:fldSimple>
      <w:r>
        <w:t xml:space="preserve">#### 2.2.3 Yoga for Depression: Type-Specific Efficacy</w:t>
      </w:r>
    </w:p>
    <w:p>
      <w:pPr>
        <w:pStyle w:val="BodyText"/>
      </w:pPr>
      <w:r>
        <w:t xml:space="preserve">Nejadghaderi and colleagues’ 2024 systematic review of 20 RCTs found yoga significantly improved self-reported PTSD (SMD = −0.51) and depression (immediate: SMD = −0.39; long-term: SMD = −0.44).</w:t>
      </w:r>
      <w:fldSimple w:instr="NOTEREF _Ref_Footnote_48 \h \f">
        <w:r>
          <w:rPr>
            <w:vertAlign w:val="superscript"/>
          </w:rPr>
          <w:t>48</w:t>
        </w:r>
      </w:fldSimple>
      <w:r>
        <w:t xml:space="preserve"> </w:t>
      </w:r>
      <w:r>
        <w:rPr>
          <w:vertAlign w:val="superscript"/>
        </w:rPr>
        <w:footnoteReference w:id="134"/>
      </w:r>
      <w:r>
        <w:t xml:space="preserve">Not all yoga approaches are equally effective: TCTSY, Kundalini, Satyananda, and Holistic yoga showed the strongest effects, while other forms produced minimal benefit.</w:t>
      </w:r>
      <w:fldSimple w:instr="NOTEREF _Ref_Footnote_48 \h \f">
        <w:r>
          <w:rPr>
            <w:vertAlign w:val="superscript"/>
          </w:rPr>
          <w:t>48</w:t>
        </w:r>
      </w:fldSimple>
      <w:r>
        <w:t xml:space="preserve">No serious adverse events were reported.</w:t>
      </w:r>
      <w:fldSimple w:instr="NOTEREF _Ref_Footnote_48 \h \f">
        <w:r>
          <w:rPr>
            <w:vertAlign w:val="superscript"/>
          </w:rPr>
          <w:t>48</w:t>
        </w:r>
      </w:fldSimple>
      <w:r>
        <w:t xml:space="preserve">#### 2.2.4 Alexander Technique: Chronic Pain with Mood Improvements</w:t>
      </w:r>
    </w:p>
    <w:p>
      <w:pPr>
        <w:pStyle w:val="BodyText"/>
      </w:pPr>
      <w:r>
        <w:t xml:space="preserve">The ATLAS RCT (</w:t>
      </w:r>
      <w:r>
        <w:rPr>
          <w:iCs/>
          <w:i/>
        </w:rPr>
        <w:t xml:space="preserve">n</w:t>
      </w:r>
      <w:r>
        <w:t xml:space="preserve"> </w:t>
      </w:r>
      <w:r>
        <w:t xml:space="preserve">= 517) tested the Alexander Technique for chronic neck pain, one of the largest trials in the body-therapy literature.</w:t>
      </w:r>
      <w:r>
        <w:rPr>
          <w:vertAlign w:val="superscript"/>
        </w:rPr>
        <w:footnoteReference w:id="135"/>
      </w:r>
      <w:r>
        <w:t xml:space="preserve">At six months, 81% of the Alexander Technique group reported significant improvement in how they lived and managed their pain, compared to only 23% of the usual care group; at 12 months, this divergence widened to 87% versus 25%.</w:t>
      </w:r>
      <w:fldSimple w:instr="NOTEREF _Ref_Footnote_135 \h \f">
        <w:r>
          <w:rPr>
            <w:vertAlign w:val="superscript"/>
          </w:rPr>
          <w:t>135</w:t>
        </w:r>
      </w:fldSimple>
      <w:r>
        <w:t xml:space="preserve">Significant improvements were observed in 9 of 11 self-efficacy measures at six months and 8 of 11 at 12 months, with mood improvements maintained over the full year.</w:t>
      </w:r>
      <w:fldSimple w:instr="NOTEREF _Ref_Footnote_135 \h \f">
        <w:r>
          <w:rPr>
            <w:vertAlign w:val="superscript"/>
          </w:rPr>
          <w:t>135</w:t>
        </w:r>
      </w:fldSimple>
      <w:r>
        <w:t xml:space="preserve">An earlier landmark RCT for chronic back pain (</w:t>
      </w:r>
      <w:r>
        <w:rPr>
          <w:iCs/>
          <w:i/>
        </w:rPr>
        <w:t xml:space="preserve">n</w:t>
      </w:r>
      <w:r>
        <w:t xml:space="preserve"> </w:t>
      </w:r>
      <w:r>
        <w:t xml:space="preserve">= 579, published in the</w:t>
      </w:r>
      <w:r>
        <w:t xml:space="preserve"> </w:t>
      </w:r>
      <w:r>
        <w:rPr>
          <w:iCs/>
          <w:i/>
        </w:rPr>
        <w:t xml:space="preserve">BMJ</w:t>
      </w:r>
      <w:r>
        <w:t xml:space="preserve">) found that 24 one-to-one Alexander Technique lessons produced a 42% reduction in Roland disability scores and an 86% reduction in days in pain versus control.</w:t>
      </w:r>
      <w:r>
        <w:rPr>
          <w:vertAlign w:val="superscript"/>
        </w:rPr>
        <w:footnoteReference w:id="136"/>
      </w:r>
      <w:r>
        <w:rPr>
          <w:bCs/>
          <w:b/>
        </w:rPr>
        <w:t xml:space="preserve">Table 2.2: Depression &amp; Anxiety Evidence Comparison</w:t>
      </w:r>
    </w:p>
    <w:tbl>
      <w:tblPr>
        <w:tblStyle w:val="Table"/>
        <w:tblW w:type="pct" w:w="5000"/>
        <w:tblLook w:firstRow="1" w:lastRow="0" w:firstColumn="0" w:lastColumn="0" w:noHBand="0" w:noVBand="0" w:val="0020"/>
      </w:tblPr>
      <w:tblGrid>
        <w:gridCol w:w="1372"/>
        <w:gridCol w:w="1161"/>
        <w:gridCol w:w="633"/>
        <w:gridCol w:w="1161"/>
        <w:gridCol w:w="1689"/>
        <w:gridCol w:w="1372"/>
        <w:gridCol w:w="528"/>
      </w:tblGrid>
      <w:tr>
        <w:trPr>
          <w:tblHeader w:val="true"/>
        </w:trPr>
        <w:tc>
          <w:tcPr/>
          <w:p>
            <w:pPr>
              <w:pStyle w:val="Compact"/>
              <w:jc w:val="left"/>
            </w:pPr>
            <w:r>
              <w:t xml:space="preserve">Intervention</w:t>
            </w:r>
          </w:p>
        </w:tc>
        <w:tc>
          <w:tcPr/>
          <w:p>
            <w:pPr>
              <w:pStyle w:val="Compact"/>
              <w:jc w:val="left"/>
            </w:pPr>
            <w:r>
              <w:t xml:space="preserve">Key Study</w:t>
            </w:r>
          </w:p>
        </w:tc>
        <w:tc>
          <w:tcPr/>
          <w:p>
            <w:pPr>
              <w:pStyle w:val="Compact"/>
              <w:jc w:val="left"/>
            </w:pPr>
            <w:r>
              <w:rPr>
                <w:iCs/>
                <w:i/>
              </w:rPr>
              <w:t xml:space="preserve">N</w:t>
            </w:r>
          </w:p>
        </w:tc>
        <w:tc>
          <w:tcPr/>
          <w:p>
            <w:pPr>
              <w:pStyle w:val="Compact"/>
              <w:jc w:val="left"/>
            </w:pPr>
            <w:r>
              <w:t xml:space="preserve">Condition</w:t>
            </w:r>
          </w:p>
        </w:tc>
        <w:tc>
          <w:tcPr/>
          <w:p>
            <w:pPr>
              <w:pStyle w:val="Compact"/>
              <w:jc w:val="left"/>
            </w:pPr>
            <w:r>
              <w:t xml:space="preserve">Primary Outcome</w:t>
            </w:r>
          </w:p>
        </w:tc>
        <w:tc>
          <w:tcPr/>
          <w:p>
            <w:pPr>
              <w:pStyle w:val="Compact"/>
              <w:jc w:val="left"/>
            </w:pPr>
            <w:r>
              <w:t xml:space="preserve">Effect Size</w:t>
            </w:r>
          </w:p>
        </w:tc>
        <w:tc>
          <w:tcPr/>
          <w:p>
            <w:pPr>
              <w:pStyle w:val="Compact"/>
              <w:jc w:val="left"/>
            </w:pPr>
            <w:r>
              <w:t xml:space="preserve">NNT</w:t>
            </w:r>
          </w:p>
        </w:tc>
      </w:tr>
      <w:tr>
        <w:tc>
          <w:tcPr/>
          <w:p>
            <w:pPr>
              <w:pStyle w:val="Compact"/>
              <w:jc w:val="left"/>
            </w:pPr>
            <w:r>
              <w:t xml:space="preserve">DMT (overall)</w:t>
            </w:r>
          </w:p>
        </w:tc>
        <w:tc>
          <w:tcPr/>
          <w:p>
            <w:pPr>
              <w:pStyle w:val="Compact"/>
              <w:jc w:val="left"/>
            </w:pPr>
            <w:r>
              <w:t xml:space="preserve">Koch et al. (2019)</w:t>
            </w:r>
          </w:p>
        </w:tc>
        <w:tc>
          <w:tcPr/>
          <w:p>
            <w:pPr>
              <w:pStyle w:val="Compact"/>
              <w:jc w:val="left"/>
            </w:pPr>
            <w:r>
              <w:t xml:space="preserve">2,374 (41 studies)</w:t>
            </w:r>
          </w:p>
        </w:tc>
        <w:tc>
          <w:tcPr/>
          <w:p>
            <w:pPr>
              <w:pStyle w:val="Compact"/>
              <w:jc w:val="left"/>
            </w:pPr>
            <w:r>
              <w:t xml:space="preserve">Mixed</w:t>
            </w:r>
          </w:p>
        </w:tc>
        <w:tc>
          <w:tcPr/>
          <w:p>
            <w:pPr>
              <w:pStyle w:val="Compact"/>
              <w:jc w:val="left"/>
            </w:pPr>
            <w:r>
              <w:t xml:space="preserve">Psychological health</w:t>
            </w:r>
          </w:p>
        </w:tc>
        <w:tc>
          <w:tcPr/>
          <w:p>
            <w:pPr>
              <w:pStyle w:val="Compact"/>
              <w:jc w:val="left"/>
            </w:pPr>
            <w:r>
              <w:rPr>
                <w:iCs/>
                <w:i/>
              </w:rPr>
              <w:t xml:space="preserve">d</w:t>
            </w:r>
            <w:r>
              <w:t xml:space="preserve"> </w:t>
            </w:r>
            <w:r>
              <w:t xml:space="preserve">= 0.60</w:t>
            </w:r>
            <w:r>
              <w:t xml:space="preserve"> </w:t>
            </w:r>
            <w:fldSimple w:instr="NOTEREF _Ref_Footnote_23 \h \f">
              <w:r>
                <w:rPr>
                  <w:vertAlign w:val="superscript"/>
                </w:rPr>
                <w:t>23</w:t>
              </w:r>
            </w:fldSimple>
          </w:p>
        </w:tc>
        <w:tc>
          <w:tcPr/>
          <w:p>
            <w:pPr>
              <w:pStyle w:val="Compact"/>
              <w:jc w:val="left"/>
            </w:pPr>
            <w:r>
              <w:t xml:space="preserve">—</w:t>
            </w:r>
          </w:p>
        </w:tc>
      </w:tr>
      <w:tr>
        <w:tc>
          <w:tcPr/>
          <w:p>
            <w:pPr>
              <w:pStyle w:val="Compact"/>
              <w:jc w:val="left"/>
            </w:pPr>
            <w:r>
              <w:t xml:space="preserve">DMT (clinical)</w:t>
            </w:r>
          </w:p>
        </w:tc>
        <w:tc>
          <w:tcPr/>
          <w:p>
            <w:pPr>
              <w:pStyle w:val="Compact"/>
              <w:jc w:val="left"/>
            </w:pPr>
            <w:r>
              <w:t xml:space="preserve">Koch et al. (2019)</w:t>
            </w:r>
          </w:p>
        </w:tc>
        <w:tc>
          <w:tcPr/>
          <w:p>
            <w:pPr>
              <w:pStyle w:val="Compact"/>
              <w:jc w:val="left"/>
            </w:pPr>
            <w:r>
              <w:t xml:space="preserve">2,374 (41 studies)</w:t>
            </w:r>
          </w:p>
        </w:tc>
        <w:tc>
          <w:tcPr/>
          <w:p>
            <w:pPr>
              <w:pStyle w:val="Compact"/>
              <w:jc w:val="left"/>
            </w:pPr>
            <w:r>
              <w:t xml:space="preserve">Mixed</w:t>
            </w:r>
          </w:p>
        </w:tc>
        <w:tc>
          <w:tcPr/>
          <w:p>
            <w:pPr>
              <w:pStyle w:val="Compact"/>
              <w:jc w:val="left"/>
            </w:pPr>
            <w:r>
              <w:t xml:space="preserve">Psychological health</w:t>
            </w:r>
          </w:p>
        </w:tc>
        <w:tc>
          <w:tcPr/>
          <w:p>
            <w:pPr>
              <w:pStyle w:val="Compact"/>
              <w:jc w:val="left"/>
            </w:pPr>
            <w:r>
              <w:rPr>
                <w:iCs/>
                <w:i/>
              </w:rPr>
              <w:t xml:space="preserve">d</w:t>
            </w:r>
            <w:r>
              <w:t xml:space="preserve"> </w:t>
            </w:r>
            <w:r>
              <w:t xml:space="preserve">= 0.30</w:t>
            </w:r>
            <w:r>
              <w:t xml:space="preserve"> </w:t>
            </w:r>
            <w:fldSimple w:instr="NOTEREF _Ref_Footnote_23 \h \f">
              <w:r>
                <w:rPr>
                  <w:vertAlign w:val="superscript"/>
                </w:rPr>
                <w:t>23</w:t>
              </w:r>
            </w:fldSimple>
          </w:p>
        </w:tc>
        <w:tc>
          <w:tcPr/>
          <w:p>
            <w:pPr>
              <w:pStyle w:val="Compact"/>
              <w:jc w:val="left"/>
            </w:pPr>
            <w:r>
              <w:t xml:space="preserve">—</w:t>
            </w:r>
          </w:p>
        </w:tc>
      </w:tr>
      <w:tr>
        <w:tc>
          <w:tcPr/>
          <w:p>
            <w:pPr>
              <w:pStyle w:val="Compact"/>
              <w:jc w:val="left"/>
            </w:pPr>
            <w:r>
              <w:t xml:space="preserve">DMT + TAU</w:t>
            </w:r>
          </w:p>
        </w:tc>
        <w:tc>
          <w:tcPr/>
          <w:p>
            <w:pPr>
              <w:pStyle w:val="Compact"/>
              <w:jc w:val="left"/>
            </w:pPr>
            <w:r>
              <w:t xml:space="preserve">Hyvönen et al. (2020)</w:t>
            </w:r>
          </w:p>
        </w:tc>
        <w:tc>
          <w:tcPr/>
          <w:p>
            <w:pPr>
              <w:pStyle w:val="Compact"/>
              <w:jc w:val="left"/>
            </w:pPr>
            <w:r>
              <w:t xml:space="preserve">109</w:t>
            </w:r>
          </w:p>
        </w:tc>
        <w:tc>
          <w:tcPr/>
          <w:p>
            <w:pPr>
              <w:pStyle w:val="Compact"/>
              <w:jc w:val="left"/>
            </w:pPr>
            <w:r>
              <w:t xml:space="preserve">Depression</w:t>
            </w:r>
          </w:p>
        </w:tc>
        <w:tc>
          <w:tcPr/>
          <w:p>
            <w:pPr>
              <w:pStyle w:val="Compact"/>
              <w:jc w:val="left"/>
            </w:pPr>
            <w:r>
              <w:t xml:space="preserve">BDI</w:t>
            </w:r>
          </w:p>
        </w:tc>
        <w:tc>
          <w:tcPr/>
          <w:p>
            <w:pPr>
              <w:pStyle w:val="Compact"/>
              <w:jc w:val="left"/>
            </w:pPr>
            <w:r>
              <w:rPr>
                <w:iCs/>
                <w:i/>
              </w:rPr>
              <w:t xml:space="preserve">d</w:t>
            </w:r>
            <w:r>
              <w:t xml:space="preserve"> </w:t>
            </w:r>
            <w:r>
              <w:t xml:space="preserve">= 0.72</w:t>
            </w:r>
            <w:r>
              <w:t xml:space="preserve"> </w:t>
            </w:r>
            <w:fldSimple w:instr="NOTEREF _Ref_Footnote_16 \h \f">
              <w:r>
                <w:rPr>
                  <w:vertAlign w:val="superscript"/>
                </w:rPr>
                <w:t>16</w:t>
              </w:r>
            </w:fldSimple>
          </w:p>
        </w:tc>
        <w:tc>
          <w:tcPr/>
          <w:p>
            <w:pPr>
              <w:pStyle w:val="Compact"/>
              <w:jc w:val="left"/>
            </w:pPr>
            <w:r>
              <w:t xml:space="preserve">3</w:t>
            </w:r>
            <w:r>
              <w:t xml:space="preserve"> </w:t>
            </w:r>
            <w:fldSimple w:instr="NOTEREF _Ref_Footnote_16 \h \f">
              <w:r>
                <w:rPr>
                  <w:vertAlign w:val="superscript"/>
                </w:rPr>
                <w:t>16</w:t>
              </w:r>
            </w:fldSimple>
          </w:p>
        </w:tc>
      </w:tr>
      <w:tr>
        <w:tc>
          <w:tcPr/>
          <w:p>
            <w:pPr>
              <w:pStyle w:val="Compact"/>
              <w:jc w:val="left"/>
            </w:pPr>
            <w:r>
              <w:t xml:space="preserve">TCTSY</w:t>
            </w:r>
          </w:p>
        </w:tc>
        <w:tc>
          <w:tcPr/>
          <w:p>
            <w:pPr>
              <w:pStyle w:val="Compact"/>
              <w:jc w:val="left"/>
            </w:pPr>
            <w:r>
              <w:t xml:space="preserve">van der Kolk et al. (2014)</w:t>
            </w:r>
          </w:p>
        </w:tc>
        <w:tc>
          <w:tcPr/>
          <w:p>
            <w:pPr>
              <w:pStyle w:val="Compact"/>
              <w:jc w:val="left"/>
            </w:pPr>
            <w:r>
              <w:t xml:space="preserve">64</w:t>
            </w:r>
          </w:p>
        </w:tc>
        <w:tc>
          <w:tcPr/>
          <w:p>
            <w:pPr>
              <w:pStyle w:val="Compact"/>
              <w:jc w:val="left"/>
            </w:pPr>
            <w:r>
              <w:t xml:space="preserve">PTSD + depression</w:t>
            </w:r>
          </w:p>
        </w:tc>
        <w:tc>
          <w:tcPr/>
          <w:p>
            <w:pPr>
              <w:pStyle w:val="Compact"/>
              <w:jc w:val="left"/>
            </w:pPr>
            <w:r>
              <w:t xml:space="preserve">CAPS + mood</w:t>
            </w:r>
          </w:p>
        </w:tc>
        <w:tc>
          <w:tcPr/>
          <w:p>
            <w:pPr>
              <w:pStyle w:val="Compact"/>
              <w:jc w:val="left"/>
            </w:pPr>
            <w:r>
              <w:rPr>
                <w:iCs/>
                <w:i/>
              </w:rPr>
              <w:t xml:space="preserve">d</w:t>
            </w:r>
            <w:r>
              <w:t xml:space="preserve"> </w:t>
            </w:r>
            <w:r>
              <w:t xml:space="preserve">= 1.07</w:t>
            </w:r>
            <w:r>
              <w:t xml:space="preserve"> </w:t>
            </w:r>
            <w:fldSimple w:instr="NOTEREF _Ref_Footnote_14 \h \f">
              <w:r>
                <w:rPr>
                  <w:vertAlign w:val="superscript"/>
                </w:rPr>
                <w:t>14</w:t>
              </w:r>
            </w:fldSimple>
          </w:p>
        </w:tc>
        <w:tc>
          <w:tcPr/>
          <w:p>
            <w:pPr>
              <w:pStyle w:val="Compact"/>
              <w:jc w:val="left"/>
            </w:pPr>
            <w:r>
              <w:t xml:space="preserve">—</w:t>
            </w:r>
          </w:p>
        </w:tc>
      </w:tr>
      <w:tr>
        <w:tc>
          <w:tcPr/>
          <w:p>
            <w:pPr>
              <w:pStyle w:val="Compact"/>
              <w:jc w:val="left"/>
            </w:pPr>
            <w:r>
              <w:t xml:space="preserve">Yoga (multiple)</w:t>
            </w:r>
          </w:p>
        </w:tc>
        <w:tc>
          <w:tcPr/>
          <w:p>
            <w:pPr>
              <w:pStyle w:val="Compact"/>
              <w:jc w:val="left"/>
            </w:pPr>
            <w:r>
              <w:t xml:space="preserve">Nejadghaderi et al. (2024)</w:t>
            </w:r>
          </w:p>
        </w:tc>
        <w:tc>
          <w:tcPr/>
          <w:p>
            <w:pPr>
              <w:pStyle w:val="Compact"/>
              <w:jc w:val="left"/>
            </w:pPr>
            <w:r>
              <w:t xml:space="preserve">20 RCTs</w:t>
            </w:r>
          </w:p>
        </w:tc>
        <w:tc>
          <w:tcPr/>
          <w:p>
            <w:pPr>
              <w:pStyle w:val="Compact"/>
              <w:jc w:val="left"/>
            </w:pPr>
            <w:r>
              <w:t xml:space="preserve">PTSD + depression</w:t>
            </w:r>
          </w:p>
        </w:tc>
        <w:tc>
          <w:tcPr/>
          <w:p>
            <w:pPr>
              <w:pStyle w:val="Compact"/>
              <w:jc w:val="left"/>
            </w:pPr>
            <w:r>
              <w:t xml:space="preserve">Self-report</w:t>
            </w:r>
          </w:p>
        </w:tc>
        <w:tc>
          <w:tcPr/>
          <w:p>
            <w:pPr>
              <w:pStyle w:val="Compact"/>
              <w:jc w:val="left"/>
            </w:pPr>
            <w:r>
              <w:t xml:space="preserve">SMD = −0.51</w:t>
            </w:r>
            <w:r>
              <w:t xml:space="preserve"> </w:t>
            </w:r>
            <w:fldSimple w:instr="NOTEREF _Ref_Footnote_48 \h \f">
              <w:r>
                <w:rPr>
                  <w:vertAlign w:val="superscript"/>
                </w:rPr>
                <w:t>48</w:t>
              </w:r>
            </w:fldSimple>
          </w:p>
        </w:tc>
        <w:tc>
          <w:tcPr/>
          <w:p>
            <w:pPr>
              <w:pStyle w:val="Compact"/>
              <w:jc w:val="left"/>
            </w:pPr>
            <w:r>
              <w:t xml:space="preserve">—</w:t>
            </w:r>
          </w:p>
        </w:tc>
      </w:tr>
      <w:tr>
        <w:tc>
          <w:tcPr/>
          <w:p>
            <w:pPr>
              <w:pStyle w:val="Compact"/>
              <w:jc w:val="left"/>
            </w:pPr>
            <w:r>
              <w:t xml:space="preserve">Alexander Technique</w:t>
            </w:r>
          </w:p>
        </w:tc>
        <w:tc>
          <w:tcPr/>
          <w:p>
            <w:pPr>
              <w:pStyle w:val="Compact"/>
              <w:jc w:val="left"/>
            </w:pPr>
            <w:r>
              <w:t xml:space="preserve">ATLAS Trial (2017)</w:t>
            </w:r>
          </w:p>
        </w:tc>
        <w:tc>
          <w:tcPr/>
          <w:p>
            <w:pPr>
              <w:pStyle w:val="Compact"/>
              <w:jc w:val="left"/>
            </w:pPr>
            <w:r>
              <w:t xml:space="preserve">517</w:t>
            </w:r>
          </w:p>
        </w:tc>
        <w:tc>
          <w:tcPr/>
          <w:p>
            <w:pPr>
              <w:pStyle w:val="Compact"/>
              <w:jc w:val="left"/>
            </w:pPr>
            <w:r>
              <w:t xml:space="preserve">Chronic pain + mood</w:t>
            </w:r>
          </w:p>
        </w:tc>
        <w:tc>
          <w:tcPr/>
          <w:p>
            <w:pPr>
              <w:pStyle w:val="Compact"/>
              <w:jc w:val="left"/>
            </w:pPr>
            <w:r>
              <w:t xml:space="preserve">Self-efficacy</w:t>
            </w:r>
          </w:p>
        </w:tc>
        <w:tc>
          <w:tcPr/>
          <w:p>
            <w:pPr>
              <w:pStyle w:val="Compact"/>
              <w:jc w:val="left"/>
            </w:pPr>
            <w:r>
              <w:t xml:space="preserve">81–87% improved</w:t>
            </w:r>
            <w:r>
              <w:t xml:space="preserve"> </w:t>
            </w:r>
            <w:fldSimple w:instr="NOTEREF _Ref_Footnote_135 \h \f">
              <w:r>
                <w:rPr>
                  <w:vertAlign w:val="superscript"/>
                </w:rPr>
                <w:t>135</w:t>
              </w:r>
            </w:fldSimple>
          </w:p>
        </w:tc>
        <w:tc>
          <w:tcPr/>
          <w:p>
            <w:pPr>
              <w:pStyle w:val="Compact"/>
              <w:jc w:val="left"/>
            </w:pPr>
            <w:r>
              <w:t xml:space="preserve">—</w:t>
            </w:r>
          </w:p>
        </w:tc>
      </w:tr>
      <w:tr>
        <w:tc>
          <w:tcPr/>
          <w:p>
            <w:pPr>
              <w:pStyle w:val="Compact"/>
              <w:jc w:val="left"/>
            </w:pPr>
            <w:r>
              <w:t xml:space="preserve">Body Psychotherapy</w:t>
            </w:r>
          </w:p>
        </w:tc>
        <w:tc>
          <w:tcPr/>
          <w:p>
            <w:pPr>
              <w:pStyle w:val="Compact"/>
              <w:jc w:val="left"/>
            </w:pPr>
            <w:r>
              <w:t xml:space="preserve">Rosendahl et al. (2021)</w:t>
            </w:r>
          </w:p>
        </w:tc>
        <w:tc>
          <w:tcPr/>
          <w:p>
            <w:pPr>
              <w:pStyle w:val="Compact"/>
              <w:jc w:val="left"/>
            </w:pPr>
            <w:r>
              <w:t xml:space="preserve">18 RCTs</w:t>
            </w:r>
          </w:p>
        </w:tc>
        <w:tc>
          <w:tcPr/>
          <w:p>
            <w:pPr>
              <w:pStyle w:val="Compact"/>
              <w:jc w:val="left"/>
            </w:pPr>
            <w:r>
              <w:t xml:space="preserve">Psychopathology</w:t>
            </w:r>
          </w:p>
        </w:tc>
        <w:tc>
          <w:tcPr/>
          <w:p>
            <w:pPr>
              <w:pStyle w:val="Compact"/>
              <w:jc w:val="left"/>
            </w:pPr>
            <w:r>
              <w:t xml:space="preserve">Mixed</w:t>
            </w:r>
          </w:p>
        </w:tc>
        <w:tc>
          <w:tcPr/>
          <w:p>
            <w:pPr>
              <w:pStyle w:val="Compact"/>
              <w:jc w:val="left"/>
            </w:pPr>
            <w:r>
              <w:rPr>
                <w:iCs/>
                <w:i/>
              </w:rPr>
              <w:t xml:space="preserve">g</w:t>
            </w:r>
            <w:r>
              <w:t xml:space="preserve"> </w:t>
            </w:r>
            <w:r>
              <w:t xml:space="preserve">= 0.56</w:t>
            </w:r>
            <w:r>
              <w:t xml:space="preserve"> </w:t>
            </w:r>
            <w:fldSimple w:instr="NOTEREF _Ref_Footnote_127 \h \f">
              <w:r>
                <w:rPr>
                  <w:vertAlign w:val="superscript"/>
                </w:rPr>
                <w:t>127</w:t>
              </w:r>
            </w:fldSimple>
          </w:p>
        </w:tc>
        <w:tc>
          <w:tcPr/>
          <w:p>
            <w:pPr>
              <w:pStyle w:val="Compact"/>
              <w:jc w:val="left"/>
            </w:pPr>
            <w:r>
              <w:t xml:space="preserve">—</w:t>
            </w:r>
          </w:p>
        </w:tc>
      </w:tr>
    </w:tbl>
    <w:p>
      <w:pPr>
        <w:pStyle w:val="CaptionedFigure"/>
      </w:pPr>
      <w:r>
        <w:drawing>
          <wp:inline>
            <wp:extent cx="5334000" cy="2537297"/>
            <wp:effectExtent b="0" l="0" r="0" t="0"/>
            <wp:docPr descr="Figure 2.2: Effect Sizes for Somatic Depression &amp; Anxiety Interventions" title="" id="52" name="Picture"/>
            <a:graphic>
              <a:graphicData uri="http://schemas.openxmlformats.org/drawingml/2006/picture">
                <pic:pic>
                  <pic:nvPicPr>
                    <pic:cNvPr descr="/mnt/agents/output/fig2_2_depression_effect_sizes.png" id="53" name="Picture"/>
                    <pic:cNvPicPr>
                      <a:picLocks noChangeArrowheads="1" noChangeAspect="1"/>
                    </pic:cNvPicPr>
                  </pic:nvPicPr>
                  <pic:blipFill>
                    <a:blip r:embed="rId51"/>
                    <a:stretch>
                      <a:fillRect/>
                    </a:stretch>
                  </pic:blipFill>
                  <pic:spPr bwMode="auto">
                    <a:xfrm>
                      <a:off x="0" y="0"/>
                      <a:ext cx="5334000" cy="2537297"/>
                    </a:xfrm>
                    <a:prstGeom prst="rect">
                      <a:avLst/>
                    </a:prstGeom>
                    <a:noFill/>
                    <a:ln w="9525">
                      <a:noFill/>
                      <a:headEnd/>
                      <a:tailEnd/>
                    </a:ln>
                  </pic:spPr>
                </pic:pic>
              </a:graphicData>
            </a:graphic>
          </wp:inline>
        </w:drawing>
      </w:r>
    </w:p>
    <w:p>
      <w:pPr>
        <w:pStyle w:val="ImageCaption"/>
      </w:pPr>
      <w:r>
        <w:t xml:space="preserve">Figure 2.2: Effect Sizes for Somatic Depression &amp; Anxiety Interventions</w:t>
      </w:r>
    </w:p>
    <w:p>
      <w:pPr>
        <w:pStyle w:val="BodyText"/>
      </w:pPr>
      <w:r>
        <w:t xml:space="preserve">The convergence of evidence across these studies supports a clear proposition: somatic interventions produce medium-to-large effects for depression and anxiety that match or exceed those of established psychotherapies. The Finnish RCT’s NNT of 3 is particularly compelling from a platform perspective—it means that DMT generates clinical improvement for one in every three patients treated, a ratio competitive with pharmacological antidepressants (NNT typically 4–7 for SSRIs) and superior to many psychosocial interventions.</w:t>
      </w:r>
      <w:fldSimple w:instr="NOTEREF _Ref_Footnote_16 \h \f">
        <w:r>
          <w:rPr>
            <w:vertAlign w:val="superscript"/>
          </w:rPr>
          <w:t>16</w:t>
        </w:r>
      </w:fldSimple>
      <w:r>
        <w:t xml:space="preserve">The stability of effects at follow-up, and in some cases their</w:t>
      </w:r>
      <w:r>
        <w:t xml:space="preserve"> </w:t>
      </w:r>
      <w:r>
        <w:rPr>
          <w:iCs/>
          <w:i/>
        </w:rPr>
        <w:t xml:space="preserve">amplification</w:t>
      </w:r>
      <w:r>
        <w:t xml:space="preserve"> </w:t>
      </w:r>
      <w:r>
        <w:t xml:space="preserve">after treatment ends, suggests that somatic approaches teach skills patients continue to use.</w:t>
      </w:r>
      <w:fldSimple w:instr="NOTEREF _Ref_Footnote_23 \h \f">
        <w:r>
          <w:rPr>
            <w:vertAlign w:val="superscript"/>
          </w:rPr>
          <w:t>23</w:t>
        </w:r>
      </w:fldSimple>
      <w:r>
        <w:t xml:space="preserve">—</w:t>
      </w:r>
    </w:p>
    <w:bookmarkEnd w:id="54"/>
    <w:bookmarkEnd w:id="55"/>
    <w:bookmarkStart w:id="62" w:name="neurobiological-mechanisms"/>
    <w:p>
      <w:pPr>
        <w:pStyle w:val="Heading3"/>
      </w:pPr>
      <w:r>
        <w:t xml:space="preserve">2.3 Neurobiological Mechanisms</w:t>
      </w:r>
    </w:p>
    <w:p>
      <w:pPr>
        <w:pStyle w:val="FirstParagraph"/>
      </w:pPr>
      <w:r>
        <w:t xml:space="preserve">The question of</w:t>
      </w:r>
      <w:r>
        <w:t xml:space="preserve"> </w:t>
      </w:r>
      <w:r>
        <w:rPr>
          <w:iCs/>
          <w:i/>
        </w:rPr>
        <w:t xml:space="preserve">how</w:t>
      </w:r>
      <w:r>
        <w:t xml:space="preserve"> </w:t>
      </w:r>
      <w:r>
        <w:t xml:space="preserve">somatic therapies work is no longer purely theoretical. Converging evidence from interoception research, heart rate variability (HRV) monitoring, biomarker studies, and neuroimaging has begun to map the biological pathways through which body-based interventions produce psychological change.</w:t>
      </w:r>
    </w:p>
    <w:bookmarkStart w:id="56" w:name="interoception-as-therapeutic-mechanism"/>
    <w:p>
      <w:pPr>
        <w:pStyle w:val="Heading4"/>
      </w:pPr>
      <w:r>
        <w:t xml:space="preserve">2.3.1 Interoception as Therapeutic Mechanism</w:t>
      </w:r>
    </w:p>
    <w:p>
      <w:pPr>
        <w:pStyle w:val="FirstParagraph"/>
      </w:pPr>
      <w:r>
        <w:t xml:space="preserve">Interoception—the capacity to sense and interpret internal bodily signals—has emerged as a central therapeutic mechanism across somatic modalities. A 2024 scoping review of 43 studies on interoceptive awareness and PTSD found that interoception is most consistently linked to emotion regulation: the capacity to notice internal body sensations is directly involved in managing arousal, tolerating distress, and returning to baseline after activation.</w:t>
      </w:r>
      <w:fldSimple w:instr="NOTEREF _Ref_Footnote_75 \h \f">
        <w:r>
          <w:rPr>
            <w:vertAlign w:val="superscript"/>
          </w:rPr>
          <w:t>75</w:t>
        </w:r>
      </w:fldSimple>
      <w:r>
        <w:t xml:space="preserve">Leech and colleagues highlighted the critical distinction between mindful, accepting awareness of bodily sensations (therapeutic) and ruminative, anxious focus on them (potentially harmful).</w:t>
      </w:r>
      <w:fldSimple w:instr="NOTEREF _Ref_Footnote_75 \h \f">
        <w:r>
          <w:rPr>
            <w:vertAlign w:val="superscript"/>
          </w:rPr>
          <w:t>75</w:t>
        </w:r>
      </w:fldSimple>
      <w:r>
        <w:t xml:space="preserve">Somatic Experiencing operates through a</w:t>
      </w:r>
      <w:r>
        <w:t xml:space="preserve"> </w:t>
      </w:r>
      <w:r>
        <w:t xml:space="preserve">“</w:t>
      </w:r>
      <w:r>
        <w:t xml:space="preserve">bottom-up</w:t>
      </w:r>
      <w:r>
        <w:t xml:space="preserve">”</w:t>
      </w:r>
      <w:r>
        <w:t xml:space="preserve"> </w:t>
      </w:r>
      <w:r>
        <w:t xml:space="preserve">processing pathway, directing client attention to interoception, proprioception, and kinesthesis rather than primarily cognitive or emotional experiences.</w:t>
      </w:r>
      <w:fldSimple w:instr="NOTEREF _Ref_Footnote_51 \h \f">
        <w:r>
          <w:rPr>
            <w:vertAlign w:val="superscript"/>
          </w:rPr>
          <w:t>51</w:t>
        </w:r>
      </w:fldSimple>
      <w:r>
        <w:t xml:space="preserve"> </w:t>
      </w:r>
      <w:r>
        <w:rPr>
          <w:vertAlign w:val="superscript"/>
        </w:rPr>
        <w:footnoteReference w:id="137"/>
      </w:r>
      <w:r>
        <w:t xml:space="preserve">A core SE mechanism involves generating new corrective interoceptive experiences that physically contradict those of overwhelm and helplessness, without requiring clients to relive the traumatic event.</w:t>
      </w:r>
      <w:fldSimple w:instr="NOTEREF _Ref_Footnote_137 \h \f">
        <w:r>
          <w:rPr>
            <w:vertAlign w:val="superscript"/>
          </w:rPr>
          <w:t>137</w:t>
        </w:r>
      </w:fldSimple>
      <w:r>
        <w:t xml:space="preserve"> </w:t>
      </w:r>
      <w:fldSimple w:instr="NOTEREF _Ref_Footnote_51 \h \f">
        <w:r>
          <w:rPr>
            <w:vertAlign w:val="superscript"/>
          </w:rPr>
          <w:t>51</w:t>
        </w:r>
      </w:fldSimple>
      <w:r>
        <w:t xml:space="preserve">This bottom-up approach represents a fundamental departure from exposure-based therapies that work top-down from cognition to physiology.</w:t>
      </w:r>
    </w:p>
    <w:bookmarkEnd w:id="56"/>
    <w:bookmarkStart w:id="57" w:name="hrv-changes-during-somatic-therapy"/>
    <w:p>
      <w:pPr>
        <w:pStyle w:val="Heading4"/>
      </w:pPr>
      <w:r>
        <w:t xml:space="preserve">2.3.2 HRV Changes During Somatic Therapy</w:t>
      </w:r>
    </w:p>
    <w:p>
      <w:pPr>
        <w:pStyle w:val="FirstParagraph"/>
      </w:pPr>
      <w:r>
        <w:t xml:space="preserve">Real-time HRV monitoring has provided direct physiological evidence for somatic therapy’s mechanisms. In a single-session case study, Yurdakul and colleagues (2025) demonstrated that HRV and RMSSD increased significantly during one SE session, with the highest recordings during moments of social engagement—demonstrating a shift from sympathetic dominance toward ventral vagal activation.</w:t>
      </w:r>
      <w:fldSimple w:instr="NOTEREF _Ref_Footnote_19 \h \f">
        <w:r>
          <w:rPr>
            <w:vertAlign w:val="superscript"/>
          </w:rPr>
          <w:t>19</w:t>
        </w:r>
      </w:fldSimple>
      <w:r>
        <w:t xml:space="preserve"> </w:t>
      </w:r>
      <w:r>
        <w:rPr>
          <w:vertAlign w:val="superscript"/>
        </w:rPr>
        <w:footnoteReference w:id="138"/>
      </w:r>
      <w:r>
        <w:t xml:space="preserve">Winters and colleagues’ 2025 study (</w:t>
      </w:r>
      <w:r>
        <w:rPr>
          <w:iCs/>
          <w:i/>
        </w:rPr>
        <w:t xml:space="preserve">N</w:t>
      </w:r>
      <w:r>
        <w:t xml:space="preserve"> </w:t>
      </w:r>
      <w:r>
        <w:t xml:space="preserve">= 89 and</w:t>
      </w:r>
      <w:r>
        <w:t xml:space="preserve"> </w:t>
      </w:r>
      <w:r>
        <w:rPr>
          <w:iCs/>
          <w:i/>
        </w:rPr>
        <w:t xml:space="preserve">N</w:t>
      </w:r>
      <w:r>
        <w:t xml:space="preserve"> </w:t>
      </w:r>
      <w:r>
        <w:t xml:space="preserve">= 55) found heart rate decreased and HRV increased across groups, with the SE group showing increased psychological safety (</w:t>
      </w:r>
      <w:r>
        <w:rPr>
          <w:iCs/>
          <w:i/>
        </w:rPr>
        <w:t xml:space="preserve">d</w:t>
      </w:r>
      <w:r>
        <w:t xml:space="preserve"> </w:t>
      </w:r>
      <w:r>
        <w:t xml:space="preserve">= −0.95) and reduced disrupted body boundaries (</w:t>
      </w:r>
      <w:r>
        <w:rPr>
          <w:iCs/>
          <w:i/>
        </w:rPr>
        <w:t xml:space="preserve">d</w:t>
      </w:r>
      <w:r>
        <w:t xml:space="preserve"> </w:t>
      </w:r>
      <w:r>
        <w:t xml:space="preserve">= 1.13).</w:t>
      </w:r>
      <w:fldSimple w:instr="NOTEREF _Ref_Footnote_20 \h \f">
        <w:r>
          <w:rPr>
            <w:vertAlign w:val="superscript"/>
          </w:rPr>
          <w:t>20</w:t>
        </w:r>
      </w:fldSimple>
      <w:r>
        <w:t xml:space="preserve">These findings document autonomic changes</w:t>
      </w:r>
      <w:r>
        <w:t xml:space="preserve"> </w:t>
      </w:r>
      <w:r>
        <w:rPr>
          <w:iCs/>
          <w:i/>
        </w:rPr>
        <w:t xml:space="preserve">within single sessions</w:t>
      </w:r>
      <w:r>
        <w:t xml:space="preserve">.</w:t>
      </w:r>
    </w:p>
    <w:p>
      <w:pPr>
        <w:pStyle w:val="BodyText"/>
      </w:pPr>
      <w:r>
        <w:t xml:space="preserve">A groundbreaking study by Gaal and colleagues (2024) of 85 US veterans with PTSD found that baseline HRV</w:t>
      </w:r>
      <w:r>
        <w:t xml:space="preserve"> </w:t>
      </w:r>
      <w:r>
        <w:rPr>
          <w:iCs/>
          <w:i/>
        </w:rPr>
        <w:t xml:space="preserve">moderated</w:t>
      </w:r>
      <w:r>
        <w:t xml:space="preserve"> </w:t>
      </w:r>
      <w:r>
        <w:t xml:space="preserve">treatment response: veterans with poorer autonomic regulation prior to treatment had better PTSD outcomes with yoga, while those with better autonomic regulation did better with Cognitive Processing Therapy.</w:t>
      </w:r>
      <w:r>
        <w:rPr>
          <w:vertAlign w:val="superscript"/>
        </w:rPr>
        <w:footnoteReference w:id="139"/>
      </w:r>
      <w:r>
        <w:t xml:space="preserve">This represents the first evidence that HRV can guide treatment matching between somatic and cognitive modalities.</w:t>
      </w:r>
    </w:p>
    <w:bookmarkEnd w:id="57"/>
    <w:bookmarkStart w:id="61" w:name="cortisol-and-inflammatory-markers"/>
    <w:p>
      <w:pPr>
        <w:pStyle w:val="Heading4"/>
      </w:pPr>
      <w:r>
        <w:t xml:space="preserve">2.3.3 Cortisol and Inflammatory Markers</w:t>
      </w:r>
    </w:p>
    <w:p>
      <w:pPr>
        <w:pStyle w:val="FirstParagraph"/>
      </w:pPr>
      <w:r>
        <w:t xml:space="preserve">Cortisol regulation provides additional biological evidence. In Bremner and colleagues’ 2023 study of 130 veterans with PTSD, the MBSR group showed significantly attenuated cortisol increases compared to controls (</w:t>
      </w:r>
      <w:r>
        <w:rPr>
          <w:iCs/>
          <w:i/>
        </w:rPr>
        <w:t xml:space="preserve">p</w:t>
      </w:r>
      <w:r>
        <w:t xml:space="preserve"> </w:t>
      </w:r>
      <w:r>
        <w:t xml:space="preserve">= .035), with cortisol returning to near-baseline by week 16 while continuing to elevate in controls.</w:t>
      </w:r>
      <w:fldSimple w:instr="NOTEREF _Ref_Footnote_21 \h \f">
        <w:r>
          <w:rPr>
            <w:vertAlign w:val="superscript"/>
          </w:rPr>
          <w:t>21</w:t>
        </w:r>
      </w:fldSimple>
      <w:r>
        <w:t xml:space="preserve">A three-month yoga retreat found the Cortisol Awakening Response significantly improved (</w:t>
      </w:r>
      <w:r>
        <w:rPr>
          <w:iCs/>
          <w:i/>
        </w:rPr>
        <w:t xml:space="preserve">p</w:t>
      </w:r>
      <w:r>
        <w:t xml:space="preserve"> </w:t>
      </w:r>
      <w:r>
        <w:t xml:space="preserve">&lt; .01), while psychological symptoms dropped from 10.5 to 4.12 (</w:t>
      </w:r>
      <w:r>
        <w:rPr>
          <w:iCs/>
          <w:i/>
        </w:rPr>
        <w:t xml:space="preserve">t</w:t>
      </w:r>
      <w:r>
        <w:t xml:space="preserve"> </w:t>
      </w:r>
      <w:r>
        <w:t xml:space="preserve">= 4.66,</w:t>
      </w:r>
      <w:r>
        <w:t xml:space="preserve"> </w:t>
      </w:r>
      <w:r>
        <w:rPr>
          <w:iCs/>
          <w:i/>
        </w:rPr>
        <w:t xml:space="preserve">p</w:t>
      </w:r>
      <w:r>
        <w:t xml:space="preserve"> </w:t>
      </w:r>
      <w:r>
        <w:t xml:space="preserve">&lt; .0001).</w:t>
      </w:r>
      <w:r>
        <w:rPr>
          <w:vertAlign w:val="superscript"/>
        </w:rPr>
        <w:footnoteReference w:id="140"/>
      </w:r>
      <w:r>
        <w:t xml:space="preserve">Inflammatory markers also respond to somatic interventions. Sciarrino and colleagues’ 2025 study found that while both TCTSY and CPT reduced PTSD symptoms, TCTSY showed</w:t>
      </w:r>
      <w:r>
        <w:t xml:space="preserve"> </w:t>
      </w:r>
      <w:r>
        <w:rPr>
          <w:iCs/>
          <w:i/>
        </w:rPr>
        <w:t xml:space="preserve">differential</w:t>
      </w:r>
      <w:r>
        <w:t xml:space="preserve"> </w:t>
      </w:r>
      <w:r>
        <w:t xml:space="preserve">inflammatory patterns in IL-6, IL-10, and CRP—suggesting distinct biological mechanisms versus talk therapy.</w:t>
      </w:r>
      <w:fldSimple w:instr="NOTEREF _Ref_Footnote_22 \h \f">
        <w:r>
          <w:rPr>
            <w:vertAlign w:val="superscript"/>
          </w:rPr>
          <w:t>22</w:t>
        </w:r>
      </w:fldSimple>
      <w:r>
        <w:t xml:space="preserve">A yoga retreat study found significant increases in brain-derived neurotrophic factor (BDNF,</w:t>
      </w:r>
      <w:r>
        <w:t xml:space="preserve"> </w:t>
      </w:r>
      <w:r>
        <w:rPr>
          <w:iCs/>
          <w:i/>
        </w:rPr>
        <w:t xml:space="preserve">t</w:t>
      </w:r>
      <w:r>
        <w:t xml:space="preserve"> </w:t>
      </w:r>
      <w:r>
        <w:t xml:space="preserve">= −4.03,</w:t>
      </w:r>
      <w:r>
        <w:t xml:space="preserve"> </w:t>
      </w:r>
      <w:r>
        <w:rPr>
          <w:iCs/>
          <w:i/>
        </w:rPr>
        <w:t xml:space="preserve">p</w:t>
      </w:r>
      <w:r>
        <w:t xml:space="preserve"> </w:t>
      </w:r>
      <w:r>
        <w:t xml:space="preserve">&lt; .001) and the anti-inflammatory cytokine IL-10 (</w:t>
      </w:r>
      <w:r>
        <w:rPr>
          <w:iCs/>
          <w:i/>
        </w:rPr>
        <w:t xml:space="preserve">t</w:t>
      </w:r>
      <w:r>
        <w:t xml:space="preserve"> </w:t>
      </w:r>
      <w:r>
        <w:t xml:space="preserve">= −4.65,</w:t>
      </w:r>
      <w:r>
        <w:t xml:space="preserve"> </w:t>
      </w:r>
      <w:r>
        <w:rPr>
          <w:iCs/>
          <w:i/>
        </w:rPr>
        <w:t xml:space="preserve">p</w:t>
      </w:r>
      <w:r>
        <w:t xml:space="preserve"> </w:t>
      </w:r>
      <w:r>
        <w:t xml:space="preserve">&lt; .0001).</w:t>
      </w:r>
      <w:fldSimple w:instr="NOTEREF _Ref_Footnote_140 \h \f">
        <w:r>
          <w:rPr>
            <w:vertAlign w:val="superscript"/>
          </w:rPr>
          <w:t>140</w:t>
        </w:r>
      </w:fldSimple>
      <w:r>
        <w:t xml:space="preserve">#### 2.3.4 Brain Imaging: fMRI Evidence</w:t>
      </w:r>
    </w:p>
    <w:p>
      <w:pPr>
        <w:pStyle w:val="BodyText"/>
      </w:pPr>
      <w:r>
        <w:t xml:space="preserve">Neuroimaging evidence, while limited, supports these biomarker findings. Medina’s 2022 fibromyalgia fMRI study (</w:t>
      </w:r>
      <w:r>
        <w:rPr>
          <w:iCs/>
          <w:i/>
        </w:rPr>
        <w:t xml:space="preserve">n</w:t>
      </w:r>
      <w:r>
        <w:t xml:space="preserve"> </w:t>
      </w:r>
      <w:r>
        <w:t xml:space="preserve">= 90) found differential brain perfusion changes following mind-body interventions, providing neuroimaging evidence that somatic interventions alter CNS activity.</w:t>
      </w:r>
      <w:r>
        <w:rPr>
          <w:vertAlign w:val="superscript"/>
        </w:rPr>
        <w:footnoteReference w:id="141"/>
      </w:r>
      <w:r>
        <w:t xml:space="preserve">The convergence of peripheral biomarker changes with central imaging data strengthens biological plausibility.</w:t>
      </w:r>
    </w:p>
    <w:p>
      <w:pPr>
        <w:pStyle w:val="BodyText"/>
      </w:pPr>
      <w:r>
        <w:rPr>
          <w:bCs/>
          <w:b/>
        </w:rPr>
        <w:t xml:space="preserve">Table 2.3: Neurobiological Mechanism Summary</w:t>
      </w:r>
    </w:p>
    <w:tbl>
      <w:tblPr>
        <w:tblStyle w:val="Table"/>
        <w:tblW w:type="pct" w:w="5000"/>
        <w:tblLook w:firstRow="1" w:lastRow="0" w:firstColumn="0" w:lastColumn="0" w:noHBand="0" w:noVBand="0" w:val="0020"/>
      </w:tblPr>
      <w:tblGrid>
        <w:gridCol w:w="2244"/>
        <w:gridCol w:w="1716"/>
        <w:gridCol w:w="1716"/>
        <w:gridCol w:w="2244"/>
      </w:tblGrid>
      <w:tr>
        <w:trPr>
          <w:tblHeader w:val="true"/>
        </w:trPr>
        <w:tc>
          <w:tcPr/>
          <w:p>
            <w:pPr>
              <w:pStyle w:val="Compact"/>
              <w:jc w:val="left"/>
            </w:pPr>
            <w:r>
              <w:t xml:space="preserve">Mechanism Domain</w:t>
            </w:r>
          </w:p>
        </w:tc>
        <w:tc>
          <w:tcPr/>
          <w:p>
            <w:pPr>
              <w:pStyle w:val="Compact"/>
              <w:jc w:val="left"/>
            </w:pPr>
            <w:r>
              <w:t xml:space="preserve">Key Finding</w:t>
            </w:r>
          </w:p>
        </w:tc>
        <w:tc>
          <w:tcPr/>
          <w:p>
            <w:pPr>
              <w:pStyle w:val="Compact"/>
              <w:jc w:val="left"/>
            </w:pPr>
            <w:r>
              <w:t xml:space="preserve">Effect Size</w:t>
            </w:r>
          </w:p>
        </w:tc>
        <w:tc>
          <w:tcPr/>
          <w:p>
            <w:pPr>
              <w:pStyle w:val="Compact"/>
              <w:jc w:val="left"/>
            </w:pPr>
            <w:r>
              <w:t xml:space="preserve">Primary Studies</w:t>
            </w:r>
          </w:p>
        </w:tc>
      </w:tr>
      <w:tr>
        <w:tc>
          <w:tcPr/>
          <w:p>
            <w:pPr>
              <w:pStyle w:val="Compact"/>
              <w:jc w:val="left"/>
            </w:pPr>
            <w:r>
              <w:t xml:space="preserve">Interoception → Emotion regulation</w:t>
            </w:r>
          </w:p>
        </w:tc>
        <w:tc>
          <w:tcPr/>
          <w:p>
            <w:pPr>
              <w:pStyle w:val="Compact"/>
              <w:jc w:val="left"/>
            </w:pPr>
            <w:r>
              <w:t xml:space="preserve">Body awareness predicts arousal management</w:t>
            </w:r>
          </w:p>
        </w:tc>
        <w:tc>
          <w:tcPr/>
          <w:p>
            <w:pPr>
              <w:pStyle w:val="Compact"/>
              <w:jc w:val="left"/>
            </w:pPr>
            <w:r>
              <w:t xml:space="preserve">43-study scoping review</w:t>
            </w:r>
            <w:r>
              <w:t xml:space="preserve"> </w:t>
            </w:r>
            <w:fldSimple w:instr="NOTEREF _Ref_Footnote_75 \h \f">
              <w:r>
                <w:rPr>
                  <w:vertAlign w:val="superscript"/>
                </w:rPr>
                <w:t>75</w:t>
              </w:r>
            </w:fldSimple>
          </w:p>
        </w:tc>
        <w:tc>
          <w:tcPr/>
          <w:p>
            <w:pPr>
              <w:pStyle w:val="Compact"/>
              <w:jc w:val="left"/>
            </w:pPr>
            <w:r>
              <w:t xml:space="preserve">Leech et al. (2024)</w:t>
            </w:r>
            <w:r>
              <w:t xml:space="preserve"> </w:t>
            </w:r>
            <w:fldSimple w:instr="NOTEREF _Ref_Footnote_75 \h \f">
              <w:r>
                <w:rPr>
                  <w:vertAlign w:val="superscript"/>
                </w:rPr>
                <w:t>75</w:t>
              </w:r>
            </w:fldSimple>
          </w:p>
        </w:tc>
      </w:tr>
      <w:tr>
        <w:tc>
          <w:tcPr/>
          <w:p>
            <w:pPr>
              <w:pStyle w:val="Compact"/>
              <w:jc w:val="left"/>
            </w:pPr>
            <w:r>
              <w:t xml:space="preserve">HRV restoration (single SE session)</w:t>
            </w:r>
          </w:p>
        </w:tc>
        <w:tc>
          <w:tcPr/>
          <w:p>
            <w:pPr>
              <w:pStyle w:val="Compact"/>
              <w:jc w:val="left"/>
            </w:pPr>
            <w:r>
              <w:t xml:space="preserve">RMSSD and HRV increase during session</w:t>
            </w:r>
          </w:p>
        </w:tc>
        <w:tc>
          <w:tcPr/>
          <w:p>
            <w:pPr>
              <w:pStyle w:val="Compact"/>
              <w:jc w:val="left"/>
            </w:pPr>
            <w:r>
              <w:rPr>
                <w:iCs/>
                <w:i/>
              </w:rPr>
              <w:t xml:space="preserve">d</w:t>
            </w:r>
            <w:r>
              <w:t xml:space="preserve"> </w:t>
            </w:r>
            <w:r>
              <w:t xml:space="preserve">= 0.95–1.13</w:t>
            </w:r>
            <w:r>
              <w:t xml:space="preserve"> </w:t>
            </w:r>
            <w:fldSimple w:instr="NOTEREF _Ref_Footnote_19 \h \f">
              <w:r>
                <w:rPr>
                  <w:vertAlign w:val="superscript"/>
                </w:rPr>
                <w:t>19</w:t>
              </w:r>
            </w:fldSimple>
            <w:r>
              <w:t xml:space="preserve"> </w:t>
            </w:r>
            <w:fldSimple w:instr="NOTEREF _Ref_Footnote_20 \h \f">
              <w:r>
                <w:rPr>
                  <w:vertAlign w:val="superscript"/>
                </w:rPr>
                <w:t>20</w:t>
              </w:r>
            </w:fldSimple>
          </w:p>
        </w:tc>
        <w:tc>
          <w:tcPr/>
          <w:p>
            <w:pPr>
              <w:pStyle w:val="Compact"/>
              <w:jc w:val="left"/>
            </w:pPr>
            <w:r>
              <w:t xml:space="preserve">Yurdakul et al. (2025), Winters et al. (2025)</w:t>
            </w:r>
          </w:p>
        </w:tc>
      </w:tr>
      <w:tr>
        <w:tc>
          <w:tcPr/>
          <w:p>
            <w:pPr>
              <w:pStyle w:val="Compact"/>
              <w:jc w:val="left"/>
            </w:pPr>
            <w:r>
              <w:t xml:space="preserve">HRV as treatment moderator</w:t>
            </w:r>
          </w:p>
        </w:tc>
        <w:tc>
          <w:tcPr/>
          <w:p>
            <w:pPr>
              <w:pStyle w:val="Compact"/>
              <w:jc w:val="left"/>
            </w:pPr>
            <w:r>
              <w:t xml:space="preserve">Lower baseline HRV → better yoga response</w:t>
            </w:r>
          </w:p>
        </w:tc>
        <w:tc>
          <w:tcPr/>
          <w:p>
            <w:pPr>
              <w:pStyle w:val="Compact"/>
              <w:jc w:val="left"/>
            </w:pPr>
            <w:r>
              <w:t xml:space="preserve">—</w:t>
            </w:r>
          </w:p>
        </w:tc>
        <w:tc>
          <w:tcPr/>
          <w:p>
            <w:pPr>
              <w:pStyle w:val="Compact"/>
              <w:jc w:val="left"/>
            </w:pPr>
            <w:r>
              <w:t xml:space="preserve">Gaal et al. (2024)</w:t>
            </w:r>
            <w:r>
              <w:t xml:space="preserve"> </w:t>
            </w:r>
            <w:fldSimple w:instr="NOTEREF _Ref_Footnote_139 \h \f">
              <w:r>
                <w:rPr>
                  <w:vertAlign w:val="superscript"/>
                </w:rPr>
                <w:t>139</w:t>
              </w:r>
            </w:fldSimple>
          </w:p>
        </w:tc>
      </w:tr>
      <w:tr>
        <w:tc>
          <w:tcPr/>
          <w:p>
            <w:pPr>
              <w:pStyle w:val="Compact"/>
              <w:jc w:val="left"/>
            </w:pPr>
            <w:r>
              <w:t xml:space="preserve">Cortisol regulation</w:t>
            </w:r>
          </w:p>
        </w:tc>
        <w:tc>
          <w:tcPr/>
          <w:p>
            <w:pPr>
              <w:pStyle w:val="Compact"/>
              <w:jc w:val="left"/>
            </w:pPr>
            <w:r>
              <w:t xml:space="preserve">Attenuated cortisol elevation in MBSR</w:t>
            </w:r>
          </w:p>
        </w:tc>
        <w:tc>
          <w:tcPr/>
          <w:p>
            <w:pPr>
              <w:pStyle w:val="Compact"/>
              <w:jc w:val="left"/>
            </w:pPr>
            <w:r>
              <w:rPr>
                <w:iCs/>
                <w:i/>
              </w:rPr>
              <w:t xml:space="preserve">d</w:t>
            </w:r>
            <w:r>
              <w:t xml:space="preserve"> </w:t>
            </w:r>
            <w:r>
              <w:t xml:space="preserve">= 0.36–0.43</w:t>
            </w:r>
            <w:r>
              <w:t xml:space="preserve"> </w:t>
            </w:r>
            <w:fldSimple w:instr="NOTEREF _Ref_Footnote_21 \h \f">
              <w:r>
                <w:rPr>
                  <w:vertAlign w:val="superscript"/>
                </w:rPr>
                <w:t>21</w:t>
              </w:r>
            </w:fldSimple>
          </w:p>
        </w:tc>
        <w:tc>
          <w:tcPr/>
          <w:p>
            <w:pPr>
              <w:pStyle w:val="Compact"/>
              <w:jc w:val="left"/>
            </w:pPr>
            <w:r>
              <w:t xml:space="preserve">Bremner et al. (2023)</w:t>
            </w:r>
          </w:p>
        </w:tc>
      </w:tr>
      <w:tr>
        <w:tc>
          <w:tcPr/>
          <w:p>
            <w:pPr>
              <w:pStyle w:val="Compact"/>
              <w:jc w:val="left"/>
            </w:pPr>
            <w:r>
              <w:t xml:space="preserve">HPA axis function</w:t>
            </w:r>
          </w:p>
        </w:tc>
        <w:tc>
          <w:tcPr/>
          <w:p>
            <w:pPr>
              <w:pStyle w:val="Compact"/>
              <w:jc w:val="left"/>
            </w:pPr>
            <w:r>
              <w:t xml:space="preserve">Improved CAR after yoga retreat</w:t>
            </w:r>
          </w:p>
        </w:tc>
        <w:tc>
          <w:tcPr/>
          <w:p>
            <w:pPr>
              <w:pStyle w:val="Compact"/>
              <w:jc w:val="left"/>
            </w:pPr>
            <w:r>
              <w:rPr>
                <w:iCs/>
                <w:i/>
              </w:rPr>
              <w:t xml:space="preserve">p</w:t>
            </w:r>
            <w:r>
              <w:t xml:space="preserve"> </w:t>
            </w:r>
            <w:r>
              <w:t xml:space="preserve">&lt; .01</w:t>
            </w:r>
            <w:r>
              <w:t xml:space="preserve"> </w:t>
            </w:r>
            <w:fldSimple w:instr="NOTEREF _Ref_Footnote_140 \h \f">
              <w:r>
                <w:rPr>
                  <w:vertAlign w:val="superscript"/>
                </w:rPr>
                <w:t>140</w:t>
              </w:r>
            </w:fldSimple>
          </w:p>
        </w:tc>
        <w:tc>
          <w:tcPr/>
          <w:p>
            <w:pPr>
              <w:pStyle w:val="Compact"/>
              <w:jc w:val="left"/>
            </w:pPr>
            <w:r>
              <w:t xml:space="preserve">Yoga retreat study (2020)</w:t>
            </w:r>
          </w:p>
        </w:tc>
      </w:tr>
      <w:tr>
        <w:tc>
          <w:tcPr/>
          <w:p>
            <w:pPr>
              <w:pStyle w:val="Compact"/>
              <w:jc w:val="left"/>
            </w:pPr>
            <w:r>
              <w:t xml:space="preserve">BDNF (neuroplasticity)</w:t>
            </w:r>
          </w:p>
        </w:tc>
        <w:tc>
          <w:tcPr/>
          <w:p>
            <w:pPr>
              <w:pStyle w:val="Compact"/>
              <w:jc w:val="left"/>
            </w:pPr>
            <w:r>
              <w:t xml:space="preserve">Significant increase post-intervention</w:t>
            </w:r>
          </w:p>
        </w:tc>
        <w:tc>
          <w:tcPr/>
          <w:p>
            <w:pPr>
              <w:pStyle w:val="Compact"/>
              <w:jc w:val="left"/>
            </w:pPr>
            <w:r>
              <w:rPr>
                <w:iCs/>
                <w:i/>
              </w:rPr>
              <w:t xml:space="preserve">t</w:t>
            </w:r>
            <w:r>
              <w:t xml:space="preserve"> </w:t>
            </w:r>
            <w:r>
              <w:t xml:space="preserve">= −4.03,</w:t>
            </w:r>
            <w:r>
              <w:t xml:space="preserve"> </w:t>
            </w:r>
            <w:r>
              <w:rPr>
                <w:iCs/>
                <w:i/>
              </w:rPr>
              <w:t xml:space="preserve">p</w:t>
            </w:r>
            <w:r>
              <w:t xml:space="preserve"> </w:t>
            </w:r>
            <w:r>
              <w:t xml:space="preserve">&lt; .001</w:t>
            </w:r>
            <w:r>
              <w:t xml:space="preserve"> </w:t>
            </w:r>
            <w:fldSimple w:instr="NOTEREF _Ref_Footnote_140 \h \f">
              <w:r>
                <w:rPr>
                  <w:vertAlign w:val="superscript"/>
                </w:rPr>
                <w:t>140</w:t>
              </w:r>
            </w:fldSimple>
          </w:p>
        </w:tc>
        <w:tc>
          <w:tcPr/>
          <w:p>
            <w:pPr>
              <w:pStyle w:val="Compact"/>
              <w:jc w:val="left"/>
            </w:pPr>
            <w:r>
              <w:t xml:space="preserve">Yoga retreat study</w:t>
            </w:r>
          </w:p>
        </w:tc>
      </w:tr>
      <w:tr>
        <w:tc>
          <w:tcPr/>
          <w:p>
            <w:pPr>
              <w:pStyle w:val="Compact"/>
              <w:jc w:val="left"/>
            </w:pPr>
            <w:r>
              <w:t xml:space="preserve">IL-10 (anti-inflammatory)</w:t>
            </w:r>
          </w:p>
        </w:tc>
        <w:tc>
          <w:tcPr/>
          <w:p>
            <w:pPr>
              <w:pStyle w:val="Compact"/>
              <w:jc w:val="left"/>
            </w:pPr>
            <w:r>
              <w:t xml:space="preserve">Significant increase post-intervention</w:t>
            </w:r>
          </w:p>
        </w:tc>
        <w:tc>
          <w:tcPr/>
          <w:p>
            <w:pPr>
              <w:pStyle w:val="Compact"/>
              <w:jc w:val="left"/>
            </w:pPr>
            <w:r>
              <w:rPr>
                <w:iCs/>
                <w:i/>
              </w:rPr>
              <w:t xml:space="preserve">t</w:t>
            </w:r>
            <w:r>
              <w:t xml:space="preserve"> </w:t>
            </w:r>
            <w:r>
              <w:t xml:space="preserve">= −4.65,</w:t>
            </w:r>
            <w:r>
              <w:t xml:space="preserve"> </w:t>
            </w:r>
            <w:r>
              <w:rPr>
                <w:iCs/>
                <w:i/>
              </w:rPr>
              <w:t xml:space="preserve">p</w:t>
            </w:r>
            <w:r>
              <w:t xml:space="preserve"> </w:t>
            </w:r>
            <w:r>
              <w:t xml:space="preserve">&lt; .0001</w:t>
            </w:r>
            <w:r>
              <w:t xml:space="preserve"> </w:t>
            </w:r>
            <w:fldSimple w:instr="NOTEREF _Ref_Footnote_140 \h \f">
              <w:r>
                <w:rPr>
                  <w:vertAlign w:val="superscript"/>
                </w:rPr>
                <w:t>140</w:t>
              </w:r>
            </w:fldSimple>
          </w:p>
        </w:tc>
        <w:tc>
          <w:tcPr/>
          <w:p>
            <w:pPr>
              <w:pStyle w:val="Compact"/>
              <w:jc w:val="left"/>
            </w:pPr>
            <w:r>
              <w:t xml:space="preserve">Yoga retreat study</w:t>
            </w:r>
          </w:p>
        </w:tc>
      </w:tr>
      <w:tr>
        <w:tc>
          <w:tcPr/>
          <w:p>
            <w:pPr>
              <w:pStyle w:val="Compact"/>
              <w:jc w:val="left"/>
            </w:pPr>
            <w:r>
              <w:t xml:space="preserve">Differential inflammation patterns</w:t>
            </w:r>
          </w:p>
        </w:tc>
        <w:tc>
          <w:tcPr/>
          <w:p>
            <w:pPr>
              <w:pStyle w:val="Compact"/>
              <w:jc w:val="left"/>
            </w:pPr>
            <w:r>
              <w:t xml:space="preserve">TCTSY vs. CPT show distinct biological signatures</w:t>
            </w:r>
          </w:p>
        </w:tc>
        <w:tc>
          <w:tcPr/>
          <w:p>
            <w:pPr>
              <w:pStyle w:val="Compact"/>
              <w:jc w:val="left"/>
            </w:pPr>
            <w:r>
              <w:rPr>
                <w:iCs/>
                <w:i/>
              </w:rPr>
              <w:t xml:space="preserve">p</w:t>
            </w:r>
            <w:r>
              <w:t xml:space="preserve"> </w:t>
            </w:r>
            <w:r>
              <w:t xml:space="preserve">&lt; .05</w:t>
            </w:r>
            <w:r>
              <w:t xml:space="preserve"> </w:t>
            </w:r>
            <w:fldSimple w:instr="NOTEREF _Ref_Footnote_22 \h \f">
              <w:r>
                <w:rPr>
                  <w:vertAlign w:val="superscript"/>
                </w:rPr>
                <w:t>22</w:t>
              </w:r>
            </w:fldSimple>
          </w:p>
        </w:tc>
        <w:tc>
          <w:tcPr/>
          <w:p>
            <w:pPr>
              <w:pStyle w:val="Compact"/>
              <w:jc w:val="left"/>
            </w:pPr>
            <w:r>
              <w:t xml:space="preserve">Sciarrino et al. (2025)</w:t>
            </w:r>
          </w:p>
        </w:tc>
      </w:tr>
      <w:tr>
        <w:tc>
          <w:tcPr/>
          <w:p>
            <w:pPr>
              <w:pStyle w:val="Compact"/>
              <w:jc w:val="left"/>
            </w:pPr>
            <w:r>
              <w:t xml:space="preserve">Brain perfusion changes</w:t>
            </w:r>
          </w:p>
        </w:tc>
        <w:tc>
          <w:tcPr/>
          <w:p>
            <w:pPr>
              <w:pStyle w:val="Compact"/>
              <w:jc w:val="left"/>
            </w:pPr>
            <w:r>
              <w:t xml:space="preserve">Differential fMRI patterns after mind-body interventions</w:t>
            </w:r>
          </w:p>
        </w:tc>
        <w:tc>
          <w:tcPr/>
          <w:p>
            <w:pPr>
              <w:pStyle w:val="Compact"/>
              <w:jc w:val="left"/>
            </w:pPr>
            <w:r>
              <w:rPr>
                <w:iCs/>
                <w:i/>
              </w:rPr>
              <w:t xml:space="preserve">n</w:t>
            </w:r>
            <w:r>
              <w:t xml:space="preserve"> </w:t>
            </w:r>
            <w:r>
              <w:t xml:space="preserve">= 90</w:t>
            </w:r>
            <w:r>
              <w:t xml:space="preserve"> </w:t>
            </w:r>
            <w:fldSimple w:instr="NOTEREF _Ref_Footnote_141 \h \f">
              <w:r>
                <w:rPr>
                  <w:vertAlign w:val="superscript"/>
                </w:rPr>
                <w:t>141</w:t>
              </w:r>
            </w:fldSimple>
          </w:p>
        </w:tc>
        <w:tc>
          <w:tcPr/>
          <w:p>
            <w:pPr>
              <w:pStyle w:val="Compact"/>
              <w:jc w:val="left"/>
            </w:pPr>
            <w:r>
              <w:t xml:space="preserve">Medina (2022)</w:t>
            </w:r>
          </w:p>
        </w:tc>
      </w:tr>
    </w:tbl>
    <w:p>
      <w:pPr>
        <w:pStyle w:val="CaptionedFigure"/>
      </w:pPr>
      <w:r>
        <w:drawing>
          <wp:inline>
            <wp:extent cx="5334000" cy="2173111"/>
            <wp:effectExtent b="0" l="0" r="0" t="0"/>
            <wp:docPr descr="Figure 2.3: Biomarker Changes During Somatic Interventions" title="" id="59" name="Picture"/>
            <a:graphic>
              <a:graphicData uri="http://schemas.openxmlformats.org/drawingml/2006/picture">
                <pic:pic>
                  <pic:nvPicPr>
                    <pic:cNvPr descr="/mnt/agents/output/fig2_3_biomarker_changes.png" id="60" name="Picture"/>
                    <pic:cNvPicPr>
                      <a:picLocks noChangeArrowheads="1" noChangeAspect="1"/>
                    </pic:cNvPicPr>
                  </pic:nvPicPr>
                  <pic:blipFill>
                    <a:blip r:embed="rId58"/>
                    <a:stretch>
                      <a:fillRect/>
                    </a:stretch>
                  </pic:blipFill>
                  <pic:spPr bwMode="auto">
                    <a:xfrm>
                      <a:off x="0" y="0"/>
                      <a:ext cx="5334000" cy="2173111"/>
                    </a:xfrm>
                    <a:prstGeom prst="rect">
                      <a:avLst/>
                    </a:prstGeom>
                    <a:noFill/>
                    <a:ln w="9525">
                      <a:noFill/>
                      <a:headEnd/>
                      <a:tailEnd/>
                    </a:ln>
                  </pic:spPr>
                </pic:pic>
              </a:graphicData>
            </a:graphic>
          </wp:inline>
        </w:drawing>
      </w:r>
    </w:p>
    <w:p>
      <w:pPr>
        <w:pStyle w:val="ImageCaption"/>
      </w:pPr>
      <w:r>
        <w:t xml:space="preserve">Figure 2.3: Biomarker Changes During Somatic Interventions</w:t>
      </w:r>
    </w:p>
    <w:p>
      <w:pPr>
        <w:pStyle w:val="BodyText"/>
      </w:pPr>
      <w:r>
        <w:t xml:space="preserve">The mechanism evidence carries two strategic implications for platform development. First, the real-time nature of HRV changes during somatic sessions provides an objective, quantifiable metric that can be integrated into session monitoring and progress tracking—something talk therapy cannot offer.</w:t>
      </w:r>
      <w:fldSimple w:instr="NOTEREF _Ref_Footnote_19 \h \f">
        <w:r>
          <w:rPr>
            <w:vertAlign w:val="superscript"/>
          </w:rPr>
          <w:t>19</w:t>
        </w:r>
      </w:fldSimple>
      <w:r>
        <w:t xml:space="preserve"> </w:t>
      </w:r>
      <w:fldSimple w:instr="NOTEREF _Ref_Footnote_138 \h \f">
        <w:r>
          <w:rPr>
            <w:vertAlign w:val="superscript"/>
          </w:rPr>
          <w:t>138</w:t>
        </w:r>
      </w:fldSimple>
      <w:r>
        <w:t xml:space="preserve">Second, the Gaal et al. finding that baseline HRV predicts treatment matching suggests that wearable-derived physiological data could eventually guide intelligent referral algorithms, directing clients with low autonomic regulation toward body-based interventions and those with higher regulation toward cognitive approaches.</w:t>
      </w:r>
      <w:fldSimple w:instr="NOTEREF _Ref_Footnote_139 \h \f">
        <w:r>
          <w:rPr>
            <w:vertAlign w:val="superscript"/>
          </w:rPr>
          <w:t>139</w:t>
        </w:r>
      </w:fldSimple>
      <w:r>
        <w:t xml:space="preserve">—</w:t>
      </w:r>
    </w:p>
    <w:bookmarkEnd w:id="61"/>
    <w:bookmarkEnd w:id="62"/>
    <w:bookmarkStart w:id="65" w:name="compelling-case-studies"/>
    <w:p>
      <w:pPr>
        <w:pStyle w:val="Heading3"/>
      </w:pPr>
      <w:r>
        <w:t xml:space="preserve">2.4 Compelling Case Studies</w:t>
      </w:r>
    </w:p>
    <w:p>
      <w:pPr>
        <w:pStyle w:val="FirstParagraph"/>
      </w:pPr>
      <w:r>
        <w:t xml:space="preserve">Statistics establish efficacy; stories establish</w:t>
      </w:r>
      <w:r>
        <w:t xml:space="preserve"> </w:t>
      </w:r>
      <w:r>
        <w:rPr>
          <w:iCs/>
          <w:i/>
        </w:rPr>
        <w:t xml:space="preserve">relevance</w:t>
      </w:r>
      <w:r>
        <w:t xml:space="preserve">. Four cases from published clinical trials illustrate how somatic therapy produces transformation across diverse populations and clinical presentations.</w:t>
      </w:r>
    </w:p>
    <w:bookmarkStart w:id="63" w:name="X6fd54a715963a1e345f5f39ae4b4a121eb83fdd"/>
    <w:p>
      <w:pPr>
        <w:pStyle w:val="Heading4"/>
      </w:pPr>
      <w:r>
        <w:t xml:space="preserve">Case Study 1: Tsunami Survivors — Somatic Experiencing at Scale</w:t>
      </w:r>
    </w:p>
    <w:p>
      <w:pPr>
        <w:pStyle w:val="FirstParagraph"/>
      </w:pPr>
      <w:r>
        <w:t xml:space="preserve">Following the 2004 Indian Ocean tsunami, Somatic Experiencing practitioners deployed to provide brief intervention across age ranges and trauma exposure levels.</w:t>
      </w:r>
      <w:fldSimple w:instr="NOTEREF _Ref_Footnote_51 \h \f">
        <w:r>
          <w:rPr>
            <w:vertAlign w:val="superscript"/>
          </w:rPr>
          <w:t>51</w:t>
        </w:r>
      </w:fldSimple>
      <w:r>
        <w:t xml:space="preserve">Leitch (2007) reported on 53 participants (ages 3–75) who received one to two SE sessions: immediately post-treatment, 67% showed complete or partial improvement; at one-year follow-up, 90% maintained their gains.</w:t>
      </w:r>
      <w:fldSimple w:instr="NOTEREF _Ref_Footnote_51 \h \f">
        <w:r>
          <w:rPr>
            <w:vertAlign w:val="superscript"/>
          </w:rPr>
          <w:t>51</w:t>
        </w:r>
      </w:fldSimple>
      <w:r>
        <w:t xml:space="preserve">Parker and colleagues (2008) reported on 204 survivors who received a single 75-minute SE session; of 150 completing follow-up, 90% reported significant improvement or being completely free of intrusion, arousal, and avoidance symptoms.</w:t>
      </w:r>
      <w:r>
        <w:rPr>
          <w:vertAlign w:val="superscript"/>
        </w:rPr>
        <w:footnoteReference w:id="142"/>
      </w:r>
      <w:r>
        <w:t xml:space="preserve">These findings are remarkable: one to two sessions produced durable one-year outcomes with effect sizes (partial</w:t>
      </w:r>
      <w:r>
        <w:t xml:space="preserve"> </w:t>
      </w:r>
      <m:oMath>
        <m:sSup>
          <m:e>
            <m:r>
              <m:t>η</m:t>
            </m:r>
          </m:e>
          <m:sup>
            <m:r>
              <m:t>2</m:t>
            </m:r>
          </m:sup>
        </m:sSup>
      </m:oMath>
      <w:r>
        <w:t xml:space="preserve"> </w:t>
      </w:r>
      <w:r>
        <w:t xml:space="preserve">= .2) among the largest observed in disaster mental health research.</w:t>
      </w:r>
      <w:fldSimple w:instr="NOTEREF _Ref_Footnote_51 \h \f">
        <w:r>
          <w:rPr>
            <w:vertAlign w:val="superscript"/>
          </w:rPr>
          <w:t>51</w:t>
        </w:r>
      </w:fldSimple>
      <w:r>
        <w:t xml:space="preserve">One survivor reported feeling</w:t>
      </w:r>
      <w:r>
        <w:t xml:space="preserve"> </w:t>
      </w:r>
      <w:r>
        <w:t xml:space="preserve">“</w:t>
      </w:r>
      <w:r>
        <w:t xml:space="preserve">stronger,</w:t>
      </w:r>
      <w:r>
        <w:t xml:space="preserve">”</w:t>
      </w:r>
      <w:r>
        <w:t xml:space="preserve"> </w:t>
      </w:r>
      <w:r>
        <w:t xml:space="preserve">relying on friends</w:t>
      </w:r>
      <w:r>
        <w:t xml:space="preserve"> </w:t>
      </w:r>
      <w:r>
        <w:t xml:space="preserve">“</w:t>
      </w:r>
      <w:r>
        <w:t xml:space="preserve">because she knows she’s not the only one afraid.</w:t>
      </w:r>
      <w:r>
        <w:t xml:space="preserve">”</w:t>
      </w:r>
      <w:fldSimple w:instr="NOTEREF _Ref_Footnote_51 \h \f">
        <w:r>
          <w:rPr>
            <w:vertAlign w:val="superscript"/>
          </w:rPr>
          <w:t>51</w:t>
        </w:r>
      </w:fldSimple>
      <w:r>
        <w:t xml:space="preserve">This demonstrates that somatic therapy scales to mass-casualty events and that brief interventions produce lasting change—a critical consideration for platform-based delivery.</w:t>
      </w:r>
    </w:p>
    <w:bookmarkEnd w:id="63"/>
    <w:bookmarkStart w:id="64" w:name="X9c80e7cb9e20639301ee492736ed2896e88232f"/>
    <w:p>
      <w:pPr>
        <w:pStyle w:val="Heading4"/>
      </w:pPr>
      <w:r>
        <w:t xml:space="preserve">Case Study 2: Finnish DMT Depression Trial — From Screening to Recovery</w:t>
      </w:r>
    </w:p>
    <w:p>
      <w:pPr>
        <w:pStyle w:val="FirstParagraph"/>
      </w:pPr>
      <w:r>
        <w:t xml:space="preserve">The Finnish multicenter RCT (Hyvönen et al., 2020) illustrates the DMT patient journey. Adults aged 18–64 (mean 39 years, 96% female) with diagnosed clinical depression were randomized to 20 DMT sessions over 10 weeks plus TAU versus TAU alone.</w:t>
      </w:r>
      <w:fldSimple w:instr="NOTEREF _Ref_Footnote_16 \h \f">
        <w:r>
          <w:rPr>
            <w:vertAlign w:val="superscript"/>
          </w:rPr>
          <w:t>16</w:t>
        </w:r>
      </w:fldSimple>
      <w:r>
        <w:t xml:space="preserve"> </w:t>
      </w:r>
      <w:fldSimple w:instr="NOTEREF _Ref_Footnote_132 \h \f">
        <w:r>
          <w:rPr>
            <w:vertAlign w:val="superscript"/>
          </w:rPr>
          <w:t>132</w:t>
        </w:r>
      </w:fldSimple>
      <w:r>
        <w:t xml:space="preserve">At baseline, Beck Depression Inventory (BDI) scores indicated moderate-to-severe depression. Over 10 weeks of twice-weekly 75-minute sessions combining movement exploration, body awareness, and verbal processing, BDI scores dropped by a clinically significant margin (</w:t>
      </w:r>
      <w:r>
        <w:rPr>
          <w:iCs/>
          <w:i/>
        </w:rPr>
        <w:t xml:space="preserve">d</w:t>
      </w:r>
      <w:r>
        <w:t xml:space="preserve"> </w:t>
      </w:r>
      <w:r>
        <w:t xml:space="preserve">= 0.72).</w:t>
      </w:r>
      <w:fldSimple w:instr="NOTEREF _Ref_Footnote_16 \h \f">
        <w:r>
          <w:rPr>
            <w:vertAlign w:val="superscript"/>
          </w:rPr>
          <w:t>16</w:t>
        </w:r>
      </w:fldSimple>
      <w:r>
        <w:t xml:space="preserve">The 43.3% reliable improvement rate compares favorably to 14.3% in the TAU-only group.</w:t>
      </w:r>
      <w:fldSimple w:instr="NOTEREF _Ref_Footnote_133 \h \f">
        <w:r>
          <w:rPr>
            <w:vertAlign w:val="superscript"/>
          </w:rPr>
          <w:t>133</w:t>
        </w:r>
      </w:fldSimple>
      <w:r>
        <w:t xml:space="preserve">Participant accounts capture the subjective experience:</w:t>
      </w:r>
      <w:r>
        <w:t xml:space="preserve"> </w:t>
      </w:r>
      <w:r>
        <w:t xml:space="preserve">“</w:t>
      </w:r>
      <w:r>
        <w:t xml:space="preserve">At first I thought this therapy wouldn’t help me, that it was nonsense. It showed me much more than that. It helped me connect with myself, to get to know myself better.</w:t>
      </w:r>
      <w:r>
        <w:t xml:space="preserve">”</w:t>
      </w:r>
      <w:r>
        <w:rPr>
          <w:vertAlign w:val="superscript"/>
        </w:rPr>
        <w:footnoteReference w:id="143"/>
      </w:r>
      <w:r>
        <w:t xml:space="preserve">Another described the within-session effect:</w:t>
      </w:r>
      <w:r>
        <w:t xml:space="preserve"> </w:t>
      </w:r>
      <w:r>
        <w:t xml:space="preserve">“</w:t>
      </w:r>
      <w:r>
        <w:t xml:space="preserve">When I entered demotivated, I left feeling very content and active.</w:t>
      </w:r>
      <w:r>
        <w:t xml:space="preserve">”</w:t>
      </w:r>
      <w:fldSimple w:instr="NOTEREF _Ref_Footnote_143 \h \f">
        <w:r>
          <w:rPr>
            <w:vertAlign w:val="superscript"/>
          </w:rPr>
          <w:t>143</w:t>
        </w:r>
      </w:fldSimple>
      <w:r>
        <w:t xml:space="preserve">These accounts illustrate DMT’s mechanism: immediate emotional and physiological state shifts that accumulate into lasting symptom change.</w:t>
      </w:r>
      <w:fldSimple w:instr="NOTEREF _Ref_Footnote_16 \h \f">
        <w:r>
          <w:rPr>
            <w:vertAlign w:val="superscript"/>
          </w:rPr>
          <w:t>16</w:t>
        </w:r>
      </w:fldSimple>
      <w:r>
        <w:t xml:space="preserve">#### Case Study 3: Veteran Yoga Program — d ≥ 1.0 on All Outcomes</w:t>
      </w:r>
    </w:p>
    <w:tbl>
      <w:tblPr>
        <w:tblStyle w:val="Table"/>
        <w:tblW w:type="pct" w:w="5000"/>
        <w:tblLook w:firstRow="1" w:lastRow="0" w:firstColumn="0" w:lastColumn="0" w:noHBand="0" w:noVBand="0" w:val="0020"/>
      </w:tblPr>
      <w:tblGrid>
        <w:gridCol w:w="2011"/>
        <w:gridCol w:w="1257"/>
        <w:gridCol w:w="1885"/>
        <w:gridCol w:w="1257"/>
        <w:gridCol w:w="1508"/>
      </w:tblGrid>
      <w:tr>
        <w:trPr>
          <w:tblHeader w:val="true"/>
        </w:trPr>
        <w:tc>
          <w:tcPr/>
          <w:p>
            <w:pPr>
              <w:pStyle w:val="Compact"/>
              <w:jc w:val="left"/>
            </w:pPr>
            <w:r>
              <w:t xml:space="preserve">A 2018 study of military-tailored yoga for 18 Post-9/11 veterans with combat-related PTSD demonstrated Cohen’s</w:t>
            </w:r>
            <w:r>
              <w:t xml:space="preserve"> </w:t>
            </w:r>
            <w:r>
              <w:rPr>
                <w:iCs/>
                <w:i/>
              </w:rPr>
              <w:t xml:space="preserve">d</w:t>
            </w:r>
            <w:r>
              <w:t xml:space="preserve"> </w:t>
            </w:r>
            <w:r>
              <w:t xml:space="preserve">≥ 1.0—a very large effect—on</w:t>
            </w:r>
            <w:r>
              <w:t xml:space="preserve"> </w:t>
            </w:r>
            <w:r>
              <w:rPr>
                <w:iCs/>
                <w:i/>
              </w:rPr>
              <w:t xml:space="preserve">all five</w:t>
            </w:r>
            <w:r>
              <w:t xml:space="preserve"> </w:t>
            </w:r>
            <w:r>
              <w:t xml:space="preserve">outcome measures after six weekly sessions:</w:t>
            </w:r>
            <w:r>
              <w:rPr>
                <w:vertAlign w:val="superscript"/>
              </w:rPr>
              <w:footnoteReference w:id="144"/>
            </w:r>
          </w:p>
        </w:tc>
        <w:tc>
          <w:tcPr/>
          <w:p>
            <w:pPr>
              <w:pStyle w:val="Compact"/>
              <w:jc w:val="left"/>
            </w:pPr>
            <w:r>
              <w:t xml:space="preserve">Outcome Measure</w:t>
            </w:r>
          </w:p>
        </w:tc>
        <w:tc>
          <w:tcPr/>
          <w:p>
            <w:pPr>
              <w:pStyle w:val="Compact"/>
              <w:jc w:val="left"/>
            </w:pPr>
            <w:r>
              <w:t xml:space="preserve">Baseline</w:t>
            </w:r>
          </w:p>
        </w:tc>
        <w:tc>
          <w:tcPr/>
          <w:p>
            <w:pPr>
              <w:pStyle w:val="Compact"/>
              <w:jc w:val="left"/>
            </w:pPr>
            <w:r>
              <w:t xml:space="preserve">Post-Treatment</w:t>
            </w:r>
          </w:p>
        </w:tc>
        <w:tc>
          <w:tcPr/>
          <w:p>
            <w:pPr>
              <w:pStyle w:val="Compact"/>
              <w:jc w:val="left"/>
            </w:pPr>
            <w:r>
              <w:rPr>
                <w:iCs/>
                <w:i/>
              </w:rPr>
              <w:t xml:space="preserve">p</w:t>
            </w:r>
            <w:r>
              <w:t xml:space="preserve">-value</w:t>
            </w:r>
          </w:p>
        </w:tc>
      </w:tr>
      <w:tr>
        <w:tc>
          <w:tcPr/>
          <w:p>
            <w:pPr>
              <w:pStyle w:val="Compact"/>
              <w:jc w:val="left"/>
            </w:pPr>
            <w:r>
              <w:t xml:space="preserve">PCL-M (PTSD)</w:t>
            </w:r>
          </w:p>
        </w:tc>
        <w:tc>
          <w:tcPr/>
          <w:p>
            <w:pPr>
              <w:pStyle w:val="Compact"/>
              <w:jc w:val="left"/>
            </w:pPr>
            <w:r>
              <w:t xml:space="preserve">Elevated</w:t>
            </w:r>
          </w:p>
        </w:tc>
        <w:tc>
          <w:tcPr/>
          <w:p>
            <w:pPr>
              <w:pStyle w:val="Compact"/>
              <w:jc w:val="left"/>
            </w:pPr>
            <w:r>
              <w:t xml:space="preserve">Significantly reduced</w:t>
            </w:r>
          </w:p>
        </w:tc>
        <w:tc>
          <w:tcPr/>
          <w:p>
            <w:pPr>
              <w:pStyle w:val="Compact"/>
              <w:jc w:val="left"/>
            </w:pPr>
            <w:r>
              <w:rPr>
                <w:iCs/>
                <w:i/>
              </w:rPr>
              <w:t xml:space="preserve">p</w:t>
            </w:r>
            <w:r>
              <w:t xml:space="preserve"> </w:t>
            </w:r>
            <w:r>
              <w:t xml:space="preserve">&lt; .05</w:t>
            </w:r>
          </w:p>
        </w:tc>
        <w:tc>
          <w:tcPr/>
          <w:p>
            <w:pPr>
              <w:pStyle w:val="Compact"/>
              <w:jc w:val="left"/>
            </w:pPr>
            <w:r>
              <w:t xml:space="preserve">≥ 1.0</w:t>
            </w:r>
            <w:r>
              <w:t xml:space="preserve"> </w:t>
            </w:r>
            <w:fldSimple w:instr="NOTEREF _Ref_Footnote_144 \h \f">
              <w:r>
                <w:rPr>
                  <w:vertAlign w:val="superscript"/>
                </w:rPr>
                <w:t>144</w:t>
              </w:r>
            </w:fldSimple>
          </w:p>
        </w:tc>
      </w:tr>
      <w:tr>
        <w:tc>
          <w:tcPr/>
          <w:p>
            <w:pPr>
              <w:pStyle w:val="Compact"/>
              <w:jc w:val="left"/>
            </w:pPr>
            <w:r>
              <w:t xml:space="preserve">PHQ-8 (Depression)</w:t>
            </w:r>
          </w:p>
        </w:tc>
        <w:tc>
          <w:tcPr/>
          <w:p>
            <w:pPr>
              <w:pStyle w:val="Compact"/>
              <w:jc w:val="left"/>
            </w:pPr>
            <w:r>
              <w:t xml:space="preserve">11.9 (mild)</w:t>
            </w:r>
          </w:p>
        </w:tc>
        <w:tc>
          <w:tcPr/>
          <w:p>
            <w:pPr>
              <w:pStyle w:val="Compact"/>
              <w:jc w:val="left"/>
            </w:pPr>
            <w:r>
              <w:rPr>
                <w:bCs/>
                <w:b/>
              </w:rPr>
              <w:t xml:space="preserve">6.8 (no depression)</w:t>
            </w:r>
          </w:p>
        </w:tc>
        <w:tc>
          <w:tcPr/>
          <w:p>
            <w:pPr>
              <w:pStyle w:val="Compact"/>
              <w:jc w:val="left"/>
            </w:pPr>
            <w:r>
              <w:rPr>
                <w:iCs/>
                <w:i/>
              </w:rPr>
              <w:t xml:space="preserve">p</w:t>
            </w:r>
            <w:r>
              <w:t xml:space="preserve"> </w:t>
            </w:r>
            <w:r>
              <w:t xml:space="preserve">&lt; .001</w:t>
            </w:r>
          </w:p>
        </w:tc>
        <w:tc>
          <w:tcPr/>
          <w:p>
            <w:pPr>
              <w:pStyle w:val="Compact"/>
              <w:jc w:val="left"/>
            </w:pPr>
            <w:r>
              <w:t xml:space="preserve">≥ 1.0</w:t>
            </w:r>
            <w:r>
              <w:t xml:space="preserve"> </w:t>
            </w:r>
            <w:fldSimple w:instr="NOTEREF _Ref_Footnote_144 \h \f">
              <w:r>
                <w:rPr>
                  <w:vertAlign w:val="superscript"/>
                </w:rPr>
                <w:t>144</w:t>
              </w:r>
            </w:fldSimple>
          </w:p>
        </w:tc>
      </w:tr>
      <w:tr>
        <w:tc>
          <w:tcPr/>
          <w:p>
            <w:pPr>
              <w:pStyle w:val="Compact"/>
              <w:jc w:val="left"/>
            </w:pPr>
            <w:r>
              <w:t xml:space="preserve">BAI (Anxiety)</w:t>
            </w:r>
          </w:p>
        </w:tc>
        <w:tc>
          <w:tcPr/>
          <w:p>
            <w:pPr>
              <w:pStyle w:val="Compact"/>
              <w:jc w:val="left"/>
            </w:pPr>
            <w:r>
              <w:t xml:space="preserve">20.3 (moderate)</w:t>
            </w:r>
          </w:p>
        </w:tc>
        <w:tc>
          <w:tcPr/>
          <w:p>
            <w:pPr>
              <w:pStyle w:val="Compact"/>
              <w:jc w:val="left"/>
            </w:pPr>
            <w:r>
              <w:rPr>
                <w:bCs/>
                <w:b/>
              </w:rPr>
              <w:t xml:space="preserve">11.2 (mild)</w:t>
            </w:r>
          </w:p>
        </w:tc>
        <w:tc>
          <w:tcPr/>
          <w:p>
            <w:pPr>
              <w:pStyle w:val="Compact"/>
              <w:jc w:val="left"/>
            </w:pPr>
            <w:r>
              <w:rPr>
                <w:iCs/>
                <w:i/>
              </w:rPr>
              <w:t xml:space="preserve">p</w:t>
            </w:r>
            <w:r>
              <w:t xml:space="preserve"> </w:t>
            </w:r>
            <w:r>
              <w:t xml:space="preserve">&lt; .001</w:t>
            </w:r>
          </w:p>
        </w:tc>
        <w:tc>
          <w:tcPr/>
          <w:p>
            <w:pPr>
              <w:pStyle w:val="Compact"/>
              <w:jc w:val="left"/>
            </w:pPr>
            <w:r>
              <w:t xml:space="preserve">≥ 1.0</w:t>
            </w:r>
            <w:r>
              <w:t xml:space="preserve"> </w:t>
            </w:r>
            <w:fldSimple w:instr="NOTEREF _Ref_Footnote_144 \h \f">
              <w:r>
                <w:rPr>
                  <w:vertAlign w:val="superscript"/>
                </w:rPr>
                <w:t>144</w:t>
              </w:r>
            </w:fldSimple>
          </w:p>
        </w:tc>
      </w:tr>
      <w:tr>
        <w:tc>
          <w:tcPr/>
          <w:p>
            <w:pPr>
              <w:pStyle w:val="Compact"/>
              <w:jc w:val="left"/>
            </w:pPr>
            <w:r>
              <w:t xml:space="preserve">PSQI (Sleep quality)</w:t>
            </w:r>
          </w:p>
        </w:tc>
        <w:tc>
          <w:tcPr/>
          <w:p>
            <w:pPr>
              <w:pStyle w:val="Compact"/>
              <w:jc w:val="left"/>
            </w:pPr>
            <w:r>
              <w:t xml:space="preserve">Elevated</w:t>
            </w:r>
          </w:p>
        </w:tc>
        <w:tc>
          <w:tcPr/>
          <w:p>
            <w:pPr>
              <w:pStyle w:val="Compact"/>
              <w:jc w:val="left"/>
            </w:pPr>
            <w:r>
              <w:t xml:space="preserve">Significantly reduced</w:t>
            </w:r>
          </w:p>
        </w:tc>
        <w:tc>
          <w:tcPr/>
          <w:p>
            <w:pPr>
              <w:pStyle w:val="Compact"/>
              <w:jc w:val="left"/>
            </w:pPr>
            <w:r>
              <w:rPr>
                <w:iCs/>
                <w:i/>
              </w:rPr>
              <w:t xml:space="preserve">p</w:t>
            </w:r>
            <w:r>
              <w:t xml:space="preserve"> </w:t>
            </w:r>
            <w:r>
              <w:t xml:space="preserve">&lt; .001</w:t>
            </w:r>
          </w:p>
        </w:tc>
        <w:tc>
          <w:tcPr/>
          <w:p>
            <w:pPr>
              <w:pStyle w:val="Compact"/>
              <w:jc w:val="left"/>
            </w:pPr>
            <w:r>
              <w:t xml:space="preserve">≥ 1.0</w:t>
            </w:r>
            <w:r>
              <w:t xml:space="preserve"> </w:t>
            </w:r>
            <w:fldSimple w:instr="NOTEREF _Ref_Footnote_144 \h \f">
              <w:r>
                <w:rPr>
                  <w:vertAlign w:val="superscript"/>
                </w:rPr>
                <w:t>144</w:t>
              </w:r>
            </w:fldSimple>
          </w:p>
        </w:tc>
      </w:tr>
      <w:tr>
        <w:tc>
          <w:tcPr/>
          <w:p>
            <w:pPr>
              <w:pStyle w:val="Compact"/>
              <w:jc w:val="left"/>
            </w:pPr>
            <w:r>
              <w:t xml:space="preserve">MAAS (Mindfulness)</w:t>
            </w:r>
          </w:p>
        </w:tc>
        <w:tc>
          <w:tcPr/>
          <w:p>
            <w:pPr>
              <w:pStyle w:val="Compact"/>
              <w:jc w:val="left"/>
            </w:pPr>
            <w:r>
              <w:t xml:space="preserve">Low</w:t>
            </w:r>
          </w:p>
        </w:tc>
        <w:tc>
          <w:tcPr/>
          <w:p>
            <w:pPr>
              <w:pStyle w:val="Compact"/>
              <w:jc w:val="left"/>
            </w:pPr>
            <w:r>
              <w:t xml:space="preserve">Significantly improved</w:t>
            </w:r>
          </w:p>
        </w:tc>
        <w:tc>
          <w:tcPr/>
          <w:p>
            <w:pPr>
              <w:pStyle w:val="Compact"/>
              <w:jc w:val="left"/>
            </w:pPr>
            <w:r>
              <w:rPr>
                <w:iCs/>
                <w:i/>
              </w:rPr>
              <w:t xml:space="preserve">p</w:t>
            </w:r>
            <w:r>
              <w:t xml:space="preserve"> </w:t>
            </w:r>
            <w:r>
              <w:t xml:space="preserve">= .001</w:t>
            </w:r>
          </w:p>
        </w:tc>
        <w:tc>
          <w:tcPr/>
          <w:p>
            <w:pPr>
              <w:pStyle w:val="Compact"/>
              <w:jc w:val="left"/>
            </w:pPr>
            <w:r>
              <w:t xml:space="preserve">≥ 1.0</w:t>
            </w:r>
            <w:r>
              <w:t xml:space="preserve"> </w:t>
            </w:r>
            <w:fldSimple w:instr="NOTEREF _Ref_Footnote_144 \h \f">
              <w:r>
                <w:rPr>
                  <w:vertAlign w:val="superscript"/>
                </w:rPr>
                <w:t>144</w:t>
              </w:r>
            </w:fldSimple>
          </w:p>
        </w:tc>
      </w:tr>
    </w:tbl>
    <w:p>
      <w:pPr>
        <w:pStyle w:val="BodyText"/>
      </w:pPr>
      <w:r>
        <w:t xml:space="preserve">Participants moved from clinically significant depression to below the clinical threshold.</w:t>
      </w:r>
      <w:fldSimple w:instr="NOTEREF _Ref_Footnote_144 \h \f">
        <w:r>
          <w:rPr>
            <w:vertAlign w:val="superscript"/>
          </w:rPr>
          <w:t>144</w:t>
        </w:r>
      </w:fldSimple>
      <w:r>
        <w:t xml:space="preserve">All three PTSD symptom clusters decreased significantly. This demonstrates that military-culture-informed somatic programming—delivered in groups without requiring verbal trauma processing—can produce transformative outcomes for veterans historically difficult to engage in traditional psychotherapy.</w:t>
      </w:r>
    </w:p>
    <w:p>
      <w:pPr>
        <w:pStyle w:val="BodyText"/>
      </w:pPr>
      <w:r>
        <w:t xml:space="preserve">A qualitative study comparing SE to Prolonged Exposure found that SE participants described</w:t>
      </w:r>
      <w:r>
        <w:t xml:space="preserve"> </w:t>
      </w:r>
      <w:r>
        <w:t xml:space="preserve">“</w:t>
      </w:r>
      <w:r>
        <w:t xml:space="preserve">learning a language applicable to alternative scenarios</w:t>
      </w:r>
      <w:r>
        <w:t xml:space="preserve">”</w:t>
      </w:r>
      <w:r>
        <w:t xml:space="preserve">—skills that generalized beyond the therapy room.</w:t>
      </w:r>
      <w:r>
        <w:rPr>
          <w:vertAlign w:val="superscript"/>
        </w:rPr>
        <w:footnoteReference w:id="145"/>
      </w:r>
      <w:r>
        <w:t xml:space="preserve">Critically, SE allowed healing</w:t>
      </w:r>
      <w:r>
        <w:t xml:space="preserve"> </w:t>
      </w:r>
      <w:r>
        <w:rPr>
          <w:iCs/>
          <w:i/>
        </w:rPr>
        <w:t xml:space="preserve">without full explicit retelling</w:t>
      </w:r>
      <w:r>
        <w:t xml:space="preserve"> </w:t>
      </w:r>
      <w:r>
        <w:t xml:space="preserve">of traumatic events.</w:t>
      </w:r>
      <w:fldSimple w:instr="NOTEREF _Ref_Footnote_145 \h \f">
        <w:r>
          <w:rPr>
            <w:vertAlign w:val="superscript"/>
          </w:rPr>
          <w:t>145</w:t>
        </w:r>
      </w:fldSimple>
      <w:r>
        <w:t xml:space="preserve">One veteran described it:</w:t>
      </w:r>
      <w:r>
        <w:t xml:space="preserve"> </w:t>
      </w:r>
      <w:r>
        <w:t xml:space="preserve">“</w:t>
      </w:r>
      <w:r>
        <w:t xml:space="preserve">It was like a switch that made those nightmares just stop.</w:t>
      </w:r>
      <w:r>
        <w:t xml:space="preserve">”</w:t>
      </w:r>
      <w:r>
        <w:rPr>
          <w:vertAlign w:val="superscript"/>
        </w:rPr>
        <w:footnoteReference w:id="146"/>
      </w:r>
      <w:r>
        <w:t xml:space="preserve">#### Case Study 4: Chronic Pain + PTSD Comorbidity — SE Reducing Kinesiophobia</w:t>
      </w:r>
    </w:p>
    <w:p>
      <w:pPr>
        <w:pStyle w:val="BodyText"/>
      </w:pPr>
      <w:r>
        <w:t xml:space="preserve">Andersen and colleagues’ 2017 RCT addressed chronic low back pain with co-occurring PTSD symptoms, randomizing 91 patients to brief SE (6–12 hours) plus TAU versus TAU alone, with 12-month follow-up.</w:t>
      </w:r>
      <w:r>
        <w:rPr>
          <w:vertAlign w:val="superscript"/>
        </w:rPr>
        <w:footnoteReference w:id="147"/>
      </w:r>
      <w:r>
        <w:t xml:space="preserve">PTSD symptoms showed a significant time-by-group interaction (</w:t>
      </w:r>
      <w:r>
        <w:rPr>
          <w:iCs/>
          <w:i/>
        </w:rPr>
        <w:t xml:space="preserve">F</w:t>
      </w:r>
      <w:r>
        <w:t xml:space="preserve"> </w:t>
      </w:r>
      <w:r>
        <w:t xml:space="preserve">= 5.28,</w:t>
      </w:r>
      <w:r>
        <w:t xml:space="preserve"> </w:t>
      </w:r>
      <w:r>
        <w:rPr>
          <w:iCs/>
          <w:i/>
        </w:rPr>
        <w:t xml:space="preserve">p</w:t>
      </w:r>
      <w:r>
        <w:t xml:space="preserve"> </w:t>
      </w:r>
      <w:r>
        <w:t xml:space="preserve">= .02), with the SE group achieving</w:t>
      </w:r>
      <w:r>
        <w:t xml:space="preserve"> </w:t>
      </w:r>
      <w:r>
        <w:rPr>
          <w:iCs/>
          <w:i/>
        </w:rPr>
        <w:t xml:space="preserve">d</w:t>
      </w:r>
      <w:r>
        <w:t xml:space="preserve"> </w:t>
      </w:r>
      <w:r>
        <w:t xml:space="preserve">= 0.46 reduction versus a 1.9%</w:t>
      </w:r>
      <w:r>
        <w:t xml:space="preserve"> </w:t>
      </w:r>
      <w:r>
        <w:rPr>
          <w:iCs/>
          <w:i/>
        </w:rPr>
        <w:t xml:space="preserve">worsening</w:t>
      </w:r>
      <w:r>
        <w:t xml:space="preserve"> </w:t>
      </w:r>
      <w:r>
        <w:t xml:space="preserve">in controls.</w:t>
      </w:r>
      <w:fldSimple w:instr="NOTEREF _Ref_Footnote_147 \h \f">
        <w:r>
          <w:rPr>
            <w:vertAlign w:val="superscript"/>
          </w:rPr>
          <w:t>147</w:t>
        </w:r>
      </w:fldSimple>
      <w:r>
        <w:t xml:space="preserve">Critically, kinesiophobia—fear of movement, a major barrier to rehabilitation—decreased in the SE group (</w:t>
      </w:r>
      <w:r>
        <w:rPr>
          <w:iCs/>
          <w:i/>
        </w:rPr>
        <w:t xml:space="preserve">d</w:t>
      </w:r>
      <w:r>
        <w:t xml:space="preserve"> </w:t>
      </w:r>
      <w:r>
        <w:t xml:space="preserve">= 0.45,</w:t>
      </w:r>
      <w:r>
        <w:t xml:space="preserve"> </w:t>
      </w:r>
      <w:r>
        <w:rPr>
          <w:iCs/>
          <w:i/>
        </w:rPr>
        <w:t xml:space="preserve">p</w:t>
      </w:r>
      <w:r>
        <w:t xml:space="preserve"> </w:t>
      </w:r>
      <w:r>
        <w:t xml:space="preserve">= .003) but not controls.</w:t>
      </w:r>
      <w:fldSimple w:instr="NOTEREF _Ref_Footnote_147 \h \f">
        <w:r>
          <w:rPr>
            <w:vertAlign w:val="superscript"/>
          </w:rPr>
          <w:t>147</w:t>
        </w:r>
      </w:fldSimple>
      <w:r>
        <w:t xml:space="preserve">Effects maintained at 12 months, with authors noting they are</w:t>
      </w:r>
      <w:r>
        <w:t xml:space="preserve"> </w:t>
      </w:r>
      <w:r>
        <w:t xml:space="preserve">“</w:t>
      </w:r>
      <w:r>
        <w:t xml:space="preserve">long lasting</w:t>
      </w:r>
      <w:r>
        <w:t xml:space="preserve">”</w:t>
      </w:r>
      <w:r>
        <w:t xml:space="preserve">; tolerance was high with few dropouts.</w:t>
      </w:r>
      <w:fldSimple w:instr="NOTEREF _Ref_Footnote_147 \h \f">
        <w:r>
          <w:rPr>
            <w:vertAlign w:val="superscript"/>
          </w:rPr>
          <w:t>147</w:t>
        </w:r>
      </w:fldSimple>
      <w:r>
        <w:t xml:space="preserve">This demonstrates that even brief SE can disrupt the pain-PTSD cycle by reducing fear of movement—a mechanism pure talk therapy does not address.</w:t>
      </w:r>
    </w:p>
    <w:p>
      <w:r>
        <w:pict>
          <v:rect style="width:0;height:1.5pt" o:hralign="center" o:hrstd="t" o:hr="t"/>
        </w:pict>
      </w:r>
    </w:p>
    <w:bookmarkEnd w:id="64"/>
    <w:bookmarkEnd w:id="65"/>
    <w:bookmarkStart w:id="68" w:name="evidence-limitations-future-research"/>
    <w:p>
      <w:pPr>
        <w:pStyle w:val="Heading3"/>
      </w:pPr>
      <w:r>
        <w:t xml:space="preserve">2.5 Evidence Limitations &amp; Future Research</w:t>
      </w:r>
    </w:p>
    <w:p>
      <w:pPr>
        <w:pStyle w:val="FirstParagraph"/>
      </w:pPr>
      <w:r>
        <w:t xml:space="preserve">A rigorous assessment requires acknowledging three categories of limitations: methodological quality, guideline recognition gaps, and the pipeline of ongoing research.</w:t>
      </w:r>
    </w:p>
    <w:bookmarkStart w:id="66" w:name="methodological-quality-concerns"/>
    <w:p>
      <w:pPr>
        <w:pStyle w:val="Heading4"/>
      </w:pPr>
      <w:r>
        <w:t xml:space="preserve">2.5.1 Methodological Quality Concerns</w:t>
      </w:r>
    </w:p>
    <w:p>
      <w:pPr>
        <w:pStyle w:val="FirstParagraph"/>
      </w:pPr>
      <w:r>
        <w:t xml:space="preserve">Many individual RCTs are small—sample sizes under 50 are typical, with the Finnish DMT RCT (</w:t>
      </w:r>
      <w:r>
        <w:rPr>
          <w:iCs/>
          <w:i/>
        </w:rPr>
        <w:t xml:space="preserve">N</w:t>
      </w:r>
      <w:r>
        <w:t xml:space="preserve"> </w:t>
      </w:r>
      <w:r>
        <w:t xml:space="preserve">= 109) and Brom et al. SE RCT (</w:t>
      </w:r>
      <w:r>
        <w:rPr>
          <w:iCs/>
          <w:i/>
        </w:rPr>
        <w:t xml:space="preserve">N</w:t>
      </w:r>
      <w:r>
        <w:t xml:space="preserve"> </w:t>
      </w:r>
      <w:r>
        <w:t xml:space="preserve">= 63) among the larger.</w:t>
      </w:r>
      <w:fldSimple w:instr="NOTEREF _Ref_Footnote_16 \h \f">
        <w:r>
          <w:rPr>
            <w:vertAlign w:val="superscript"/>
          </w:rPr>
          <w:t>16</w:t>
        </w:r>
      </w:fldSimple>
      <w:r>
        <w:t xml:space="preserve"> </w:t>
      </w:r>
      <w:fldSimple w:instr="NOTEREF _Ref_Footnote_12 \h \f">
        <w:r>
          <w:rPr>
            <w:vertAlign w:val="superscript"/>
          </w:rPr>
          <w:t>12</w:t>
        </w:r>
      </w:fldSimple>
      <w:r>
        <w:t xml:space="preserve">Meta-analyses report moderate-to-high heterogeneity (</w:t>
      </w:r>
      <m:oMath>
        <m:sSup>
          <m:e>
            <m:r>
              <m:t>I</m:t>
            </m:r>
          </m:e>
          <m:sup>
            <m:r>
              <m:t>2</m:t>
            </m:r>
          </m:sup>
        </m:sSup>
      </m:oMath>
      <w:r>
        <w:t xml:space="preserve"> </w:t>
      </w:r>
      <w:r>
        <w:t xml:space="preserve">= 62–77%), reflecting diverse populations, formats, and outcome measures.</w:t>
      </w:r>
      <w:fldSimple w:instr="NOTEREF _Ref_Footnote_23 \h \f">
        <w:r>
          <w:rPr>
            <w:vertAlign w:val="superscript"/>
          </w:rPr>
          <w:t>23</w:t>
        </w:r>
      </w:fldSimple>
      <w:r>
        <w:t xml:space="preserve"> </w:t>
      </w:r>
      <w:fldSimple w:instr="NOTEREF _Ref_Footnote_127 \h \f">
        <w:r>
          <w:rPr>
            <w:vertAlign w:val="superscript"/>
          </w:rPr>
          <w:t>127</w:t>
        </w:r>
      </w:fldSimple>
      <w:r>
        <w:t xml:space="preserve">The active control problem deserves attention: when body-oriented interventions are compared to equally active controls (Pilates, gymnastics, exercise), effect sizes diminish substantially, suggesting some benefits may be non-specific.</w:t>
      </w:r>
      <w:fldSimple w:instr="NOTEREF _Ref_Footnote_23 \h \f">
        <w:r>
          <w:rPr>
            <w:vertAlign w:val="superscript"/>
          </w:rPr>
          <w:t>23</w:t>
        </w:r>
      </w:fldSimple>
      <w:r>
        <w:t xml:space="preserve"> </w:t>
      </w:r>
      <w:fldSimple w:instr="NOTEREF _Ref_Footnote_127 \h \f">
        <w:r>
          <w:rPr>
            <w:vertAlign w:val="superscript"/>
          </w:rPr>
          <w:t>127</w:t>
        </w:r>
      </w:fldSimple>
      <w:r>
        <w:t xml:space="preserve">Self-report versus clinician-rated outcomes present another challenge—Nejadghaderi and colleagues’ 2024 meta-analysis found yoga improved self-reported PTSD but not clinician-rated PTSD, raising questions about measurement methodology.</w:t>
      </w:r>
      <w:fldSimple w:instr="NOTEREF _Ref_Footnote_48 \h \f">
        <w:r>
          <w:rPr>
            <w:vertAlign w:val="superscript"/>
          </w:rPr>
          <w:t>48</w:t>
        </w:r>
      </w:fldSimple>
      <w:r>
        <w:t xml:space="preserve">#### 2.5.2 VA/DoD Guideline Gaps</w:t>
      </w:r>
    </w:p>
    <w:p>
      <w:pPr>
        <w:pStyle w:val="BodyText"/>
      </w:pPr>
      <w:r>
        <w:t xml:space="preserve">The VA/DoD Clinical Practice Guideline (2023/2024)—the most authoritative US PTSD treatment guideline—assigned</w:t>
      </w:r>
      <w:r>
        <w:t xml:space="preserve"> </w:t>
      </w:r>
      <w:r>
        <w:t xml:space="preserve">“</w:t>
      </w:r>
      <w:r>
        <w:t xml:space="preserve">insufficient evidence</w:t>
      </w:r>
      <w:r>
        <w:t xml:space="preserve">”</w:t>
      </w:r>
      <w:r>
        <w:t xml:space="preserve"> </w:t>
      </w:r>
      <w:r>
        <w:t xml:space="preserve">ratings to Somatic Experiencing, creative arts therapies, yoga, tai chi/qigong, and most somatic approaches.</w:t>
      </w:r>
      <w:r>
        <w:rPr>
          <w:vertAlign w:val="superscript"/>
        </w:rPr>
        <w:footnoteReference w:id="148"/>
      </w:r>
      <w:r>
        <w:t xml:space="preserve"> </w:t>
      </w:r>
      <w:r>
        <w:rPr>
          <w:vertAlign w:val="superscript"/>
        </w:rPr>
        <w:footnoteReference w:id="149"/>
      </w:r>
      <w:r>
        <w:t xml:space="preserve"> </w:t>
      </w:r>
      <w:r>
        <w:rPr>
          <w:vertAlign w:val="superscript"/>
        </w:rPr>
        <w:footnoteReference w:id="150"/>
      </w:r>
      <w:r>
        <w:t xml:space="preserve">Only MBSR received a</w:t>
      </w:r>
      <w:r>
        <w:t xml:space="preserve"> </w:t>
      </w:r>
      <w:r>
        <w:t xml:space="preserve">“</w:t>
      </w:r>
      <w:r>
        <w:t xml:space="preserve">weak for</w:t>
      </w:r>
      <w:r>
        <w:t xml:space="preserve">”</w:t>
      </w:r>
      <w:r>
        <w:t xml:space="preserve"> </w:t>
      </w:r>
      <w:r>
        <w:t xml:space="preserve">recommendation among mind-body interventions.</w:t>
      </w:r>
      <w:fldSimple w:instr="NOTEREF _Ref_Footnote_148 \h \f">
        <w:r>
          <w:rPr>
            <w:vertAlign w:val="superscript"/>
          </w:rPr>
          <w:t>148</w:t>
        </w:r>
      </w:fldSimple>
      <w:r>
        <w:t xml:space="preserve">This reflects methodological limitations rather than negative evidence: the absence of large, multi-site RCTs with active controls prevents higher recommendation grades.</w:t>
      </w:r>
    </w:p>
    <w:p>
      <w:pPr>
        <w:pStyle w:val="BodyText"/>
      </w:pPr>
      <w:r>
        <w:t xml:space="preserve">This gap creates both challenge and opportunity. Third-party payers may hesitate to cover somatic interventions today, but as ongoing trials mature, the first high-quality syntheses could shift guideline positions and unlock insurance reimbursement at scale.</w:t>
      </w:r>
    </w:p>
    <w:bookmarkEnd w:id="66"/>
    <w:bookmarkStart w:id="67" w:name="ongoing-trials-and-the-evidence-pipeline"/>
    <w:p>
      <w:pPr>
        <w:pStyle w:val="Heading4"/>
      </w:pPr>
      <w:r>
        <w:t xml:space="preserve">2.5.3 Ongoing Trials and the Evidence Pipeline</w:t>
      </w:r>
    </w:p>
    <w:p>
      <w:pPr>
        <w:pStyle w:val="FirstParagraph"/>
      </w:pPr>
      <w:r>
        <w:t xml:space="preserve">The research pipeline is accelerating. Ayudia and colleagues’ 2025 protocol describes the first culturally adapted SE RCT in Indonesia (</w:t>
      </w:r>
      <w:r>
        <w:rPr>
          <w:iCs/>
          <w:i/>
        </w:rPr>
        <w:t xml:space="preserve">n</w:t>
      </w:r>
      <w:r>
        <w:t xml:space="preserve"> </w:t>
      </w:r>
      <w:r>
        <w:t xml:space="preserve">= 207), with results expected by 2028.</w:t>
      </w:r>
      <w:fldSimple w:instr="NOTEREF _Ref_Footnote_73 \h \f">
        <w:r>
          <w:rPr>
            <w:vertAlign w:val="superscript"/>
          </w:rPr>
          <w:t>73</w:t>
        </w:r>
      </w:fldSimple>
      <w:r>
        <w:t xml:space="preserve"> </w:t>
      </w:r>
      <w:r>
        <w:rPr>
          <w:vertAlign w:val="superscript"/>
        </w:rPr>
        <w:footnoteReference w:id="151"/>
      </w:r>
      <w:r>
        <w:t xml:space="preserve">A Finnish adolescent DMT RCT is planned for 2025–2027,[^dim04^] the Kelly et al. TCTSY trial is being replicated at larger scale,</w:t>
      </w:r>
      <w:fldSimple w:instr="NOTEREF _Ref_Footnote_69 \h \f">
        <w:r>
          <w:rPr>
            <w:vertAlign w:val="superscript"/>
          </w:rPr>
          <w:t>69</w:t>
        </w:r>
      </w:fldSimple>
      <w:r>
        <w:t xml:space="preserve">and multiple HRV-biofeedback integration studies are underway.</w:t>
      </w:r>
      <w:r>
        <w:rPr>
          <w:vertAlign w:val="superscript"/>
        </w:rPr>
        <w:footnoteReference w:id="152"/>
      </w:r>
      <w:r>
        <w:t xml:space="preserve">These trials address prior limitations with larger samples (100–200+), active controls, blinded assessors, biomarker outcomes, and extended follow-up—design features likely to substantially strengthen the evidence base by 2027–2030.</w:t>
      </w:r>
    </w:p>
    <w:p>
      <w:pPr>
        <w:pStyle w:val="BodyText"/>
      </w:pPr>
      <w:r>
        <w:t xml:space="preserve">The evidence position can be summarized as follows: somatic therapy has sufficient evidence to support clinical use and platform development, with effect sizes competitive against established interventions. The strongest evidence is for Somatic Experiencing (PTSD,</w:t>
      </w:r>
      <w:r>
        <w:t xml:space="preserve"> </w:t>
      </w:r>
      <w:r>
        <w:rPr>
          <w:iCs/>
          <w:i/>
        </w:rPr>
        <w:t xml:space="preserve">d</w:t>
      </w:r>
      <w:r>
        <w:t xml:space="preserve"> </w:t>
      </w:r>
      <w:r>
        <w:t xml:space="preserve">= 1.26), TCTSY (PTSD remission 52–83%), and DMT (depression,</w:t>
      </w:r>
      <w:r>
        <w:t xml:space="preserve"> </w:t>
      </w:r>
      <w:r>
        <w:rPr>
          <w:iCs/>
          <w:i/>
        </w:rPr>
        <w:t xml:space="preserve">d</w:t>
      </w:r>
      <w:r>
        <w:t xml:space="preserve"> </w:t>
      </w:r>
      <w:r>
        <w:t xml:space="preserve">= 0.72, NNT = 3). The neurobiological mechanism evidence—HRV, cortisol, inflammatory markers, and emerging fMRI data—provides biological plausibility. The principal limitation is not effect size but sample size and study number; as the trial pipeline matures, this gap will close. For a platform at the intersection of technology and somatic care, the evidence base is already strong enough to support clinical claims, with substantial strengthening projected within the first operational years.</w:t>
      </w:r>
    </w:p>
    <w:p>
      <w:r>
        <w:pict>
          <v:rect style="width:0;height:1.5pt" o:hralign="center" o:hrstd="t" o:hr="t"/>
        </w:pict>
      </w:r>
    </w:p>
    <w:bookmarkEnd w:id="67"/>
    <w:bookmarkEnd w:id="68"/>
    <w:bookmarkEnd w:id="69"/>
    <w:bookmarkEnd w:id="70"/>
    <w:bookmarkStart w:id="175" w:name="dancemovement-therapy-deep-dive"/>
    <w:p>
      <w:pPr>
        <w:pStyle w:val="Heading1"/>
      </w:pPr>
      <w:r>
        <w:t xml:space="preserve">3. Dance/Movement Therapy Deep-Dive</w:t>
      </w:r>
    </w:p>
    <w:p>
      <w:pPr>
        <w:pStyle w:val="BlockText"/>
      </w:pPr>
      <w:r>
        <w:rPr>
          <w:iCs/>
          <w:i/>
        </w:rPr>
        <w:t xml:space="preserve">“</w:t>
      </w:r>
      <w:r>
        <w:rPr>
          <w:iCs/>
          <w:i/>
        </w:rPr>
        <w:t xml:space="preserve">The psychotherapeutic use of movement to promote emotional, social, cognitive and physical integration of the individual, for the purpose of improving health and well-being.</w:t>
      </w:r>
      <w:r>
        <w:rPr>
          <w:iCs/>
          <w:i/>
        </w:rPr>
        <w:t xml:space="preserve">”</w:t>
      </w:r>
      <w:r>
        <w:t xml:space="preserve"> </w:t>
      </w:r>
      <w:r>
        <w:t xml:space="preserve">— ADTA Official Definition</w:t>
      </w:r>
      <w:r>
        <w:t xml:space="preserve"> </w:t>
      </w:r>
      <w:fldSimple w:instr="NOTEREF _Ref_Footnote_85 \h \f">
        <w:r>
          <w:rPr>
            <w:vertAlign w:val="superscript"/>
          </w:rPr>
          <w:t>85</w:t>
        </w:r>
      </w:fldSimple>
      <w:r>
        <w:t xml:space="preserve">Dance/Movement Therapy (DMT) occupies a unique position within the somatic therapy landscape: it is the only modality requiring graduate-level clinical training, board certification, and continuing education while centering movement and dance as the primary therapeutic medium. For a platform whose core differentiation lies in body-based mental health, DMT is not merely one offering among many — it is the signature modality that defines clinical credibility and market positioning. This chapter analyzes the DMT profession, evidence base, integration protocols with somatic trauma therapies, key research leaders, and specific implications for platform strategy.</w:t>
      </w:r>
    </w:p>
    <w:bookmarkStart w:id="78" w:name="the-dmt-profession"/>
    <w:p>
      <w:pPr>
        <w:pStyle w:val="Heading2"/>
      </w:pPr>
      <w:r>
        <w:t xml:space="preserve">3.1 The DMT Profession</w:t>
      </w:r>
    </w:p>
    <w:bookmarkStart w:id="71" w:name="adta-history-and-credentialing-system"/>
    <w:p>
      <w:pPr>
        <w:pStyle w:val="Heading3"/>
      </w:pPr>
      <w:r>
        <w:t xml:space="preserve">3.1.1 ADTA History and Credentialing System</w:t>
      </w:r>
    </w:p>
    <w:p>
      <w:pPr>
        <w:pStyle w:val="FirstParagraph"/>
      </w:pPr>
      <w:r>
        <w:t xml:space="preserve">The American Dance Therapy Association (ADTA) was founded in 1966 by Marian Chace — the</w:t>
      </w:r>
      <w:r>
        <w:t xml:space="preserve"> </w:t>
      </w:r>
      <w:r>
        <w:t xml:space="preserve">“</w:t>
      </w:r>
      <w:r>
        <w:t xml:space="preserve">Grande Dame of Dance Therapy</w:t>
      </w:r>
      <w:r>
        <w:t xml:space="preserve">”</w:t>
      </w:r>
      <w:r>
        <w:t xml:space="preserve"> </w:t>
      </w:r>
      <w:r>
        <w:t xml:space="preserve">— together with Sharon Chaiklin, Elissa White, and Claire Schmais</w:t>
      </w:r>
      <w:r>
        <w:t xml:space="preserve"> </w:t>
      </w:r>
      <w:r>
        <w:rPr>
          <w:vertAlign w:val="superscript"/>
        </w:rPr>
        <w:footnoteReference w:id="153"/>
      </w:r>
      <w:r>
        <w:t xml:space="preserve"> </w:t>
      </w:r>
      <w:fldSimple w:instr="NOTEREF _Ref_Footnote_108 \h \f">
        <w:r>
          <w:rPr>
            <w:vertAlign w:val="superscript"/>
          </w:rPr>
          <w:t>108</w:t>
        </w:r>
      </w:fldSimple>
      <w:r>
        <w:t xml:space="preserve">. Chace, the first government-paid dance therapist in 1942 at St. Elizabeth’s Hospital, established four foundational concepts still governing practice: body action, rhythmic activity, symbolic imagery, and the therapeutic movement relationship</w:t>
      </w:r>
      <w:r>
        <w:t xml:space="preserve"> </w:t>
      </w:r>
      <w:fldSimple w:instr="NOTEREF _Ref_Footnote_153 \h \f">
        <w:r>
          <w:rPr>
            <w:vertAlign w:val="superscript"/>
          </w:rPr>
          <w:t>153</w:t>
        </w:r>
      </w:fldSimple>
      <w:r>
        <w:t xml:space="preserve"> </w:t>
      </w:r>
      <w:fldSimple w:instr="NOTEREF _Ref_Footnote_108 \h \f">
        <w:r>
          <w:rPr>
            <w:vertAlign w:val="superscript"/>
          </w:rPr>
          <w:t>108</w:t>
        </w:r>
      </w:fldSimple>
      <w:r>
        <w:t xml:space="preserve">. The ADTA defines DMT as</w:t>
      </w:r>
      <w:r>
        <w:t xml:space="preserve"> </w:t>
      </w:r>
      <w:r>
        <w:t xml:space="preserve">“</w:t>
      </w:r>
      <w:r>
        <w:t xml:space="preserve">the psychotherapeutic use of movement to promote emotional, social, cognitive and physical integration of the individual, for the purpose of improving health and well-being</w:t>
      </w:r>
      <w:r>
        <w:t xml:space="preserve">”</w:t>
      </w:r>
      <w:r>
        <w:t xml:space="preserve"> </w:t>
      </w:r>
      <w:fldSimple w:instr="NOTEREF _Ref_Footnote_85 \h \f">
        <w:r>
          <w:rPr>
            <w:vertAlign w:val="superscript"/>
          </w:rPr>
          <w:t>85</w:t>
        </w:r>
      </w:fldSimple>
      <w:r>
        <w:t xml:space="preserve">— a definition that positions DMT as clinical psychotherapy rather than wellness activity.</w:t>
      </w:r>
    </w:p>
    <w:p>
      <w:pPr>
        <w:pStyle w:val="BodyText"/>
      </w:pPr>
      <w:r>
        <w:t xml:space="preserve">The Dance/Movement Therapy Certification Board (DMTCB), established in 2009 as a separate 501(c)(6), awards two credentials: the Registered Dance/Movement Therapist (R-DMT) at entry level, and the Board Certified Dance/Movement Therapist (BC-DMT) at advanced level</w:t>
      </w:r>
      <w:r>
        <w:t xml:space="preserve"> </w:t>
      </w:r>
      <w:fldSimple w:instr="NOTEREF _Ref_Footnote_53 \h \f">
        <w:r>
          <w:rPr>
            <w:vertAlign w:val="superscript"/>
          </w:rPr>
          <w:t>53</w:t>
        </w:r>
      </w:fldSimple>
      <w:r>
        <w:t xml:space="preserve">. The R-DMT requires completion of either an ADTA Approved Graduate Program or the Alternate Route — a self-directed pathway combining a master’s degree with DMT coursework and a 700-hour supervised internship</w:t>
      </w:r>
      <w:r>
        <w:t xml:space="preserve"> </w:t>
      </w:r>
      <w:fldSimple w:instr="NOTEREF _Ref_Footnote_86 \h \f">
        <w:r>
          <w:rPr>
            <w:vertAlign w:val="superscript"/>
          </w:rPr>
          <w:t>86</w:t>
        </w:r>
      </w:fldSimple>
      <w:r>
        <w:t xml:space="preserve"> </w:t>
      </w:r>
      <w:fldSimple w:instr="NOTEREF _Ref_Footnote_80 \h \f">
        <w:r>
          <w:rPr>
            <w:vertAlign w:val="superscript"/>
          </w:rPr>
          <w:t>80</w:t>
        </w:r>
      </w:fldSimple>
      <w:r>
        <w:t xml:space="preserve">. The BC-DMT requires two years of full-time supervised clinical work post-R-DMT and confers authority to practice independently, supervise, and direct training programs</w:t>
      </w:r>
      <w:r>
        <w:t xml:space="preserve"> </w:t>
      </w:r>
      <w:fldSimple w:instr="NOTEREF _Ref_Footnote_86 \h \f">
        <w:r>
          <w:rPr>
            <w:vertAlign w:val="superscript"/>
          </w:rPr>
          <w:t>86</w:t>
        </w:r>
      </w:fldSimple>
      <w:r>
        <w:t xml:space="preserve"> </w:t>
      </w:r>
      <w:fldSimple w:instr="NOTEREF _Ref_Footnote_82 \h \f">
        <w:r>
          <w:rPr>
            <w:vertAlign w:val="superscript"/>
          </w:rPr>
          <w:t>82</w:t>
        </w:r>
      </w:fldSimple>
      <w:r>
        <w:t xml:space="preserve">. Both credentials require annual renewal and five-year recertification with 50 CE hours per cycle</w:t>
      </w:r>
      <w:r>
        <w:t xml:space="preserve"> </w:t>
      </w:r>
      <w:fldSimple w:instr="NOTEREF _Ref_Footnote_48 \h \f">
        <w:r>
          <w:rPr>
            <w:vertAlign w:val="superscript"/>
          </w:rPr>
          <w:t>48</w:t>
        </w:r>
      </w:fldSimple>
      <w:r>
        <w:t xml:space="preserve"> </w:t>
      </w:r>
      <w:fldSimple w:instr="NOTEREF _Ref_Footnote_82 \h \f">
        <w:r>
          <w:rPr>
            <w:vertAlign w:val="superscript"/>
          </w:rPr>
          <w:t>82</w:t>
        </w:r>
      </w:fldSimple>
      <w:r>
        <w:t xml:space="preserve">.</w:t>
      </w:r>
    </w:p>
    <w:p>
      <w:pPr>
        <w:pStyle w:val="BodyText"/>
      </w:pPr>
      <w:r>
        <w:t xml:space="preserve">The ADTA’s 2024 Standards for Education and Clinical Training specify 27 credits with a clinical master’s (45 with a non-clinical master’s), including DMT History/Theory/Practice (20 credits), Movement/Body studies (7 credits), and Psychology (18 credits)</w:t>
      </w:r>
      <w:r>
        <w:t xml:space="preserve"> </w:t>
      </w:r>
      <w:r>
        <w:rPr>
          <w:vertAlign w:val="superscript"/>
        </w:rPr>
        <w:footnoteReference w:id="154"/>
      </w:r>
      <w:r>
        <w:t xml:space="preserve">. Faculty teaching DMT practice must hold BC-DMT credentials with a minimum of five years of clinical experience</w:t>
      </w:r>
      <w:r>
        <w:t xml:space="preserve"> </w:t>
      </w:r>
      <w:fldSimple w:instr="NOTEREF _Ref_Footnote_154 \h \f">
        <w:r>
          <w:rPr>
            <w:vertAlign w:val="superscript"/>
          </w:rPr>
          <w:t>154</w:t>
        </w:r>
      </w:fldSimple>
      <w:r>
        <w:t xml:space="preserve">.</w:t>
      </w:r>
    </w:p>
    <w:bookmarkEnd w:id="71"/>
    <w:bookmarkStart w:id="72" w:name="X0ff3a13f26a5fa08568de5672e599e60615dd94"/>
    <w:p>
      <w:pPr>
        <w:pStyle w:val="Heading3"/>
      </w:pPr>
      <w:r>
        <w:t xml:space="preserve">3.1.2 Training Pathway: Graduate Programs and the Alternate Route</w:t>
      </w:r>
    </w:p>
    <w:p>
      <w:pPr>
        <w:pStyle w:val="FirstParagraph"/>
      </w:pPr>
      <w:r>
        <w:t xml:space="preserve">As of 2024, seven ADTA-approved master’s programs operate in the United States</w:t>
      </w:r>
      <w:r>
        <w:t xml:space="preserve"> </w:t>
      </w:r>
      <w:fldSimple w:instr="NOTEREF _Ref_Footnote_87 \h \f">
        <w:r>
          <w:rPr>
            <w:vertAlign w:val="superscript"/>
          </w:rPr>
          <w:t>87</w:t>
        </w:r>
      </w:fldSimple>
      <w:r>
        <w:t xml:space="preserve"> </w:t>
      </w:r>
      <w:r>
        <w:rPr>
          <w:vertAlign w:val="superscript"/>
        </w:rPr>
        <w:footnoteReference w:id="155"/>
      </w:r>
      <w:r>
        <w:t xml:space="preserve">.</w:t>
      </w:r>
    </w:p>
    <w:p>
      <w:pPr>
        <w:pStyle w:val="BodyText"/>
      </w:pPr>
      <w:r>
        <w:rPr>
          <w:bCs/>
          <w:b/>
        </w:rPr>
        <w:t xml:space="preserve">Table 3.1 — ADTA-Approved DMT Graduate Programs (2024)</w:t>
      </w:r>
    </w:p>
    <w:tbl>
      <w:tblPr>
        <w:tblStyle w:val="Table"/>
        <w:tblW w:type="pct" w:w="5000"/>
        <w:tblLook w:firstRow="1" w:lastRow="0" w:firstColumn="0" w:lastColumn="0" w:noHBand="0" w:noVBand="0" w:val="0020"/>
      </w:tblPr>
      <w:tblGrid>
        <w:gridCol w:w="1872"/>
        <w:gridCol w:w="1440"/>
        <w:gridCol w:w="2160"/>
        <w:gridCol w:w="2448"/>
      </w:tblGrid>
      <w:tr>
        <w:trPr>
          <w:tblHeader w:val="true"/>
        </w:trPr>
        <w:tc>
          <w:tcPr/>
          <w:p>
            <w:pPr>
              <w:pStyle w:val="Compact"/>
              <w:jc w:val="left"/>
            </w:pPr>
            <w:r>
              <w:t xml:space="preserve">Institution</w:t>
            </w:r>
          </w:p>
        </w:tc>
        <w:tc>
          <w:tcPr/>
          <w:p>
            <w:pPr>
              <w:pStyle w:val="Compact"/>
              <w:jc w:val="left"/>
            </w:pPr>
            <w:r>
              <w:t xml:space="preserve">Location</w:t>
            </w:r>
          </w:p>
        </w:tc>
        <w:tc>
          <w:tcPr/>
          <w:p>
            <w:pPr>
              <w:pStyle w:val="Compact"/>
              <w:jc w:val="left"/>
            </w:pPr>
            <w:r>
              <w:t xml:space="preserve">Program Focus</w:t>
            </w:r>
          </w:p>
        </w:tc>
        <w:tc>
          <w:tcPr/>
          <w:p>
            <w:pPr>
              <w:pStyle w:val="Compact"/>
              <w:jc w:val="left"/>
            </w:pPr>
            <w:r>
              <w:t xml:space="preserve">Delivery Format</w:t>
            </w:r>
          </w:p>
        </w:tc>
      </w:tr>
      <w:tr>
        <w:tc>
          <w:tcPr/>
          <w:p>
            <w:pPr>
              <w:pStyle w:val="Compact"/>
              <w:jc w:val="left"/>
            </w:pPr>
            <w:r>
              <w:t xml:space="preserve">Antioch University New England</w:t>
            </w:r>
          </w:p>
        </w:tc>
        <w:tc>
          <w:tcPr/>
          <w:p>
            <w:pPr>
              <w:pStyle w:val="Compact"/>
              <w:jc w:val="left"/>
            </w:pPr>
            <w:r>
              <w:t xml:space="preserve">Keene, NH</w:t>
            </w:r>
          </w:p>
        </w:tc>
        <w:tc>
          <w:tcPr/>
          <w:p>
            <w:pPr>
              <w:pStyle w:val="Compact"/>
              <w:jc w:val="left"/>
            </w:pPr>
            <w:r>
              <w:t xml:space="preserve">DMT with Couple and Family Therapy concentration</w:t>
            </w:r>
          </w:p>
        </w:tc>
        <w:tc>
          <w:tcPr/>
          <w:p>
            <w:pPr>
              <w:pStyle w:val="Compact"/>
              <w:jc w:val="left"/>
            </w:pPr>
            <w:r>
              <w:t xml:space="preserve">Low-residency, 9 semesters</w:t>
            </w:r>
            <w:r>
              <w:t xml:space="preserve"> </w:t>
            </w:r>
            <w:fldSimple w:instr="NOTEREF _Ref_Footnote_87 \h \f">
              <w:r>
                <w:rPr>
                  <w:vertAlign w:val="superscript"/>
                </w:rPr>
                <w:t>87</w:t>
              </w:r>
            </w:fldSimple>
          </w:p>
        </w:tc>
      </w:tr>
      <w:tr>
        <w:tc>
          <w:tcPr/>
          <w:p>
            <w:pPr>
              <w:pStyle w:val="Compact"/>
              <w:jc w:val="left"/>
            </w:pPr>
            <w:r>
              <w:t xml:space="preserve">Columbia College Chicago</w:t>
            </w:r>
          </w:p>
        </w:tc>
        <w:tc>
          <w:tcPr/>
          <w:p>
            <w:pPr>
              <w:pStyle w:val="Compact"/>
              <w:jc w:val="left"/>
            </w:pPr>
            <w:r>
              <w:t xml:space="preserve">Chicago, IL</w:t>
            </w:r>
          </w:p>
        </w:tc>
        <w:tc>
          <w:tcPr/>
          <w:p>
            <w:pPr>
              <w:pStyle w:val="Compact"/>
              <w:jc w:val="left"/>
            </w:pPr>
            <w:r>
              <w:t xml:space="preserve">Generalist DMT training</w:t>
            </w:r>
          </w:p>
        </w:tc>
        <w:tc>
          <w:tcPr/>
          <w:p>
            <w:pPr>
              <w:pStyle w:val="Compact"/>
              <w:jc w:val="left"/>
            </w:pPr>
            <w:r>
              <w:t xml:space="preserve">Low-residency options</w:t>
            </w:r>
            <w:r>
              <w:t xml:space="preserve"> </w:t>
            </w:r>
            <w:fldSimple w:instr="NOTEREF _Ref_Footnote_155 \h \f">
              <w:r>
                <w:rPr>
                  <w:vertAlign w:val="superscript"/>
                </w:rPr>
                <w:t>155</w:t>
              </w:r>
            </w:fldSimple>
          </w:p>
        </w:tc>
      </w:tr>
      <w:tr>
        <w:tc>
          <w:tcPr/>
          <w:p>
            <w:pPr>
              <w:pStyle w:val="Compact"/>
              <w:jc w:val="left"/>
            </w:pPr>
            <w:r>
              <w:t xml:space="preserve">Drexel University</w:t>
            </w:r>
          </w:p>
        </w:tc>
        <w:tc>
          <w:tcPr/>
          <w:p>
            <w:pPr>
              <w:pStyle w:val="Compact"/>
              <w:jc w:val="left"/>
            </w:pPr>
            <w:r>
              <w:t xml:space="preserve">Philadelphia, PA</w:t>
            </w:r>
          </w:p>
        </w:tc>
        <w:tc>
          <w:tcPr/>
          <w:p>
            <w:pPr>
              <w:pStyle w:val="Compact"/>
              <w:jc w:val="left"/>
            </w:pPr>
            <w:r>
              <w:t xml:space="preserve">DMT and Counseling</w:t>
            </w:r>
          </w:p>
        </w:tc>
        <w:tc>
          <w:tcPr/>
          <w:p>
            <w:pPr>
              <w:pStyle w:val="Compact"/>
              <w:jc w:val="left"/>
            </w:pPr>
            <w:r>
              <w:t xml:space="preserve">Full-time, on-campus</w:t>
            </w:r>
            <w:r>
              <w:t xml:space="preserve"> </w:t>
            </w:r>
            <w:r>
              <w:rPr>
                <w:vertAlign w:val="superscript"/>
              </w:rPr>
              <w:footnoteReference w:id="156"/>
            </w:r>
          </w:p>
        </w:tc>
      </w:tr>
      <w:tr>
        <w:tc>
          <w:tcPr/>
          <w:p>
            <w:pPr>
              <w:pStyle w:val="Compact"/>
              <w:jc w:val="left"/>
            </w:pPr>
            <w:r>
              <w:t xml:space="preserve">Lesley University</w:t>
            </w:r>
          </w:p>
        </w:tc>
        <w:tc>
          <w:tcPr/>
          <w:p>
            <w:pPr>
              <w:pStyle w:val="Compact"/>
              <w:jc w:val="left"/>
            </w:pPr>
            <w:r>
              <w:t xml:space="preserve">Cambridge, MA</w:t>
            </w:r>
          </w:p>
        </w:tc>
        <w:tc>
          <w:tcPr/>
          <w:p>
            <w:pPr>
              <w:pStyle w:val="Compact"/>
              <w:jc w:val="left"/>
            </w:pPr>
            <w:r>
              <w:t xml:space="preserve">Clinical Mental Health Counseling: DMT specialization</w:t>
            </w:r>
          </w:p>
        </w:tc>
        <w:tc>
          <w:tcPr/>
          <w:p>
            <w:pPr>
              <w:pStyle w:val="Compact"/>
              <w:jc w:val="left"/>
            </w:pPr>
            <w:r>
              <w:t xml:space="preserve">On-campus</w:t>
            </w:r>
            <w:r>
              <w:t xml:space="preserve"> </w:t>
            </w:r>
            <w:fldSimple w:instr="NOTEREF _Ref_Footnote_87 \h \f">
              <w:r>
                <w:rPr>
                  <w:vertAlign w:val="superscript"/>
                </w:rPr>
                <w:t>87</w:t>
              </w:r>
            </w:fldSimple>
          </w:p>
        </w:tc>
      </w:tr>
      <w:tr>
        <w:tc>
          <w:tcPr/>
          <w:p>
            <w:pPr>
              <w:pStyle w:val="Compact"/>
              <w:jc w:val="left"/>
            </w:pPr>
            <w:r>
              <w:t xml:space="preserve">Naropa University</w:t>
            </w:r>
          </w:p>
        </w:tc>
        <w:tc>
          <w:tcPr/>
          <w:p>
            <w:pPr>
              <w:pStyle w:val="Compact"/>
              <w:jc w:val="left"/>
            </w:pPr>
            <w:r>
              <w:t xml:space="preserve">Boulder, CO</w:t>
            </w:r>
          </w:p>
        </w:tc>
        <w:tc>
          <w:tcPr/>
          <w:p>
            <w:pPr>
              <w:pStyle w:val="Compact"/>
              <w:jc w:val="left"/>
            </w:pPr>
            <w:r>
              <w:t xml:space="preserve">Somatic Counseling: DMT concentration</w:t>
            </w:r>
          </w:p>
        </w:tc>
        <w:tc>
          <w:tcPr/>
          <w:p>
            <w:pPr>
              <w:pStyle w:val="Compact"/>
              <w:jc w:val="left"/>
            </w:pPr>
            <w:r>
              <w:t xml:space="preserve">Contemplative framework</w:t>
            </w:r>
            <w:r>
              <w:t xml:space="preserve"> </w:t>
            </w:r>
            <w:fldSimple w:instr="NOTEREF _Ref_Footnote_87 \h \f">
              <w:r>
                <w:rPr>
                  <w:vertAlign w:val="superscript"/>
                </w:rPr>
                <w:t>87</w:t>
              </w:r>
            </w:fldSimple>
          </w:p>
        </w:tc>
      </w:tr>
      <w:tr>
        <w:tc>
          <w:tcPr/>
          <w:p>
            <w:pPr>
              <w:pStyle w:val="Compact"/>
              <w:jc w:val="left"/>
            </w:pPr>
            <w:r>
              <w:t xml:space="preserve">Pratt Institute</w:t>
            </w:r>
          </w:p>
        </w:tc>
        <w:tc>
          <w:tcPr/>
          <w:p>
            <w:pPr>
              <w:pStyle w:val="Compact"/>
              <w:jc w:val="left"/>
            </w:pPr>
            <w:r>
              <w:t xml:space="preserve">Brooklyn, NY</w:t>
            </w:r>
          </w:p>
        </w:tc>
        <w:tc>
          <w:tcPr/>
          <w:p>
            <w:pPr>
              <w:pStyle w:val="Compact"/>
              <w:jc w:val="left"/>
            </w:pPr>
            <w:r>
              <w:t xml:space="preserve">DMT (low-residency)</w:t>
            </w:r>
          </w:p>
        </w:tc>
        <w:tc>
          <w:tcPr/>
          <w:p>
            <w:pPr>
              <w:pStyle w:val="Compact"/>
              <w:jc w:val="left"/>
            </w:pPr>
            <w:r>
              <w:t xml:space="preserve">Low-residency, NYC area</w:t>
            </w:r>
            <w:r>
              <w:t xml:space="preserve"> </w:t>
            </w:r>
            <w:fldSimple w:instr="NOTEREF _Ref_Footnote_87 \h \f">
              <w:r>
                <w:rPr>
                  <w:vertAlign w:val="superscript"/>
                </w:rPr>
                <w:t>87</w:t>
              </w:r>
            </w:fldSimple>
          </w:p>
        </w:tc>
      </w:tr>
      <w:tr>
        <w:tc>
          <w:tcPr/>
          <w:p>
            <w:pPr>
              <w:pStyle w:val="Compact"/>
              <w:jc w:val="left"/>
            </w:pPr>
            <w:r>
              <w:t xml:space="preserve">Rider University</w:t>
            </w:r>
          </w:p>
        </w:tc>
        <w:tc>
          <w:tcPr/>
          <w:p>
            <w:pPr>
              <w:pStyle w:val="Compact"/>
              <w:jc w:val="left"/>
            </w:pPr>
            <w:r>
              <w:t xml:space="preserve">Lawrenceville, NJ</w:t>
            </w:r>
          </w:p>
        </w:tc>
        <w:tc>
          <w:tcPr/>
          <w:p>
            <w:pPr>
              <w:pStyle w:val="Compact"/>
              <w:jc w:val="left"/>
            </w:pPr>
            <w:r>
              <w:t xml:space="preserve">Generalist DMT training</w:t>
            </w:r>
          </w:p>
        </w:tc>
        <w:tc>
          <w:tcPr/>
          <w:p>
            <w:pPr>
              <w:pStyle w:val="Compact"/>
              <w:jc w:val="left"/>
            </w:pPr>
            <w:r>
              <w:t xml:space="preserve">On-campus</w:t>
            </w:r>
            <w:r>
              <w:t xml:space="preserve"> </w:t>
            </w:r>
            <w:fldSimple w:instr="NOTEREF _Ref_Footnote_87 \h \f">
              <w:r>
                <w:rPr>
                  <w:vertAlign w:val="superscript"/>
                </w:rPr>
                <w:t>87</w:t>
              </w:r>
            </w:fldSimple>
          </w:p>
        </w:tc>
      </w:tr>
    </w:tbl>
    <w:p>
      <w:pPr>
        <w:pStyle w:val="BodyText"/>
      </w:pPr>
      <w:r>
        <w:t xml:space="preserve">Drexel’s program requires familiarity with at least two dance/movement forms plus five years of dedicated study in one form</w:t>
      </w:r>
      <w:r>
        <w:t xml:space="preserve"> </w:t>
      </w:r>
      <w:r>
        <w:rPr>
          <w:vertAlign w:val="superscript"/>
        </w:rPr>
        <w:footnoteReference w:id="157"/>
      </w:r>
      <w:r>
        <w:t xml:space="preserve">. Antioch’s low-residency model spans 32 months with five intensive residencies</w:t>
      </w:r>
      <w:r>
        <w:t xml:space="preserve"> </w:t>
      </w:r>
      <w:fldSimple w:instr="NOTEREF _Ref_Footnote_123 \h \f">
        <w:r>
          <w:rPr>
            <w:vertAlign w:val="superscript"/>
          </w:rPr>
          <w:t>123</w:t>
        </w:r>
      </w:fldSimple>
      <w:r>
        <w:t xml:space="preserve">. Naropa’s program is distinctive for integrating contemplative practice with clinical counseling, producing graduates eligible for both R-DMT and state counseling licensure</w:t>
      </w:r>
      <w:r>
        <w:t xml:space="preserve"> </w:t>
      </w:r>
      <w:fldSimple w:instr="NOTEREF _Ref_Footnote_87 \h \f">
        <w:r>
          <w:rPr>
            <w:vertAlign w:val="superscript"/>
          </w:rPr>
          <w:t>87</w:t>
        </w:r>
      </w:fldSimple>
      <w:r>
        <w:t xml:space="preserve">.</w:t>
      </w:r>
    </w:p>
    <w:p>
      <w:pPr>
        <w:pStyle w:val="BodyText"/>
      </w:pPr>
      <w:r>
        <w:t xml:space="preserve">The Alternate Route provides a flexible pathway for those unable to attend a full graduate program. Prerequisites include a master’s degree (or current enrollment) in counseling, psychology, or social work plus five or more years of dance experience</w:t>
      </w:r>
      <w:r>
        <w:t xml:space="preserve"> </w:t>
      </w:r>
      <w:r>
        <w:rPr>
          <w:vertAlign w:val="superscript"/>
        </w:rPr>
        <w:footnoteReference w:id="158"/>
      </w:r>
      <w:r>
        <w:t xml:space="preserve">. Coursework requirements span 270 hours of DMT Theory &amp; Practice (18 credits, in-person required), 45 hours of Group Processes in DMT, 90 hours of Movement Observation, and 285 hours of General Psychology coursework</w:t>
      </w:r>
      <w:r>
        <w:t xml:space="preserve"> </w:t>
      </w:r>
      <w:fldSimple w:instr="NOTEREF _Ref_Footnote_80 \h \f">
        <w:r>
          <w:rPr>
            <w:vertAlign w:val="superscript"/>
          </w:rPr>
          <w:t>80</w:t>
        </w:r>
      </w:fldSimple>
      <w:r>
        <w:t xml:space="preserve">. Sample costs range from $425 per course at the Embodied Education Institute of Chicago</w:t>
      </w:r>
      <w:r>
        <w:t xml:space="preserve"> </w:t>
      </w:r>
      <w:r>
        <w:rPr>
          <w:vertAlign w:val="superscript"/>
        </w:rPr>
        <w:footnoteReference w:id="159"/>
      </w:r>
      <w:r>
        <w:t xml:space="preserve">to $2,150–$2,890 CAD annually at Canada’s National Centre for Dance Therapy</w:t>
      </w:r>
      <w:r>
        <w:t xml:space="preserve"> </w:t>
      </w:r>
      <w:r>
        <w:rPr>
          <w:vertAlign w:val="superscript"/>
        </w:rPr>
        <w:footnoteReference w:id="160"/>
      </w:r>
      <w:r>
        <w:t xml:space="preserve">. The R-DMT application fee is $150; BC-DMT candidates must complete 70 hours of supervised clinical work with live observation</w:t>
      </w:r>
      <w:r>
        <w:t xml:space="preserve"> </w:t>
      </w:r>
      <w:fldSimple w:instr="NOTEREF _Ref_Footnote_134 \h \f">
        <w:r>
          <w:rPr>
            <w:vertAlign w:val="superscript"/>
          </w:rPr>
          <w:t>134</w:t>
        </w:r>
      </w:fldSimple>
      <w:r>
        <w:t xml:space="preserve"> </w:t>
      </w:r>
      <w:r>
        <w:rPr>
          <w:vertAlign w:val="superscript"/>
        </w:rPr>
        <w:footnoteReference w:id="161"/>
      </w:r>
      <w:r>
        <w:t xml:space="preserve">.</w:t>
      </w:r>
    </w:p>
    <w:bookmarkEnd w:id="72"/>
    <w:bookmarkStart w:id="73" w:name="professional-demographics-and-economics"/>
    <w:p>
      <w:pPr>
        <w:pStyle w:val="Heading3"/>
      </w:pPr>
      <w:r>
        <w:t xml:space="preserve">3.1.3 Professional Demographics and Economics</w:t>
      </w:r>
    </w:p>
    <w:p>
      <w:pPr>
        <w:pStyle w:val="FirstParagraph"/>
      </w:pPr>
      <w:r>
        <w:t xml:space="preserve">The DMT profession remains remarkably small: the ADTA reports approximately 1,370 registered members globally, with only 247 practicing DMT therapists in North America</w:t>
      </w:r>
      <w:r>
        <w:t xml:space="preserve"> </w:t>
      </w:r>
      <w:fldSimple w:instr="NOTEREF _Ref_Footnote_25 \h \f">
        <w:r>
          <w:rPr>
            <w:vertAlign w:val="superscript"/>
          </w:rPr>
          <w:t>25</w:t>
        </w:r>
      </w:fldSimple>
      <w:r>
        <w:t xml:space="preserve">. This supply constraint has direct implications for platform scalability — the addressable practitioner base is orders of magnitude smaller than clinical social work or professional counseling.</w:t>
      </w:r>
    </w:p>
    <w:p>
      <w:pPr>
        <w:pStyle w:val="BodyText"/>
      </w:pPr>
      <w:r>
        <w:t xml:space="preserve">Bureau of Labor Statistics data classifies dance/movement therapists as mental health counselors, reporting a national median salary of $59,190 (10th percentile: $39,090; 75th percentile: $76,230)</w:t>
      </w:r>
      <w:r>
        <w:t xml:space="preserve"> </w:t>
      </w:r>
      <w:r>
        <w:rPr>
          <w:vertAlign w:val="superscript"/>
        </w:rPr>
        <w:footnoteReference w:id="162"/>
      </w:r>
      <w:r>
        <w:t xml:space="preserve">. Private practice rates range from $120–$175 for individual 50-minute sessions, with group sessions at $45–$65 per participant</w:t>
      </w:r>
      <w:r>
        <w:t xml:space="preserve"> </w:t>
      </w:r>
      <w:r>
        <w:rPr>
          <w:vertAlign w:val="superscript"/>
        </w:rPr>
        <w:footnoteReference w:id="163"/>
      </w:r>
      <w:r>
        <w:t xml:space="preserve"> </w:t>
      </w:r>
      <w:r>
        <w:rPr>
          <w:vertAlign w:val="superscript"/>
        </w:rPr>
        <w:footnoteReference w:id="164"/>
      </w:r>
      <w:r>
        <w:t xml:space="preserve">. The field is growing as mental health care embraces holistic approaches, though geographic location significantly impacts opportunity</w:t>
      </w:r>
      <w:r>
        <w:t xml:space="preserve"> </w:t>
      </w:r>
      <w:fldSimple w:instr="NOTEREF _Ref_Footnote_162 \h \f">
        <w:r>
          <w:rPr>
            <w:vertAlign w:val="superscript"/>
          </w:rPr>
          <w:t>162</w:t>
        </w:r>
      </w:fldSimple>
      <w:r>
        <w:t xml:space="preserve">.</w:t>
      </w:r>
    </w:p>
    <w:bookmarkEnd w:id="73"/>
    <w:bookmarkStart w:id="77" w:name="X6ef7a0539ca3893f82fc940e880154c0b077471"/>
    <w:p>
      <w:pPr>
        <w:pStyle w:val="Heading3"/>
      </w:pPr>
      <w:r>
        <w:t xml:space="preserve">3.1.4 DMT Session Structure: The Four-Phase Model</w:t>
      </w:r>
    </w:p>
    <w:p>
      <w:pPr>
        <w:pStyle w:val="FirstParagraph"/>
      </w:pPr>
      <w:r>
        <w:t xml:space="preserve">A DMT session follows a consistent structural arc derived from the Chace framework</w:t>
      </w:r>
      <w:r>
        <w:t xml:space="preserve"> </w:t>
      </w:r>
      <w:r>
        <w:rPr>
          <w:vertAlign w:val="superscript"/>
        </w:rPr>
        <w:footnoteReference w:id="165"/>
      </w:r>
      <w:r>
        <w:t xml:space="preserve">. Individual sessions typically last 50–60 minutes; group sessions extend to 90 minutes</w:t>
      </w:r>
      <w:r>
        <w:t xml:space="preserve"> </w:t>
      </w:r>
      <w:fldSimple w:instr="NOTEREF _Ref_Footnote_12 \h \f">
        <w:r>
          <w:rPr>
            <w:vertAlign w:val="superscript"/>
          </w:rPr>
          <w:t>12</w:t>
        </w:r>
      </w:fldSimple>
      <w:r>
        <w:t xml:space="preserve">.</w:t>
      </w:r>
    </w:p>
    <w:p>
      <w:pPr>
        <w:pStyle w:val="BodyText"/>
      </w:pPr>
      <w:r>
        <w:drawing>
          <wp:inline>
            <wp:extent cx="5334000" cy="2981258"/>
            <wp:effectExtent b="0" l="0" r="0" t="0"/>
            <wp:docPr descr="Dance/Movement Therapy Session Structure — Four-Phase Model" title="" id="75" name="Picture"/>
            <a:graphic>
              <a:graphicData uri="http://schemas.openxmlformats.org/drawingml/2006/picture">
                <pic:pic>
                  <pic:nvPicPr>
                    <pic:cNvPr descr="/mnt/agents/output/fig_dmt_session_structure.png" id="76" name="Picture"/>
                    <pic:cNvPicPr>
                      <a:picLocks noChangeArrowheads="1" noChangeAspect="1"/>
                    </pic:cNvPicPr>
                  </pic:nvPicPr>
                  <pic:blipFill>
                    <a:blip r:embed="rId74"/>
                    <a:stretch>
                      <a:fillRect/>
                    </a:stretch>
                  </pic:blipFill>
                  <pic:spPr bwMode="auto">
                    <a:xfrm>
                      <a:off x="0" y="0"/>
                      <a:ext cx="5334000" cy="2981258"/>
                    </a:xfrm>
                    <a:prstGeom prst="rect">
                      <a:avLst/>
                    </a:prstGeom>
                    <a:noFill/>
                    <a:ln w="9525">
                      <a:noFill/>
                      <a:headEnd/>
                      <a:tailEnd/>
                    </a:ln>
                  </pic:spPr>
                </pic:pic>
              </a:graphicData>
            </a:graphic>
          </wp:inline>
        </w:drawing>
      </w:r>
      <w:r>
        <w:t xml:space="preserve"> </w:t>
      </w:r>
      <w:r>
        <w:rPr>
          <w:iCs/>
          <w:i/>
        </w:rPr>
        <w:t xml:space="preserve">Figure 3.1 — The DMT session follows a four-phase arc: verbal check-in, grounding/warm-up, movement exploration (the therapeutic core), and integration/closure. Time allocations and specific activities vary by population and treatment goals. Source: ADTA Chace Model</w:t>
      </w:r>
      <w:r>
        <w:rPr>
          <w:iCs/>
          <w:i/>
        </w:rPr>
        <w:t xml:space="preserve"> </w:t>
      </w:r>
      <w:fldSimple w:instr="NOTEREF _Ref_Footnote_165 \h \f">
        <w:r>
          <w:rPr>
            <w:vertAlign w:val="superscript"/>
          </w:rPr>
          <w:t>165</w:t>
        </w:r>
      </w:fldSimple>
      <w:r>
        <w:rPr>
          <w:iCs/>
          <w:i/>
        </w:rPr>
        <w:t xml:space="preserve"> </w:t>
      </w:r>
      <w:fldSimple w:instr="NOTEREF _Ref_Footnote_9 \h \f">
        <w:r>
          <w:rPr>
            <w:vertAlign w:val="superscript"/>
          </w:rPr>
          <w:t>9</w:t>
        </w:r>
      </w:fldSimple>
      <w:r>
        <w:rPr>
          <w:iCs/>
          <w:i/>
        </w:rPr>
        <w:t xml:space="preserve">; Drexel University DMT Method Research</w:t>
      </w:r>
      <w:r>
        <w:rPr>
          <w:iCs/>
          <w:i/>
        </w:rPr>
        <w:t xml:space="preserve"> </w:t>
      </w:r>
      <w:r>
        <w:rPr>
          <w:vertAlign w:val="superscript"/>
        </w:rPr>
        <w:footnoteReference w:id="166"/>
      </w:r>
      <w:r>
        <w:rPr>
          <w:iCs/>
          <w:i/>
        </w:rPr>
        <w:t xml:space="preserve">.</w:t>
      </w:r>
    </w:p>
    <w:p>
      <w:pPr>
        <w:pStyle w:val="BodyText"/>
      </w:pPr>
      <w:r>
        <w:rPr>
          <w:bCs/>
          <w:b/>
        </w:rPr>
        <w:t xml:space="preserve">Phase 1: Check-In and Arrival (Verbal, 5–10 minutes)</w:t>
      </w:r>
      <w:r>
        <w:t xml:space="preserve"> </w:t>
      </w:r>
      <w:r>
        <w:t xml:space="preserve">— The session begins with a brief verbal conversation to assess mood, review goals, and build rapport</w:t>
      </w:r>
      <w:r>
        <w:t xml:space="preserve"> </w:t>
      </w:r>
      <w:fldSimple w:instr="NOTEREF _Ref_Footnote_9 \h \f">
        <w:r>
          <w:rPr>
            <w:vertAlign w:val="superscript"/>
          </w:rPr>
          <w:t>9</w:t>
        </w:r>
      </w:fldSimple>
      <w:r>
        <w:t xml:space="preserve">. Critically, the DMT therapist observes the client’s movement from entry — gait patterns, postural alignment, settling behaviors — as these nonverbal cues often reveal more than verbal report</w:t>
      </w:r>
      <w:r>
        <w:t xml:space="preserve"> </w:t>
      </w:r>
      <w:fldSimple w:instr="NOTEREF _Ref_Footnote_165 \h \f">
        <w:r>
          <w:rPr>
            <w:vertAlign w:val="superscript"/>
          </w:rPr>
          <w:t>165</w:t>
        </w:r>
      </w:fldSimple>
      <w:r>
        <w:t xml:space="preserve">.</w:t>
      </w:r>
    </w:p>
    <w:p>
      <w:pPr>
        <w:pStyle w:val="BodyText"/>
      </w:pPr>
      <w:r>
        <w:rPr>
          <w:bCs/>
          <w:b/>
        </w:rPr>
        <w:t xml:space="preserve">Phase 2: Grounding and Warm-Up (10–15 minutes)</w:t>
      </w:r>
      <w:r>
        <w:t xml:space="preserve"> </w:t>
      </w:r>
      <w:r>
        <w:t xml:space="preserve">— The therapist guides the client through breath awareness, body scans, stretching, or rhythmic swaying to transition from daily distractions into the therapeutic space</w:t>
      </w:r>
      <w:r>
        <w:t xml:space="preserve"> </w:t>
      </w:r>
      <w:fldSimple w:instr="NOTEREF _Ref_Footnote_9 \h \f">
        <w:r>
          <w:rPr>
            <w:vertAlign w:val="superscript"/>
          </w:rPr>
          <w:t>9</w:t>
        </w:r>
      </w:fldSimple>
      <w:r>
        <w:t xml:space="preserve">. This phase serves a nervous system regulation function, bringing the client into their</w:t>
      </w:r>
      <w:r>
        <w:t xml:space="preserve"> </w:t>
      </w:r>
      <w:r>
        <w:t xml:space="preserve">“</w:t>
      </w:r>
      <w:r>
        <w:t xml:space="preserve">window of tolerance</w:t>
      </w:r>
      <w:r>
        <w:t xml:space="preserve">”</w:t>
      </w:r>
      <w:r>
        <w:t xml:space="preserve"> </w:t>
      </w:r>
      <w:r>
        <w:t xml:space="preserve">— the zone where emotions can be managed without hyperarousal or hypoarousal</w:t>
      </w:r>
      <w:r>
        <w:t xml:space="preserve"> </w:t>
      </w:r>
      <w:r>
        <w:rPr>
          <w:vertAlign w:val="superscript"/>
        </w:rPr>
        <w:footnoteReference w:id="167"/>
      </w:r>
      <w:r>
        <w:t xml:space="preserve"> </w:t>
      </w:r>
      <w:r>
        <w:rPr>
          <w:vertAlign w:val="superscript"/>
        </w:rPr>
        <w:footnoteReference w:id="168"/>
      </w:r>
      <w:r>
        <w:t xml:space="preserve">.</w:t>
      </w:r>
    </w:p>
    <w:p>
      <w:pPr>
        <w:pStyle w:val="BodyText"/>
      </w:pPr>
      <w:r>
        <w:rPr>
          <w:bCs/>
          <w:b/>
        </w:rPr>
        <w:t xml:space="preserve">Phase 3: Movement Exploration (25–35 minutes)</w:t>
      </w:r>
      <w:r>
        <w:t xml:space="preserve"> </w:t>
      </w:r>
      <w:r>
        <w:t xml:space="preserve">— The heart of the session. The therapist introduces a theme, and clients express themselves through improvised movement, guided sequences, mirroring exercises, symbolic gestures, or prop work</w:t>
      </w:r>
      <w:r>
        <w:t xml:space="preserve"> </w:t>
      </w:r>
      <w:fldSimple w:instr="NOTEREF _Ref_Footnote_9 \h \f">
        <w:r>
          <w:rPr>
            <w:vertAlign w:val="superscript"/>
          </w:rPr>
          <w:t>9</w:t>
        </w:r>
      </w:fldSimple>
      <w:r>
        <w:t xml:space="preserve">. The therapist participates through observation, verbal guidance, or co-movement, helping the client notice connections between movement patterns and emotional experience</w:t>
      </w:r>
      <w:r>
        <w:t xml:space="preserve"> </w:t>
      </w:r>
      <w:fldSimple w:instr="NOTEREF _Ref_Footnote_165 \h \f">
        <w:r>
          <w:rPr>
            <w:vertAlign w:val="superscript"/>
          </w:rPr>
          <w:t>165</w:t>
        </w:r>
      </w:fldSimple>
      <w:r>
        <w:t xml:space="preserve">.</w:t>
      </w:r>
    </w:p>
    <w:p>
      <w:pPr>
        <w:pStyle w:val="BodyText"/>
      </w:pPr>
      <w:r>
        <w:rPr>
          <w:bCs/>
          <w:b/>
        </w:rPr>
        <w:t xml:space="preserve">Phase 4: Integration and Closure (10–15 minutes)</w:t>
      </w:r>
      <w:r>
        <w:t xml:space="preserve"> </w:t>
      </w:r>
      <w:r>
        <w:t xml:space="preserve">— Sessions conclude with grounding and consolidation: processing what emerged, connecting insights to daily life, and returning to a settled state before leaving</w:t>
      </w:r>
      <w:r>
        <w:t xml:space="preserve"> </w:t>
      </w:r>
      <w:fldSimple w:instr="NOTEREF _Ref_Footnote_165 \h \f">
        <w:r>
          <w:rPr>
            <w:vertAlign w:val="superscript"/>
          </w:rPr>
          <w:t>165</w:t>
        </w:r>
      </w:fldSimple>
      <w:r>
        <w:t xml:space="preserve">. This may include resting movement, drawing, journaling, and home practice assignments</w:t>
      </w:r>
      <w:r>
        <w:t xml:space="preserve"> </w:t>
      </w:r>
      <w:fldSimple w:instr="NOTEREF _Ref_Footnote_9 \h \f">
        <w:r>
          <w:rPr>
            <w:vertAlign w:val="superscript"/>
          </w:rPr>
          <w:t>9</w:t>
        </w:r>
      </w:fldSimple>
      <w:r>
        <w:t xml:space="preserve">.</w:t>
      </w:r>
    </w:p>
    <w:p>
      <w:pPr>
        <w:pStyle w:val="BodyText"/>
      </w:pPr>
      <w:r>
        <w:t xml:space="preserve">Alternative structures exist. Drexel researchers developed a four-part model for adolescents incorporating visual mapping to crystallize movement experience</w:t>
      </w:r>
      <w:r>
        <w:t xml:space="preserve"> </w:t>
      </w:r>
      <w:fldSimple w:instr="NOTEREF _Ref_Footnote_166 \h \f">
        <w:r>
          <w:rPr>
            <w:vertAlign w:val="superscript"/>
          </w:rPr>
          <w:t>166</w:t>
        </w:r>
      </w:fldSimple>
      <w:r>
        <w:t xml:space="preserve">. Kolkata Sanved’s program for trafficking survivors uses a structured two-hour format including opening ritual, warm-up, 60-minute DMT activity, healing touch, and closing ritual</w:t>
      </w:r>
      <w:r>
        <w:t xml:space="preserve"> </w:t>
      </w:r>
      <w:r>
        <w:rPr>
          <w:vertAlign w:val="superscript"/>
        </w:rPr>
        <w:footnoteReference w:id="169"/>
      </w:r>
      <w:r>
        <w:t xml:space="preserve">.</w:t>
      </w:r>
    </w:p>
    <w:bookmarkEnd w:id="77"/>
    <w:bookmarkEnd w:id="78"/>
    <w:bookmarkStart w:id="83" w:name="dmt-clinical-evidence"/>
    <w:p>
      <w:pPr>
        <w:pStyle w:val="Heading2"/>
      </w:pPr>
      <w:r>
        <w:t xml:space="preserve">3.2 DMT Clinical Evidence</w:t>
      </w:r>
    </w:p>
    <w:p>
      <w:pPr>
        <w:pStyle w:val="FirstParagraph"/>
      </w:pPr>
      <w:r>
        <w:t xml:space="preserve">The DMT evidence base has accelerated substantially over the past decade, with bibliometric analysis showing research output grew from 1.3 detected studies per year in 1996–2012 to 6.8 per year in 2012–2018</w:t>
      </w:r>
      <w:r>
        <w:t xml:space="preserve"> </w:t>
      </w:r>
      <w:fldSimple w:instr="NOTEREF _Ref_Footnote_23 \h \f">
        <w:r>
          <w:rPr>
            <w:vertAlign w:val="superscript"/>
          </w:rPr>
          <w:t>23</w:t>
        </w:r>
      </w:fldSimple>
      <w:r>
        <w:t xml:space="preserve">.</w:t>
      </w:r>
    </w:p>
    <w:bookmarkStart w:id="79" w:name="depression-the-strongest-indication"/>
    <w:p>
      <w:pPr>
        <w:pStyle w:val="Heading3"/>
      </w:pPr>
      <w:r>
        <w:t xml:space="preserve">3.2.1 Depression: The Strongest Indication</w:t>
      </w:r>
    </w:p>
    <w:p>
      <w:pPr>
        <w:pStyle w:val="FirstParagraph"/>
      </w:pPr>
      <w:r>
        <w:t xml:space="preserve">The landmark Finnish multicenter RCT (Hyvönen et al., 2020) provides the strongest single-study evidence. One hundred nine participants with diagnosed clinical depression were randomized to DMT plus treatment-as-usual (n = 52) versus TAU only (n = 57), receiving 20 DMT sessions (75 minutes, twice weekly) over 10 weeks with three-month follow-up</w:t>
      </w:r>
      <w:r>
        <w:t xml:space="preserve"> </w:t>
      </w:r>
      <w:fldSimple w:instr="NOTEREF _Ref_Footnote_89 \h \f">
        <w:r>
          <w:rPr>
            <w:vertAlign w:val="superscript"/>
          </w:rPr>
          <w:t>89</w:t>
        </w:r>
      </w:fldSimple>
      <w:r>
        <w:t xml:space="preserve">. Results showed a between-group effect size of d = 0.72 (medium-to-large) on the Beck Depression Inventory, with a number needed to treat (NNT) of just 3 — for every three patients receiving DMT, one additional patient achieved clinically meaningful improvement beyond standard care</w:t>
      </w:r>
      <w:r>
        <w:t xml:space="preserve"> </w:t>
      </w:r>
      <w:fldSimple w:instr="NOTEREF _Ref_Footnote_89 \h \f">
        <w:r>
          <w:rPr>
            <w:vertAlign w:val="superscript"/>
          </w:rPr>
          <w:t>89</w:t>
        </w:r>
      </w:fldSimple>
      <w:r>
        <w:t xml:space="preserve">. In the DMT group, 43.3% of participants were classified as recovered or improved versus only 14% of the TAU-only group</w:t>
      </w:r>
      <w:r>
        <w:t xml:space="preserve"> </w:t>
      </w:r>
      <w:fldSimple w:instr="NOTEREF _Ref_Footnote_89 \h \f">
        <w:r>
          <w:rPr>
            <w:vertAlign w:val="superscript"/>
          </w:rPr>
          <w:t>89</w:t>
        </w:r>
      </w:fldSimple>
      <w:r>
        <w:t xml:space="preserve">. Participants with more severe baseline symptoms showed greater improvement, suggesting DMT is particularly effective for moderate-to-severe depression</w:t>
      </w:r>
      <w:r>
        <w:t xml:space="preserve"> </w:t>
      </w:r>
      <w:fldSimple w:instr="NOTEREF _Ref_Footnote_89 \h \f">
        <w:r>
          <w:rPr>
            <w:vertAlign w:val="superscript"/>
          </w:rPr>
          <w:t>89</w:t>
        </w:r>
      </w:fldSimple>
      <w:r>
        <w:t xml:space="preserve">.</w:t>
      </w:r>
    </w:p>
    <w:p>
      <w:pPr>
        <w:pStyle w:val="BodyText"/>
      </w:pPr>
      <w:r>
        <w:t xml:space="preserve">The definitive Koch et al. (2019) meta-analysis synthesized 41 controlled intervention studies (N = 2,374) and found depression-specific effect sizes of d = 0.54 across 18 studies (p &lt; 0.001)</w:t>
      </w:r>
      <w:r>
        <w:t xml:space="preserve"> </w:t>
      </w:r>
      <w:fldSimple w:instr="NOTEREF _Ref_Footnote_23 \h \f">
        <w:r>
          <w:rPr>
            <w:vertAlign w:val="superscript"/>
          </w:rPr>
          <w:t>23</w:t>
        </w:r>
      </w:fldSimple>
      <w:r>
        <w:t xml:space="preserve">. The overall effect across all psychological outcomes was d = 0.60 (medium), with effects remaining stable or increasing at 22-week follow-up</w:t>
      </w:r>
      <w:r>
        <w:t xml:space="preserve"> </w:t>
      </w:r>
      <w:fldSimple w:instr="NOTEREF _Ref_Footnote_23 \h \f">
        <w:r>
          <w:rPr>
            <w:vertAlign w:val="superscript"/>
          </w:rPr>
          <w:t>23</w:t>
        </w:r>
      </w:fldSimple>
      <w:r>
        <w:t xml:space="preserve">. A critical distinction emerged: DMT as clinical psychotherapy showed d = 0.30 — small but highly consistent (I² = 3.47%) — while dance interventions (preventive, community-based) showed d = 0.81 — large but heterogeneous (I² = 77.96%)</w:t>
      </w:r>
      <w:r>
        <w:t xml:space="preserve"> </w:t>
      </w:r>
      <w:fldSimple w:instr="NOTEREF _Ref_Footnote_23 \h \f">
        <w:r>
          <w:rPr>
            <w:vertAlign w:val="superscript"/>
          </w:rPr>
          <w:t>23</w:t>
        </w:r>
      </w:fldSimple>
      <w:r>
        <w:t xml:space="preserve">. The therapeutic framework adds clinical precision and consistency even if recreational dance programs produce larger raw effects in less impaired populations.</w:t>
      </w:r>
    </w:p>
    <w:p>
      <w:pPr>
        <w:pStyle w:val="BodyText"/>
      </w:pPr>
      <w:r>
        <w:t xml:space="preserve">The most compelling recent evidence comes from a 2025 Chinese network meta-analysis of 19 RCTs examining dance interventions for depression</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When DMT was combined with Chinese Dance Elements (CDE) — culturally-adapted movement forms drawing on traditional ethnic dance — it ranked as the most effective intervention with a SUCRA (Surface Under the Cumulative Ranking) score of 99.7%</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positioning culturally-adapted DMT above pharmacotherapy, CBT, and exercise in head-to-head comparisons.</w:t>
      </w:r>
    </w:p>
    <w:p>
      <w:pPr>
        <w:pStyle w:val="BodyText"/>
      </w:pPr>
      <w:r>
        <w:t xml:space="preserve">A 2024 meta-analysis of 19 RCTs (n = 508) in older adults found statistically significant depression reduction (p &lt; 0.01), with the subgroup without comorbidities showing particularly strong effects (SMD = −1.05)</w:t>
      </w:r>
      <w:r>
        <w:t xml:space="preserve"> </w:t>
      </w:r>
      <w:r>
        <w:rPr>
          <w:vertAlign w:val="superscript"/>
        </w:rPr>
        <w:footnoteReference w:id="170"/>
      </w:r>
      <w:r>
        <w:t xml:space="preserve">. However, participants with mild cognitive impairment or Parkinson’s disease did not show significant depression improvement</w:t>
      </w:r>
      <w:r>
        <w:t xml:space="preserve"> </w:t>
      </w:r>
      <w:fldSimple w:instr="NOTEREF _Ref_Footnote_170 \h \f">
        <w:r>
          <w:rPr>
            <w:vertAlign w:val="superscript"/>
          </w:rPr>
          <w:t>170</w:t>
        </w:r>
      </w:fldSimple>
      <w:r>
        <w:t xml:space="preserve">.</w:t>
      </w:r>
    </w:p>
    <w:bookmarkEnd w:id="79"/>
    <w:bookmarkStart w:id="80" w:name="X6c0cc0a82eb6b75583f6a4da5709b8cbe8909b4"/>
    <w:p>
      <w:pPr>
        <w:pStyle w:val="Heading3"/>
      </w:pPr>
      <w:r>
        <w:t xml:space="preserve">3.2.2 Autism Spectrum Disorder: Emerging High-Growth Evidence</w:t>
      </w:r>
    </w:p>
    <w:p>
      <w:pPr>
        <w:pStyle w:val="FirstParagraph"/>
      </w:pPr>
      <w:r>
        <w:t xml:space="preserve">DMT for ASD has emerged as one of the fastest-growing research areas, with publications growing from near-zero in 2015 to over 120 by 2025</w:t>
      </w:r>
      <w:r>
        <w:t xml:space="preserve"> </w:t>
      </w:r>
      <w:r>
        <w:rPr>
          <w:vertAlign w:val="superscript"/>
        </w:rPr>
        <w:footnoteReference w:id="171"/>
      </w:r>
      <w:r>
        <w:t xml:space="preserve">. A 2025 Chinese RCT of 28 children found the DMT group (n = 17) showed significant improvements over control (n = 11) on the ABC Symptom Scale, Social Responsiveness Scale, and Social Communication Questionnaire after 11 months</w:t>
      </w:r>
      <w:r>
        <w:t xml:space="preserve"> </w:t>
      </w:r>
      <w:r>
        <w:rPr>
          <w:vertAlign w:val="superscript"/>
        </w:rPr>
        <w:footnoteReference w:id="172"/>
      </w:r>
      <w:r>
        <w:t xml:space="preserve">. A meta-analysis of rhythm-based interventions for ASD (N = 408 across 11 studies) found dance practice significantly alleviated overall ASD symptoms (SMD = −1.48, p = 0.006), with social interaction improving substantially (SMD = 0.88, p &lt; 0.0001)</w:t>
      </w:r>
      <w:r>
        <w:t xml:space="preserve"> </w:t>
      </w:r>
      <w:r>
        <w:rPr>
          <w:vertAlign w:val="superscript"/>
        </w:rPr>
        <w:footnoteReference w:id="173"/>
      </w:r>
      <w:r>
        <w:t xml:space="preserve">. A pilot RCT crossover study with 26 children aged 8–13 found significant intervention effects on the SCQ (p = 0.005), with benefits sustained across phases</w:t>
      </w:r>
      <w:r>
        <w:t xml:space="preserve"> </w:t>
      </w:r>
      <w:r>
        <w:rPr>
          <w:vertAlign w:val="superscript"/>
        </w:rPr>
        <w:footnoteReference w:id="174"/>
      </w:r>
      <w:r>
        <w:t xml:space="preserve">.</w:t>
      </w:r>
    </w:p>
    <w:bookmarkEnd w:id="80"/>
    <w:bookmarkStart w:id="81" w:name="Xfbe00494903a5451454f52288f7d63572c2c2ce"/>
    <w:p>
      <w:pPr>
        <w:pStyle w:val="Heading3"/>
      </w:pPr>
      <w:r>
        <w:t xml:space="preserve">3.2.3 Trauma/PTSD: Mixed Evidence with Regulatory Implications</w:t>
      </w:r>
    </w:p>
    <w:p>
      <w:pPr>
        <w:pStyle w:val="FirstParagraph"/>
      </w:pPr>
      <w:r>
        <w:t xml:space="preserve">The evidence for DMT in PTSD is more equivocal. A 2024 WorkSafeBC systematic review screened 1,682 studies and found only 14 meeting inclusion criteria</w:t>
      </w:r>
      <w:r>
        <w:t xml:space="preserve"> </w:t>
      </w:r>
      <w:fldSimple w:instr="NOTEREF _Ref_Footnote_24 \h \f">
        <w:r>
          <w:rPr>
            <w:vertAlign w:val="superscript"/>
          </w:rPr>
          <w:t>24</w:t>
        </w:r>
      </w:fldSimple>
      <w:r>
        <w:t xml:space="preserve">. Compared to minimal or no treatment, only 2 of 4 studies showed significant improvement; compared to active treatment, neither of 2 studies showed significant improvement</w:t>
      </w:r>
      <w:r>
        <w:t xml:space="preserve"> </w:t>
      </w:r>
      <w:fldSimple w:instr="NOTEREF _Ref_Footnote_24 \h \f">
        <w:r>
          <w:rPr>
            <w:vertAlign w:val="superscript"/>
          </w:rPr>
          <w:t>24</w:t>
        </w:r>
      </w:fldSimple>
      <w:r>
        <w:t xml:space="preserve">. The review characterized the evidence as</w:t>
      </w:r>
      <w:r>
        <w:t xml:space="preserve"> </w:t>
      </w:r>
      <w:r>
        <w:t xml:space="preserve">“</w:t>
      </w:r>
      <w:r>
        <w:t xml:space="preserve">mixed at best</w:t>
      </w:r>
      <w:r>
        <w:t xml:space="preserve">”</w:t>
      </w:r>
      <w:r>
        <w:t xml:space="preserve"> </w:t>
      </w:r>
      <w:r>
        <w:t xml:space="preserve">and noted no standardized DMT protocol for PTSD exists</w:t>
      </w:r>
      <w:r>
        <w:t xml:space="preserve"> </w:t>
      </w:r>
      <w:fldSimple w:instr="NOTEREF _Ref_Footnote_24 \h \f">
        <w:r>
          <w:rPr>
            <w:vertAlign w:val="superscript"/>
          </w:rPr>
          <w:t>24</w:t>
        </w:r>
      </w:fldSimple>
      <w:r>
        <w:t xml:space="preserve">. Stress levels did show significant reduction pre-to-post DMT session (Cohen’s d = 0.98 in one study)</w:t>
      </w:r>
      <w:r>
        <w:t xml:space="preserve"> </w:t>
      </w:r>
      <w:fldSimple w:instr="NOTEREF _Ref_Footnote_24 \h \f">
        <w:r>
          <w:rPr>
            <w:vertAlign w:val="superscript"/>
          </w:rPr>
          <w:t>24</w:t>
        </w:r>
      </w:fldSimple>
      <w:r>
        <w:t xml:space="preserve">, suggesting acute emotion regulation benefits even if sustained PTSD symptom reduction remains unproven.</w:t>
      </w:r>
    </w:p>
    <w:p>
      <w:pPr>
        <w:pStyle w:val="BodyText"/>
      </w:pPr>
      <w:r>
        <w:t xml:space="preserve">This distinction matters for platform positioning: DMT as a primary PTSD treatment has insufficient evidence, while DMT for trauma-related emotion dysregulation, dissociation, and body disconnection has supportive evidence. The platform should lead with depression and anxiety, with trauma-informed adaptations as a secondary specialization.</w:t>
      </w:r>
    </w:p>
    <w:bookmarkEnd w:id="81"/>
    <w:bookmarkStart w:id="82" w:name="X3f6eefe785197c524c519ce1fb7417dc08c4065"/>
    <w:p>
      <w:pPr>
        <w:pStyle w:val="Heading3"/>
      </w:pPr>
      <w:r>
        <w:t xml:space="preserve">3.2.4 Parkinson’s, Dementia, and Eating Disorders: Emerging Areas</w:t>
      </w:r>
    </w:p>
    <w:p>
      <w:pPr>
        <w:pStyle w:val="FirstParagraph"/>
      </w:pPr>
      <w:r>
        <w:t xml:space="preserve">For Parkinson’s disease, a 2022 systematic review of 33 studies found DMT remarkably improved general disease condition, balance, and gait, with significant improvement in MDS-UPDRS-3 motor scores (SMD = −10.73)</w:t>
      </w:r>
      <w:r>
        <w:t xml:space="preserve"> </w:t>
      </w:r>
      <w:r>
        <w:rPr>
          <w:vertAlign w:val="superscript"/>
        </w:rPr>
        <w:footnoteReference w:id="175"/>
      </w:r>
      <w:r>
        <w:t xml:space="preserve">. For mild cognitive impairment (16 studies), dance substantially improved global cognitive function, memory, and executive function, with increased hippocampal volumes after 12 weeks</w:t>
      </w:r>
      <w:r>
        <w:t xml:space="preserve"> </w:t>
      </w:r>
      <w:fldSimple w:instr="NOTEREF _Ref_Footnote_175 \h \f">
        <w:r>
          <w:rPr>
            <w:vertAlign w:val="superscript"/>
          </w:rPr>
          <w:t>175</w:t>
        </w:r>
      </w:fldSimple>
      <w:r>
        <w:t xml:space="preserve">. In eating disorders, a 14-week DMT pilot (n = 14) found large effect sizes for Body Areas Satisfaction (ES: 0.95) and Appearance Evaluation (ES: 1.10), with zero dropouts — notable given eating disorder treatment’s typically high attrition</w:t>
      </w:r>
      <w:r>
        <w:t xml:space="preserve"> </w:t>
      </w:r>
      <w:r>
        <w:rPr>
          <w:vertAlign w:val="superscript"/>
        </w:rPr>
        <w:footnoteReference w:id="176"/>
      </w:r>
      <w:r>
        <w:t xml:space="preserve">.</w:t>
      </w:r>
    </w:p>
    <w:p>
      <w:pPr>
        <w:pStyle w:val="BodyText"/>
      </w:pPr>
      <w:r>
        <w:rPr>
          <w:bCs/>
          <w:b/>
        </w:rPr>
        <w:t xml:space="preserve">Table 3.2 — DMT Evidence Summary by Clinical Condition</w:t>
      </w:r>
    </w:p>
    <w:tbl>
      <w:tblPr>
        <w:tblStyle w:val="Table"/>
        <w:tblW w:type="pct" w:w="5000"/>
        <w:tblLook w:firstRow="1" w:lastRow="0" w:firstColumn="0" w:lastColumn="0" w:noHBand="0" w:noVBand="0" w:val="0020"/>
      </w:tblPr>
      <w:tblGrid>
        <w:gridCol w:w="1001"/>
        <w:gridCol w:w="2275"/>
        <w:gridCol w:w="1183"/>
        <w:gridCol w:w="1729"/>
        <w:gridCol w:w="1729"/>
      </w:tblGrid>
      <w:tr>
        <w:trPr>
          <w:tblHeader w:val="true"/>
        </w:trPr>
        <w:tc>
          <w:tcPr/>
          <w:p>
            <w:pPr>
              <w:pStyle w:val="Compact"/>
              <w:jc w:val="left"/>
            </w:pPr>
            <w:r>
              <w:t xml:space="preserve">Condition</w:t>
            </w:r>
          </w:p>
        </w:tc>
        <w:tc>
          <w:tcPr/>
          <w:p>
            <w:pPr>
              <w:pStyle w:val="Compact"/>
              <w:jc w:val="left"/>
            </w:pPr>
            <w:r>
              <w:t xml:space="preserve">Highest-Quality Evidence</w:t>
            </w:r>
          </w:p>
        </w:tc>
        <w:tc>
          <w:tcPr/>
          <w:p>
            <w:pPr>
              <w:pStyle w:val="Compact"/>
              <w:jc w:val="left"/>
            </w:pPr>
            <w:r>
              <w:t xml:space="preserve">Effect Size</w:t>
            </w:r>
          </w:p>
        </w:tc>
        <w:tc>
          <w:tcPr/>
          <w:p>
            <w:pPr>
              <w:pStyle w:val="Compact"/>
              <w:jc w:val="left"/>
            </w:pPr>
            <w:r>
              <w:t xml:space="preserve">Evidence Strength</w:t>
            </w:r>
          </w:p>
        </w:tc>
        <w:tc>
          <w:tcPr/>
          <w:p>
            <w:pPr>
              <w:pStyle w:val="Compact"/>
              <w:jc w:val="left"/>
            </w:pPr>
            <w:r>
              <w:t xml:space="preserve">Platform Priority</w:t>
            </w:r>
          </w:p>
        </w:tc>
      </w:tr>
      <w:tr>
        <w:tc>
          <w:tcPr/>
          <w:p>
            <w:pPr>
              <w:pStyle w:val="Compact"/>
              <w:jc w:val="left"/>
            </w:pPr>
            <w:r>
              <w:t xml:space="preserve">Depression</w:t>
            </w:r>
          </w:p>
        </w:tc>
        <w:tc>
          <w:tcPr/>
          <w:p>
            <w:pPr>
              <w:pStyle w:val="Compact"/>
              <w:jc w:val="left"/>
            </w:pPr>
            <w:r>
              <w:t xml:space="preserve">Finnish RCT (n=109, 2020)</w:t>
            </w:r>
            <w:r>
              <w:t xml:space="preserve"> </w:t>
            </w:r>
            <w:fldSimple w:instr="NOTEREF _Ref_Footnote_89 \h \f">
              <w:r>
                <w:rPr>
                  <w:vertAlign w:val="superscript"/>
                </w:rPr>
                <w:t>89</w:t>
              </w:r>
            </w:fldSimple>
            <w:r>
              <w:t xml:space="preserve">; Koch MA (k=41, 2019)</w:t>
            </w:r>
            <w:r>
              <w:t xml:space="preserve"> </w:t>
            </w:r>
            <w:fldSimple w:instr="NOTEREF _Ref_Footnote_23 \h \f">
              <w:r>
                <w:rPr>
                  <w:vertAlign w:val="superscript"/>
                </w:rPr>
                <w:t>23</w:t>
              </w:r>
            </w:fldSimple>
            <w:r>
              <w:t xml:space="preserve">; China network MA (2025)</w:t>
            </w:r>
            <w:r>
              <w:t xml:space="preserve"> </w:t>
            </w:r>
            <w:fldSimple w:instr="NOTEREF _Ref_Footnote_17 \h \f">
              <w:r>
                <w:rPr>
                  <w:vertAlign w:val="superscript"/>
                </w:rPr>
                <w:t>17</w:t>
              </w:r>
            </w:fldSimple>
          </w:p>
        </w:tc>
        <w:tc>
          <w:tcPr/>
          <w:p>
            <w:pPr>
              <w:pStyle w:val="Compact"/>
              <w:jc w:val="left"/>
            </w:pPr>
            <w:r>
              <w:t xml:space="preserve">d = 0.54–0.72; SUCRA = 99.7% (with cultural dance)</w:t>
            </w:r>
          </w:p>
        </w:tc>
        <w:tc>
          <w:tcPr/>
          <w:p>
            <w:pPr>
              <w:pStyle w:val="Compact"/>
              <w:jc w:val="left"/>
            </w:pPr>
            <w:r>
              <w:rPr>
                <w:bCs/>
                <w:b/>
              </w:rPr>
              <w:t xml:space="preserve">Strong</w:t>
            </w:r>
            <w:r>
              <w:t xml:space="preserve"> </w:t>
            </w:r>
            <w:r>
              <w:t xml:space="preserve">— multiple RCTs and meta-analyses</w:t>
            </w:r>
          </w:p>
        </w:tc>
        <w:tc>
          <w:tcPr/>
          <w:p>
            <w:pPr>
              <w:pStyle w:val="Compact"/>
              <w:jc w:val="left"/>
            </w:pPr>
            <w:r>
              <w:rPr>
                <w:bCs/>
                <w:b/>
              </w:rPr>
              <w:t xml:space="preserve">Primary</w:t>
            </w:r>
            <w:r>
              <w:t xml:space="preserve"> </w:t>
            </w:r>
            <w:r>
              <w:t xml:space="preserve">— largest addressable market</w:t>
            </w:r>
          </w:p>
        </w:tc>
      </w:tr>
      <w:tr>
        <w:tc>
          <w:tcPr/>
          <w:p>
            <w:pPr>
              <w:pStyle w:val="Compact"/>
              <w:jc w:val="left"/>
            </w:pPr>
            <w:r>
              <w:t xml:space="preserve">Autism Spectrum Disorder</w:t>
            </w:r>
          </w:p>
        </w:tc>
        <w:tc>
          <w:tcPr/>
          <w:p>
            <w:pPr>
              <w:pStyle w:val="Compact"/>
              <w:jc w:val="left"/>
            </w:pPr>
            <w:r>
              <w:t xml:space="preserve">2025 China RCT (n=28)</w:t>
            </w:r>
            <w:r>
              <w:t xml:space="preserve"> </w:t>
            </w:r>
            <w:fldSimple w:instr="NOTEREF _Ref_Footnote_172 \h \f">
              <w:r>
                <w:rPr>
                  <w:vertAlign w:val="superscript"/>
                </w:rPr>
                <w:t>172</w:t>
              </w:r>
            </w:fldSimple>
            <w:r>
              <w:t xml:space="preserve">; rhythm MA (N=408)</w:t>
            </w:r>
            <w:r>
              <w:t xml:space="preserve"> </w:t>
            </w:r>
            <w:fldSimple w:instr="NOTEREF _Ref_Footnote_173 \h \f">
              <w:r>
                <w:rPr>
                  <w:vertAlign w:val="superscript"/>
                </w:rPr>
                <w:t>173</w:t>
              </w:r>
            </w:fldSimple>
            <w:r>
              <w:t xml:space="preserve">; pilot RCT (n=26)</w:t>
            </w:r>
            <w:r>
              <w:t xml:space="preserve"> </w:t>
            </w:r>
            <w:fldSimple w:instr="NOTEREF _Ref_Footnote_174 \h \f">
              <w:r>
                <w:rPr>
                  <w:vertAlign w:val="superscript"/>
                </w:rPr>
                <w:t>174</w:t>
              </w:r>
            </w:fldSimple>
          </w:p>
        </w:tc>
        <w:tc>
          <w:tcPr/>
          <w:p>
            <w:pPr>
              <w:pStyle w:val="Compact"/>
              <w:jc w:val="left"/>
            </w:pPr>
            <w:r>
              <w:t xml:space="preserve">SMD = −1.48 (overall ASD); SMD = 0.88 (social interaction)</w:t>
            </w:r>
          </w:p>
        </w:tc>
        <w:tc>
          <w:tcPr/>
          <w:p>
            <w:pPr>
              <w:pStyle w:val="Compact"/>
              <w:jc w:val="left"/>
            </w:pPr>
            <w:r>
              <w:rPr>
                <w:bCs/>
                <w:b/>
              </w:rPr>
              <w:t xml:space="preserve">Moderate</w:t>
            </w:r>
            <w:r>
              <w:t xml:space="preserve"> </w:t>
            </w:r>
            <w:r>
              <w:t xml:space="preserve">— growing but small studies</w:t>
            </w:r>
          </w:p>
        </w:tc>
        <w:tc>
          <w:tcPr/>
          <w:p>
            <w:pPr>
              <w:pStyle w:val="Compact"/>
              <w:jc w:val="left"/>
            </w:pPr>
            <w:r>
              <w:t xml:space="preserve">Secondary — pediatric pipeline</w:t>
            </w:r>
          </w:p>
        </w:tc>
      </w:tr>
      <w:tr>
        <w:tc>
          <w:tcPr/>
          <w:p>
            <w:pPr>
              <w:pStyle w:val="Compact"/>
              <w:jc w:val="left"/>
            </w:pPr>
            <w:r>
              <w:t xml:space="preserve">Parkinson’s disease</w:t>
            </w:r>
          </w:p>
        </w:tc>
        <w:tc>
          <w:tcPr/>
          <w:p>
            <w:pPr>
              <w:pStyle w:val="Compact"/>
              <w:jc w:val="left"/>
            </w:pPr>
            <w:r>
              <w:t xml:space="preserve">Systematic review (33 studies, 2022)</w:t>
            </w:r>
            <w:r>
              <w:t xml:space="preserve"> </w:t>
            </w:r>
            <w:fldSimple w:instr="NOTEREF _Ref_Footnote_175 \h \f">
              <w:r>
                <w:rPr>
                  <w:vertAlign w:val="superscript"/>
                </w:rPr>
                <w:t>175</w:t>
              </w:r>
            </w:fldSimple>
          </w:p>
        </w:tc>
        <w:tc>
          <w:tcPr/>
          <w:p>
            <w:pPr>
              <w:pStyle w:val="Compact"/>
              <w:jc w:val="left"/>
            </w:pPr>
            <w:r>
              <w:t xml:space="preserve">SMD = −10.73 (motor scores)</w:t>
            </w:r>
          </w:p>
        </w:tc>
        <w:tc>
          <w:tcPr/>
          <w:p>
            <w:pPr>
              <w:pStyle w:val="Compact"/>
              <w:jc w:val="left"/>
            </w:pPr>
            <w:r>
              <w:rPr>
                <w:bCs/>
                <w:b/>
              </w:rPr>
              <w:t xml:space="preserve">Moderate</w:t>
            </w:r>
            <w:r>
              <w:t xml:space="preserve"> </w:t>
            </w:r>
            <w:r>
              <w:t xml:space="preserve">— motor outcomes strong</w:t>
            </w:r>
          </w:p>
        </w:tc>
        <w:tc>
          <w:tcPr/>
          <w:p>
            <w:pPr>
              <w:pStyle w:val="Compact"/>
              <w:jc w:val="left"/>
            </w:pPr>
            <w:r>
              <w:t xml:space="preserve">Tertiary — neurodegenerative niche</w:t>
            </w:r>
          </w:p>
        </w:tc>
      </w:tr>
      <w:tr>
        <w:tc>
          <w:tcPr/>
          <w:p>
            <w:pPr>
              <w:pStyle w:val="Compact"/>
              <w:jc w:val="left"/>
            </w:pPr>
            <w:r>
              <w:t xml:space="preserve">Mild cognitive impairment</w:t>
            </w:r>
          </w:p>
        </w:tc>
        <w:tc>
          <w:tcPr/>
          <w:p>
            <w:pPr>
              <w:pStyle w:val="Compact"/>
              <w:jc w:val="left"/>
            </w:pPr>
            <w:r>
              <w:t xml:space="preserve">Systematic review (16 studies, 2022)</w:t>
            </w:r>
            <w:r>
              <w:t xml:space="preserve"> </w:t>
            </w:r>
            <w:fldSimple w:instr="NOTEREF _Ref_Footnote_175 \h \f">
              <w:r>
                <w:rPr>
                  <w:vertAlign w:val="superscript"/>
                </w:rPr>
                <w:t>175</w:t>
              </w:r>
            </w:fldSimple>
          </w:p>
        </w:tc>
        <w:tc>
          <w:tcPr/>
          <w:p>
            <w:pPr>
              <w:pStyle w:val="Compact"/>
              <w:jc w:val="left"/>
            </w:pPr>
            <w:r>
              <w:t xml:space="preserve">Hippocampal volume increase at 12 weeks</w:t>
            </w:r>
          </w:p>
        </w:tc>
        <w:tc>
          <w:tcPr/>
          <w:p>
            <w:pPr>
              <w:pStyle w:val="Compact"/>
              <w:jc w:val="left"/>
            </w:pPr>
            <w:r>
              <w:rPr>
                <w:bCs/>
                <w:b/>
              </w:rPr>
              <w:t xml:space="preserve">Moderate</w:t>
            </w:r>
            <w:r>
              <w:t xml:space="preserve"> </w:t>
            </w:r>
            <w:r>
              <w:t xml:space="preserve">— neuroimaging support</w:t>
            </w:r>
          </w:p>
        </w:tc>
        <w:tc>
          <w:tcPr/>
          <w:p>
            <w:pPr>
              <w:pStyle w:val="Compact"/>
              <w:jc w:val="left"/>
            </w:pPr>
            <w:r>
              <w:t xml:space="preserve">Tertiary — aging population</w:t>
            </w:r>
          </w:p>
        </w:tc>
      </w:tr>
      <w:tr>
        <w:tc>
          <w:tcPr/>
          <w:p>
            <w:pPr>
              <w:pStyle w:val="Compact"/>
              <w:jc w:val="left"/>
            </w:pPr>
            <w:r>
              <w:t xml:space="preserve">Eating disorders</w:t>
            </w:r>
          </w:p>
        </w:tc>
        <w:tc>
          <w:tcPr/>
          <w:p>
            <w:pPr>
              <w:pStyle w:val="Compact"/>
              <w:jc w:val="left"/>
            </w:pPr>
            <w:r>
              <w:t xml:space="preserve">Pilot study (n=14, 2020)</w:t>
            </w:r>
            <w:r>
              <w:t xml:space="preserve"> </w:t>
            </w:r>
            <w:fldSimple w:instr="NOTEREF _Ref_Footnote_176 \h \f">
              <w:r>
                <w:rPr>
                  <w:vertAlign w:val="superscript"/>
                </w:rPr>
                <w:t>176</w:t>
              </w:r>
            </w:fldSimple>
          </w:p>
        </w:tc>
        <w:tc>
          <w:tcPr/>
          <w:p>
            <w:pPr>
              <w:pStyle w:val="Compact"/>
              <w:jc w:val="left"/>
            </w:pPr>
            <w:r>
              <w:t xml:space="preserve">ES = 0.95–1.10 (body image); 0% dropout</w:t>
            </w:r>
          </w:p>
        </w:tc>
        <w:tc>
          <w:tcPr/>
          <w:p>
            <w:pPr>
              <w:pStyle w:val="Compact"/>
              <w:jc w:val="left"/>
            </w:pPr>
            <w:r>
              <w:rPr>
                <w:bCs/>
                <w:b/>
              </w:rPr>
              <w:t xml:space="preserve">Emerging</w:t>
            </w:r>
            <w:r>
              <w:t xml:space="preserve"> </w:t>
            </w:r>
            <w:r>
              <w:t xml:space="preserve">— single pilot</w:t>
            </w:r>
          </w:p>
        </w:tc>
        <w:tc>
          <w:tcPr/>
          <w:p>
            <w:pPr>
              <w:pStyle w:val="Compact"/>
              <w:jc w:val="left"/>
            </w:pPr>
            <w:r>
              <w:t xml:space="preserve">Quaternary — specialized population</w:t>
            </w:r>
          </w:p>
        </w:tc>
      </w:tr>
      <w:tr>
        <w:tc>
          <w:tcPr/>
          <w:p>
            <w:pPr>
              <w:pStyle w:val="Compact"/>
              <w:jc w:val="left"/>
            </w:pPr>
            <w:r>
              <w:t xml:space="preserve">PTSD/Trauma</w:t>
            </w:r>
          </w:p>
        </w:tc>
        <w:tc>
          <w:tcPr/>
          <w:p>
            <w:pPr>
              <w:pStyle w:val="Compact"/>
              <w:jc w:val="left"/>
            </w:pPr>
            <w:r>
              <w:t xml:space="preserve">WorkSafeBC review (2024)</w:t>
            </w:r>
            <w:r>
              <w:t xml:space="preserve"> </w:t>
            </w:r>
            <w:fldSimple w:instr="NOTEREF _Ref_Footnote_24 \h \f">
              <w:r>
                <w:rPr>
                  <w:vertAlign w:val="superscript"/>
                </w:rPr>
                <w:t>24</w:t>
              </w:r>
            </w:fldSimple>
          </w:p>
        </w:tc>
        <w:tc>
          <w:tcPr/>
          <w:p>
            <w:pPr>
              <w:pStyle w:val="Compact"/>
              <w:jc w:val="left"/>
            </w:pPr>
            <w:r>
              <w:t xml:space="preserve">d = 0.98 (acute stress); sustained PTSD: mixed</w:t>
            </w:r>
          </w:p>
        </w:tc>
        <w:tc>
          <w:tcPr/>
          <w:p>
            <w:pPr>
              <w:pStyle w:val="Compact"/>
              <w:jc w:val="left"/>
            </w:pPr>
            <w:r>
              <w:rPr>
                <w:bCs/>
                <w:b/>
              </w:rPr>
              <w:t xml:space="preserve">Mixed at best</w:t>
            </w:r>
            <w:r>
              <w:t xml:space="preserve"> </w:t>
            </w:r>
            <w:r>
              <w:t xml:space="preserve">per WorkSafeBC</w:t>
            </w:r>
          </w:p>
        </w:tc>
        <w:tc>
          <w:tcPr/>
          <w:p>
            <w:pPr>
              <w:pStyle w:val="Compact"/>
              <w:jc w:val="left"/>
            </w:pPr>
            <w:r>
              <w:t xml:space="preserve">Position as adjunct, not primary</w:t>
            </w:r>
          </w:p>
        </w:tc>
      </w:tr>
    </w:tbl>
    <w:p>
      <w:pPr>
        <w:pStyle w:val="BodyText"/>
      </w:pPr>
      <w:r>
        <w:t xml:space="preserve">The evidence landscape supports a clear strategic hierarchy: depression offers the strongest combination of effect size, study quality, and addressable population; ASD represents the highest-growth emerging area; and PTSD requires more cautious clinical positioning given the WorkSafeBC review’s conclusions. The platform should lead with depression as its primary DMT indication, using the Finnish RCT’s NNT of 3 and the SUCRA = 99.7% figure as flagship evidence claims, while building ASD and neurodegenerative offerings as secondary specializations.</w:t>
      </w:r>
    </w:p>
    <w:bookmarkEnd w:id="82"/>
    <w:bookmarkEnd w:id="83"/>
    <w:bookmarkStart w:id="88" w:name="dmt-integration-with-somatic-therapy"/>
    <w:p>
      <w:pPr>
        <w:pStyle w:val="Heading2"/>
      </w:pPr>
      <w:r>
        <w:t xml:space="preserve">3.3 DMT Integration with Somatic Therapy</w:t>
      </w:r>
    </w:p>
    <w:p>
      <w:pPr>
        <w:pStyle w:val="FirstParagraph"/>
      </w:pPr>
      <w:r>
        <w:t xml:space="preserve">The majority of board-certified DMT practitioners hold additional credentials in somatic trauma modalities, and the most effective clinical work typically integrates multiple body-based approaches. This section examines integration protocols and implementation considerations relevant to platform design.</w:t>
      </w:r>
    </w:p>
    <w:bookmarkStart w:id="84" w:name="X75a1fe4435182c4230d843ac2c0e66be823f668"/>
    <w:p>
      <w:pPr>
        <w:pStyle w:val="Heading3"/>
      </w:pPr>
      <w:r>
        <w:t xml:space="preserve">3.3.1 Trauma-Informed DMT: Safety → Processing → Integration</w:t>
      </w:r>
    </w:p>
    <w:p>
      <w:pPr>
        <w:pStyle w:val="FirstParagraph"/>
      </w:pPr>
      <w:r>
        <w:t xml:space="preserve">Trauma-informed DMT operates within a phase-oriented model paralleling established trauma therapies. Before any trauma processing, the therapist must assess for suicidality, self-harm, substance use, and ongoing traumatic situations; create accessible safety plans; use standardized risk assessment tools at intake and throughout treatment; and coordinate with an integrative treatment team</w:t>
      </w:r>
      <w:r>
        <w:t xml:space="preserve"> </w:t>
      </w:r>
      <w:fldSimple w:instr="NOTEREF _Ref_Footnote_130 \h \f">
        <w:r>
          <w:rPr>
            <w:vertAlign w:val="superscript"/>
          </w:rPr>
          <w:t>130</w:t>
        </w:r>
      </w:fldSimple>
      <w:r>
        <w:t xml:space="preserve">.</w:t>
      </w:r>
    </w:p>
    <w:p>
      <w:pPr>
        <w:pStyle w:val="BodyText"/>
      </w:pPr>
      <w:r>
        <w:t xml:space="preserve">The</w:t>
      </w:r>
      <w:r>
        <w:t xml:space="preserve"> </w:t>
      </w:r>
      <w:r>
        <w:t xml:space="preserve">“</w:t>
      </w:r>
      <w:r>
        <w:t xml:space="preserve">window of tolerance</w:t>
      </w:r>
      <w:r>
        <w:t xml:space="preserve">”</w:t>
      </w:r>
      <w:r>
        <w:t xml:space="preserve"> </w:t>
      </w:r>
      <w:r>
        <w:t xml:space="preserve">— the zone of arousal where emotions are manageable without hyperarousal (panic, anger) or hypoarousal (shutdown, dissociation) — is central to trauma-informed DMT practice</w:t>
      </w:r>
      <w:r>
        <w:t xml:space="preserve"> </w:t>
      </w:r>
      <w:fldSimple w:instr="NOTEREF _Ref_Footnote_167 \h \f">
        <w:r>
          <w:rPr>
            <w:vertAlign w:val="superscript"/>
          </w:rPr>
          <w:t>167</w:t>
        </w:r>
      </w:fldSimple>
      <w:r>
        <w:t xml:space="preserve"> </w:t>
      </w:r>
      <w:fldSimple w:instr="NOTEREF _Ref_Footnote_168 \h \f">
        <w:r>
          <w:rPr>
            <w:vertAlign w:val="superscript"/>
          </w:rPr>
          <w:t>168</w:t>
        </w:r>
      </w:fldSimple>
      <w:r>
        <w:t xml:space="preserve">. Grounding techniques including sensory grounding (stretching, posture changes, dancing, sensory tally exercises) and cognitive grounding (safety reminders, coping statements) keep clients within this window</w:t>
      </w:r>
      <w:r>
        <w:t xml:space="preserve"> </w:t>
      </w:r>
      <w:r>
        <w:rPr>
          <w:vertAlign w:val="superscript"/>
        </w:rPr>
        <w:footnoteReference w:id="177"/>
      </w:r>
      <w:r>
        <w:t xml:space="preserve">. The four R’s of Trauma-Informed Care structure the approach: Realize trauma’s effects, Recognize physical manifestations, Respond to unique needs, and Resist re-traumatization</w:t>
      </w:r>
      <w:r>
        <w:t xml:space="preserve"> </w:t>
      </w:r>
      <w:r>
        <w:rPr>
          <w:vertAlign w:val="superscript"/>
        </w:rPr>
        <w:footnoteReference w:id="178"/>
      </w:r>
      <w:r>
        <w:t xml:space="preserve">.</w:t>
      </w:r>
    </w:p>
    <w:p>
      <w:pPr>
        <w:pStyle w:val="BodyText"/>
      </w:pPr>
      <w:r>
        <w:t xml:space="preserve">For group trauma treatment, comprehensive documentation is required including patient bill of rights, limits of confidentiality, mandated reporting procedures, and written group rules covering confidentiality, safety commitment, compassion, risk minimization, attendance, medical clearance, and compliance with prescriber recommendations</w:t>
      </w:r>
      <w:r>
        <w:t xml:space="preserve"> </w:t>
      </w:r>
      <w:fldSimple w:instr="NOTEREF _Ref_Footnote_130 \h \f">
        <w:r>
          <w:rPr>
            <w:vertAlign w:val="superscript"/>
          </w:rPr>
          <w:t>130</w:t>
        </w:r>
      </w:fldSimple>
      <w:r>
        <w:t xml:space="preserve">. Any platform supporting trauma-informed DMT groups must include robust documentation templates and consent management workflows.</w:t>
      </w:r>
    </w:p>
    <w:p>
      <w:pPr>
        <w:pStyle w:val="BodyText"/>
      </w:pPr>
      <w:r>
        <w:t xml:space="preserve">Authentic Movement — where the client moves with eyes closed while the therapist serves as a compassionate witness — provides a valuable container for trauma work. After moving, client and therapist discuss what emerged, integrating physical experience with verbal reflection</w:t>
      </w:r>
      <w:r>
        <w:t xml:space="preserve"> </w:t>
      </w:r>
      <w:fldSimple w:instr="NOTEREF _Ref_Footnote_12 \h \f">
        <w:r>
          <w:rPr>
            <w:vertAlign w:val="superscript"/>
          </w:rPr>
          <w:t>12</w:t>
        </w:r>
      </w:fldSimple>
      <w:r>
        <w:t xml:space="preserve">. This structure</w:t>
      </w:r>
      <w:r>
        <w:t xml:space="preserve"> </w:t>
      </w:r>
      <w:r>
        <w:t xml:space="preserve">“</w:t>
      </w:r>
      <w:r>
        <w:t xml:space="preserve">creates safety for vulnerable exploration… spontaneous movements often reveal emotional truths or body memories that conscious thought keeps hidden</w:t>
      </w:r>
      <w:r>
        <w:t xml:space="preserve">”</w:t>
      </w:r>
      <w:r>
        <w:t xml:space="preserve"> </w:t>
      </w:r>
      <w:fldSimple w:instr="NOTEREF _Ref_Footnote_12 \h \f">
        <w:r>
          <w:rPr>
            <w:vertAlign w:val="superscript"/>
          </w:rPr>
          <w:t>12</w:t>
        </w:r>
      </w:fldSimple>
      <w:r>
        <w:t xml:space="preserve">.</w:t>
      </w:r>
    </w:p>
    <w:bookmarkEnd w:id="84"/>
    <w:bookmarkStart w:id="85" w:name="X8c055144099914d2b31b72b79e70dc200fc003a"/>
    <w:p>
      <w:pPr>
        <w:pStyle w:val="Heading3"/>
      </w:pPr>
      <w:r>
        <w:t xml:space="preserve">3.3.2 SE + DMT Layering: Titration and Pendulation Within Movement</w:t>
      </w:r>
    </w:p>
    <w:p>
      <w:pPr>
        <w:pStyle w:val="FirstParagraph"/>
      </w:pPr>
      <w:r>
        <w:t xml:space="preserve">The integration of Somatic Experiencing (SE) with DMT is an emerging practice area rather than a formally codified protocol</w:t>
      </w:r>
      <w:r>
        <w:t xml:space="preserve"> </w:t>
      </w:r>
      <w:r>
        <w:rPr>
          <w:vertAlign w:val="superscript"/>
        </w:rPr>
        <w:footnoteReference w:id="179"/>
      </w:r>
      <w:r>
        <w:t xml:space="preserve"> </w:t>
      </w:r>
      <w:fldSimple w:instr="NOTEREF _Ref_Footnote_112 \h \f">
        <w:r>
          <w:rPr>
            <w:vertAlign w:val="superscript"/>
          </w:rPr>
          <w:t>112</w:t>
        </w:r>
      </w:fldSimple>
      <w:r>
        <w:t xml:space="preserve">. Practitioners combine these through complementary layering: SE provides the nervous system regulation framework (pendulation, titration, resourcing), while DMT provides the expressive movement vocabulary for releasing stored trauma</w:t>
      </w:r>
      <w:r>
        <w:t xml:space="preserve"> </w:t>
      </w:r>
      <w:fldSimple w:instr="NOTEREF _Ref_Footnote_112 \h \f">
        <w:r>
          <w:rPr>
            <w:vertAlign w:val="superscript"/>
          </w:rPr>
          <w:t>112</w:t>
        </w:r>
      </w:fldSimple>
      <w:r>
        <w:t xml:space="preserve">.</w:t>
      </w:r>
    </w:p>
    <w:p>
      <w:pPr>
        <w:pStyle w:val="BodyText"/>
      </w:pPr>
      <w:r>
        <w:t xml:space="preserve">A typical integrated session proceeds as follows: begin with SE-based grounding and orientation (somatic resourcing); transition to DMT-based movement exploration when the nervous system is regulated enough to tolerate activation; return to SE-based tracking and integration after movement experiences</w:t>
      </w:r>
      <w:r>
        <w:t xml:space="preserve"> </w:t>
      </w:r>
      <w:fldSimple w:instr="NOTEREF _Ref_Footnote_112 \h \f">
        <w:r>
          <w:rPr>
            <w:vertAlign w:val="superscript"/>
          </w:rPr>
          <w:t>112</w:t>
        </w:r>
      </w:fldSimple>
      <w:r>
        <w:t xml:space="preserve">. Both modalities share foundational assumptions — trauma is stored in the body, the body has innate healing wisdom, and non-verbal processing is essential for recovery</w:t>
      </w:r>
      <w:r>
        <w:t xml:space="preserve"> </w:t>
      </w:r>
      <w:r>
        <w:rPr>
          <w:vertAlign w:val="superscript"/>
        </w:rPr>
        <w:footnoteReference w:id="180"/>
      </w:r>
      <w:r>
        <w:t xml:space="preserve"> </w:t>
      </w:r>
      <w:fldSimple w:instr="NOTEREF _Ref_Footnote_68 \h \f">
        <w:r>
          <w:rPr>
            <w:vertAlign w:val="superscript"/>
          </w:rPr>
          <w:t>68</w:t>
        </w:r>
      </w:fldSimple>
      <w:r>
        <w:t xml:space="preserve">— making their integration theoretically coherent.</w:t>
      </w:r>
    </w:p>
    <w:p>
      <w:pPr>
        <w:pStyle w:val="BodyText"/>
      </w:pPr>
      <w:r>
        <w:t xml:space="preserve">Sensorimotor Psychotherapy (Pat Ogden) offers the most explicit integration pathway. An ADTA continuing education course,</w:t>
      </w:r>
      <w:r>
        <w:t xml:space="preserve"> </w:t>
      </w:r>
      <w:r>
        <w:t xml:space="preserve">“</w:t>
      </w:r>
      <w:r>
        <w:t xml:space="preserve">Listening to the Body: Using Sensorimotor Psychotherapy and Dance/Movement Therapy,</w:t>
      </w:r>
      <w:r>
        <w:t xml:space="preserve">”</w:t>
      </w:r>
      <w:r>
        <w:t xml:space="preserve"> </w:t>
      </w:r>
      <w:r>
        <w:t xml:space="preserve">directly addresses how DMT’s</w:t>
      </w:r>
      <w:r>
        <w:t xml:space="preserve"> </w:t>
      </w:r>
      <w:r>
        <w:t xml:space="preserve">“</w:t>
      </w:r>
      <w:r>
        <w:t xml:space="preserve">richness of discipline</w:t>
      </w:r>
      <w:r>
        <w:t xml:space="preserve">”</w:t>
      </w:r>
      <w:r>
        <w:t xml:space="preserve"> </w:t>
      </w:r>
      <w:r>
        <w:t xml:space="preserve">complements SP principles and methods</w:t>
      </w:r>
      <w:r>
        <w:t xml:space="preserve"> </w:t>
      </w:r>
      <w:fldSimple w:instr="NOTEREF _Ref_Footnote_111 \h \f">
        <w:r>
          <w:rPr>
            <w:vertAlign w:val="superscript"/>
          </w:rPr>
          <w:t>111</w:t>
        </w:r>
      </w:fldSimple>
      <w:r>
        <w:t xml:space="preserve">. The Development of Mindful-Based Dance Movement Therapy (MBDMT) represents the first model integrating mindfulness directly into DMT for chronic pain, adopting a bi-directional body-mind approach</w:t>
      </w:r>
      <w:r>
        <w:t xml:space="preserve"> </w:t>
      </w:r>
      <w:r>
        <w:rPr>
          <w:vertAlign w:val="superscript"/>
        </w:rPr>
        <w:footnoteReference w:id="181"/>
      </w:r>
      <w:r>
        <w:t xml:space="preserve">.</w:t>
      </w:r>
    </w:p>
    <w:bookmarkEnd w:id="85"/>
    <w:bookmarkStart w:id="86" w:name="Xb2c46d5f26587112be11d5e48b4d5cc6ef3c266"/>
    <w:p>
      <w:pPr>
        <w:pStyle w:val="Heading3"/>
      </w:pPr>
      <w:r>
        <w:t xml:space="preserve">3.3.3 Cultural Dance Integration: Clinical and Commercial Moat</w:t>
      </w:r>
    </w:p>
    <w:p>
      <w:pPr>
        <w:pStyle w:val="FirstParagraph"/>
      </w:pPr>
      <w:r>
        <w:t xml:space="preserve">The SUCRA = 99.7% result for DMT combined with Chinese Dance Elements</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is both a clinical finding and a business strategy: culturally-specific movement forms dramatically outperform generic approaches. The evidence base spans Chinese Tujia dance with nine identified therapeutic principles</w:t>
      </w:r>
      <w:r>
        <w:t xml:space="preserve"> </w:t>
      </w:r>
      <w:r>
        <w:rPr>
          <w:vertAlign w:val="superscript"/>
        </w:rPr>
        <w:footnoteReference w:id="182"/>
      </w:r>
      <w:r>
        <w:t xml:space="preserve">; Indian classical dance (Kathak and Bharatanatyam) with documented case studies</w:t>
      </w:r>
      <w:r>
        <w:t xml:space="preserve"> </w:t>
      </w:r>
      <w:r>
        <w:rPr>
          <w:vertAlign w:val="superscript"/>
        </w:rPr>
        <w:footnoteReference w:id="183"/>
      </w:r>
      <w:r>
        <w:t xml:space="preserve">; Latin dance with mindfulness for adolescent anxiety</w:t>
      </w:r>
      <w:r>
        <w:t xml:space="preserve"> </w:t>
      </w:r>
      <w:fldSimple w:instr="NOTEREF _Ref_Footnote_141 \h \f">
        <w:r>
          <w:rPr>
            <w:vertAlign w:val="superscript"/>
          </w:rPr>
          <w:t>141</w:t>
        </w:r>
      </w:fldSimple>
      <w:r>
        <w:t xml:space="preserve">; and Indian techniques for ASD caregivers</w:t>
      </w:r>
      <w:r>
        <w:t xml:space="preserve"> </w:t>
      </w:r>
      <w:fldSimple w:instr="NOTEREF _Ref_Footnote_23 \h \f">
        <w:r>
          <w:rPr>
            <w:vertAlign w:val="superscript"/>
          </w:rPr>
          <w:t>23</w:t>
        </w:r>
      </w:fldSimple>
      <w:r>
        <w:t xml:space="preserve">.</w:t>
      </w:r>
    </w:p>
    <w:p>
      <w:pPr>
        <w:pStyle w:val="BodyText"/>
      </w:pPr>
      <w:r>
        <w:t xml:space="preserve">The ADTA Code of Ethics requires multicultural competence, acknowledging culture’s impact on movement behavior</w:t>
      </w:r>
      <w:r>
        <w:t xml:space="preserve"> </w:t>
      </w:r>
      <w:r>
        <w:rPr>
          <w:vertAlign w:val="superscript"/>
        </w:rPr>
        <w:footnoteReference w:id="184"/>
      </w:r>
      <w:r>
        <w:t xml:space="preserve"> </w:t>
      </w:r>
      <w:r>
        <w:rPr>
          <w:vertAlign w:val="superscript"/>
        </w:rPr>
        <w:footnoteReference w:id="185"/>
      </w:r>
      <w:r>
        <w:t xml:space="preserve">. For platform design, supporting diverse cultural dance forms enables practitioners to serve underserved communities while differentiating against generic wellness platforms. Implementation should include: cultural specialization listings in practitioner profiles, cultural matching in client search, culturally-adapted session templates, and targeted marketing to underserved communities.</w:t>
      </w:r>
    </w:p>
    <w:bookmarkEnd w:id="86"/>
    <w:bookmarkStart w:id="87" w:name="X83d1b342d45a6617b68f581d91225457d47eac2"/>
    <w:p>
      <w:pPr>
        <w:pStyle w:val="Heading3"/>
      </w:pPr>
      <w:r>
        <w:t xml:space="preserve">3.3.4 Tele-DMT Adaptation: COVID-19 Pivot and Best Practices</w:t>
      </w:r>
    </w:p>
    <w:p>
      <w:pPr>
        <w:pStyle w:val="FirstParagraph"/>
      </w:pPr>
      <w:r>
        <w:t xml:space="preserve">COVID-19 accelerated DMT’s adaptation to virtual formats. Research in</w:t>
      </w:r>
      <w:r>
        <w:t xml:space="preserve"> </w:t>
      </w:r>
      <w:r>
        <w:rPr>
          <w:iCs/>
          <w:i/>
        </w:rPr>
        <w:t xml:space="preserve">Frontiers in Psychology</w:t>
      </w:r>
      <w:r>
        <w:t xml:space="preserve"> </w:t>
      </w:r>
      <w:r>
        <w:t xml:space="preserve">documented successful virtual delivery to school children in high-risk regions via Google Classroom, using strategies including non-therapeutic facilitators to manage technology, engaging all sensory modalities beyond verbal communication, and case manager shadowing so support staff could adapt techniques beyond program end</w:t>
      </w:r>
      <w:r>
        <w:t xml:space="preserve"> </w:t>
      </w:r>
      <w:fldSimple w:instr="NOTEREF _Ref_Footnote_116 \h \f">
        <w:r>
          <w:rPr>
            <w:vertAlign w:val="superscript"/>
          </w:rPr>
          <w:t>116</w:t>
        </w:r>
      </w:fldSimple>
      <w:r>
        <w:t xml:space="preserve">.</w:t>
      </w:r>
    </w:p>
    <w:p>
      <w:pPr>
        <w:pStyle w:val="BodyText"/>
      </w:pPr>
      <w:r>
        <w:t xml:space="preserve">Best practices for virtual DMT include conducting platform literacy trainings in advance, supplying technology via partner organizations, reducing distractions through separate facilitators, and leveraging familiar platforms</w:t>
      </w:r>
      <w:r>
        <w:t xml:space="preserve"> </w:t>
      </w:r>
      <w:fldSimple w:instr="NOTEREF _Ref_Footnote_116 \h \f">
        <w:r>
          <w:rPr>
            <w:vertAlign w:val="superscript"/>
          </w:rPr>
          <w:t>116</w:t>
        </w:r>
      </w:fldSimple>
      <w:r>
        <w:t xml:space="preserve">. A case study documented virtual DMT with a cancer patient nearing end of life, where the therapist guided the patient’s spouse in providing touch-based interventions — demonstrating that touch, a core DMT element, can be mediated through caregivers even virtually</w:t>
      </w:r>
      <w:r>
        <w:t xml:space="preserve"> </w:t>
      </w:r>
      <w:r>
        <w:rPr>
          <w:vertAlign w:val="superscript"/>
        </w:rPr>
        <w:footnoteReference w:id="186"/>
      </w:r>
      <w:r>
        <w:t xml:space="preserve">.</w:t>
      </w:r>
    </w:p>
    <w:p>
      <w:pPr>
        <w:pStyle w:val="BodyText"/>
      </w:pPr>
      <w:r>
        <w:t xml:space="preserve">Tele-DMT with children with ASD showed promise and challenge: benefits include a family-centered approach and home environment comfort; challenges include screen fatigue, parent involvement needs, and camera angle limitations</w:t>
      </w:r>
      <w:r>
        <w:t xml:space="preserve"> </w:t>
      </w:r>
      <w:r>
        <w:rPr>
          <w:vertAlign w:val="superscript"/>
        </w:rPr>
        <w:footnoteReference w:id="187"/>
      </w:r>
      <w:r>
        <w:t xml:space="preserve">. Recommendations include separate therapy room setup, visual aids, shorter sessions, and in-person relationship-building first when possible</w:t>
      </w:r>
      <w:r>
        <w:t xml:space="preserve"> </w:t>
      </w:r>
      <w:fldSimple w:instr="NOTEREF _Ref_Footnote_187 \h \f">
        <w:r>
          <w:rPr>
            <w:vertAlign w:val="superscript"/>
          </w:rPr>
          <w:t>187</w:t>
        </w:r>
      </w:fldSimple>
      <w:r>
        <w:t xml:space="preserve">. A Drexel study explored Virtual Reality in DMT using YouTube VR, In Mind VR, and Rec Room, concluding VR holds potential as an adjunctive DMT component</w:t>
      </w:r>
      <w:r>
        <w:t xml:space="preserve"> </w:t>
      </w:r>
      <w:r>
        <w:rPr>
          <w:vertAlign w:val="superscript"/>
        </w:rPr>
        <w:footnoteReference w:id="188"/>
      </w:r>
      <w:r>
        <w:t xml:space="preserve">.</w:t>
      </w:r>
    </w:p>
    <w:p>
      <w:pPr>
        <w:pStyle w:val="BodyText"/>
      </w:pPr>
      <w:r>
        <w:t xml:space="preserve">Camera setup recommendations — chest-height positioning with 6+ feet of clearance for full-body visibility — exceed what standard telehealth platforms support. This</w:t>
      </w:r>
      <w:r>
        <w:t xml:space="preserve"> </w:t>
      </w:r>
      <w:r>
        <w:t xml:space="preserve">“</w:t>
      </w:r>
      <w:r>
        <w:t xml:space="preserve">body-blind</w:t>
      </w:r>
      <w:r>
        <w:t xml:space="preserve">”</w:t>
      </w:r>
      <w:r>
        <w:t xml:space="preserve"> </w:t>
      </w:r>
      <w:r>
        <w:t xml:space="preserve">design represents a significant platform opportunity: a video interface purpose-built for movement observation would be the only telehealth solution designed for body-based therapy.</w:t>
      </w:r>
    </w:p>
    <w:bookmarkEnd w:id="87"/>
    <w:bookmarkEnd w:id="88"/>
    <w:bookmarkStart w:id="92" w:name="key-practitioners-and-research-leaders"/>
    <w:p>
      <w:pPr>
        <w:pStyle w:val="Heading2"/>
      </w:pPr>
      <w:r>
        <w:t xml:space="preserve">3.4 Key Practitioners and Research Leaders</w:t>
      </w:r>
    </w:p>
    <w:bookmarkStart w:id="89" w:name="Xbd50dca435f72c805f5a63754993616d27f8e64"/>
    <w:p>
      <w:pPr>
        <w:pStyle w:val="Heading3"/>
      </w:pPr>
      <w:r>
        <w:t xml:space="preserve">3.4.1 Dr. Tal Shafir: Movement-Emotion Neuroscience</w:t>
      </w:r>
    </w:p>
    <w:p>
      <w:pPr>
        <w:pStyle w:val="FirstParagraph"/>
      </w:pPr>
      <w:r>
        <w:t xml:space="preserve">Dr. Tal Shafir, research fellow at the University of Haifa and ADTA Research Committee member, conducts foundational work on movement-emotion interactions with direct implications for DMT practice</w:t>
      </w:r>
      <w:r>
        <w:t xml:space="preserve"> </w:t>
      </w:r>
      <w:fldSimple w:instr="NOTEREF _Ref_Footnote_13 \h \f">
        <w:r>
          <w:rPr>
            <w:vertAlign w:val="superscript"/>
          </w:rPr>
          <w:t>13</w:t>
        </w:r>
      </w:fldSimple>
      <w:r>
        <w:t xml:space="preserve"> </w:t>
      </w:r>
      <w:r>
        <w:rPr>
          <w:vertAlign w:val="superscript"/>
        </w:rPr>
        <w:footnoteReference w:id="189"/>
      </w:r>
      <w:r>
        <w:t xml:space="preserve">. Her research has two primary lines: basic research on neurophysiological mechanisms of movement-cognition and movement-emotion interaction; and clinical research on motor interventions’ effects on the brain, cognition, and emotion</w:t>
      </w:r>
      <w:r>
        <w:t xml:space="preserve"> </w:t>
      </w:r>
      <w:fldSimple w:instr="NOTEREF _Ref_Footnote_13 \h \f">
        <w:r>
          <w:rPr>
            <w:vertAlign w:val="superscript"/>
          </w:rPr>
          <w:t>13</w:t>
        </w:r>
      </w:fldSimple>
      <w:r>
        <w:t xml:space="preserve">.</w:t>
      </w:r>
    </w:p>
    <w:p>
      <w:pPr>
        <w:pStyle w:val="BodyText"/>
      </w:pPr>
      <w:r>
        <w:t xml:space="preserve">Shafir’s most influential finding, published in</w:t>
      </w:r>
      <w:r>
        <w:t xml:space="preserve"> </w:t>
      </w:r>
      <w:r>
        <w:rPr>
          <w:iCs/>
          <w:i/>
        </w:rPr>
        <w:t xml:space="preserve">Frontiers in Psychology</w:t>
      </w:r>
      <w:r>
        <w:t xml:space="preserve"> </w:t>
      </w:r>
      <w:r>
        <w:t xml:space="preserve">(2016), used Laban Movement Analysis (LMA) to identify specific motor elements enhancing each basic emotion</w:t>
      </w:r>
      <w:r>
        <w:t xml:space="preserve"> </w:t>
      </w:r>
      <w:fldSimple w:instr="NOTEREF _Ref_Footnote_92 \h \f">
        <w:r>
          <w:rPr>
            <w:vertAlign w:val="superscript"/>
          </w:rPr>
          <w:t>92</w:t>
        </w:r>
      </w:fldSimple>
      <w:r>
        <w:t xml:space="preserve">. Each emotion was predicted by a unique set of motor elements, and each motor element predicted only one emotion — a one-to-one mapping validating DMT’s theoretical framework</w:t>
      </w:r>
      <w:r>
        <w:t xml:space="preserve"> </w:t>
      </w:r>
      <w:fldSimple w:instr="NOTEREF _Ref_Footnote_92 \h \f">
        <w:r>
          <w:rPr>
            <w:vertAlign w:val="superscript"/>
          </w:rPr>
          <w:t>92</w:t>
        </w:r>
      </w:fldSimple>
      <w:r>
        <w:t xml:space="preserve">. For happiness, expanded torso and open chest movements were key; for sadness, holding the head down and rounding shoulders</w:t>
      </w:r>
      <w:r>
        <w:t xml:space="preserve"> </w:t>
      </w:r>
      <w:fldSimple w:instr="NOTEREF _Ref_Footnote_91 \h \f">
        <w:r>
          <w:rPr>
            <w:vertAlign w:val="superscript"/>
          </w:rPr>
          <w:t>91</w:t>
        </w:r>
      </w:fldSimple>
      <w:r>
        <w:t xml:space="preserve">. Earlier work (Shafir et al., 2013) showed that approximately three minutes of motor execution of emotional movements enhanced the corresponding affective state</w:t>
      </w:r>
      <w:r>
        <w:t xml:space="preserve"> </w:t>
      </w:r>
      <w:fldSimple w:instr="NOTEREF _Ref_Footnote_91 \h \f">
        <w:r>
          <w:rPr>
            <w:vertAlign w:val="superscript"/>
          </w:rPr>
          <w:t>91</w:t>
        </w:r>
      </w:fldSimple>
      <w:r>
        <w:t xml:space="preserve">.</w:t>
      </w:r>
    </w:p>
    <w:p>
      <w:pPr>
        <w:pStyle w:val="BodyText"/>
      </w:pPr>
      <w:r>
        <w:t xml:space="preserve">These findings have direct clinical utility: individuals can enhance emotional self-regulation by adding desired motor qualities to everyday movements</w:t>
      </w:r>
      <w:r>
        <w:t xml:space="preserve"> </w:t>
      </w:r>
      <w:fldSimple w:instr="NOTEREF _Ref_Footnote_91 \h \f">
        <w:r>
          <w:rPr>
            <w:vertAlign w:val="superscript"/>
          </w:rPr>
          <w:t>91</w:t>
        </w:r>
      </w:fldSimple>
      <w:r>
        <w:t xml:space="preserve">. With colleague Rachelle Tsachor, Shafir has translated this into psychotherapeutic application,</w:t>
      </w:r>
      <w:r>
        <w:t xml:space="preserve"> </w:t>
      </w:r>
      <w:r>
        <w:t xml:space="preserve">“</w:t>
      </w:r>
      <w:r>
        <w:t xml:space="preserve">providing evidence-based support for diagnostic and intervention tools used in dance/movement therapy</w:t>
      </w:r>
      <w:r>
        <w:t xml:space="preserve">”</w:t>
      </w:r>
      <w:r>
        <w:t xml:space="preserve"> </w:t>
      </w:r>
      <w:fldSimple w:instr="NOTEREF _Ref_Footnote_13 \h \f">
        <w:r>
          <w:rPr>
            <w:vertAlign w:val="superscript"/>
          </w:rPr>
          <w:t>13</w:t>
        </w:r>
      </w:fldSimple>
      <w:r>
        <w:t xml:space="preserve">. Shafir’s TEDx talk,</w:t>
      </w:r>
      <w:r>
        <w:t xml:space="preserve"> </w:t>
      </w:r>
      <w:r>
        <w:t xml:space="preserve">“</w:t>
      </w:r>
      <w:r>
        <w:t xml:space="preserve">How Your Body Affects Your Happiness,</w:t>
      </w:r>
      <w:r>
        <w:t xml:space="preserve">”</w:t>
      </w:r>
      <w:r>
        <w:t xml:space="preserve"> </w:t>
      </w:r>
      <w:r>
        <w:t xml:space="preserve">has over 316,000 views</w:t>
      </w:r>
      <w:r>
        <w:t xml:space="preserve"> </w:t>
      </w:r>
      <w:fldSimple w:instr="NOTEREF _Ref_Footnote_189 \h \f">
        <w:r>
          <w:rPr>
            <w:vertAlign w:val="superscript"/>
          </w:rPr>
          <w:t>189</w:t>
        </w:r>
      </w:fldSimple>
      <w:r>
        <w:t xml:space="preserve">. For platform design, this research validates integrating Laban Movement Analysis into movement observation tools and session planning features.</w:t>
      </w:r>
    </w:p>
    <w:bookmarkEnd w:id="89"/>
    <w:bookmarkStart w:id="90" w:name="X03fc5b38abd49aa35c270e8758656fafceb42a2"/>
    <w:p>
      <w:pPr>
        <w:pStyle w:val="Heading3"/>
      </w:pPr>
      <w:r>
        <w:t xml:space="preserve">3.4.2 Dr. Danielle Fraenkel: LivingDance~LivingMusic</w:t>
      </w:r>
    </w:p>
    <w:p>
      <w:pPr>
        <w:pStyle w:val="FirstParagraph"/>
      </w:pPr>
      <w:r>
        <w:t xml:space="preserve">Dr. Danielle Fraenkel, Ph.D., BC-DMT, is director of Kinections — the only freestanding DMT alternate route institute in the United States — and creator of the LivingDance~LivingMusic (LDLM) methodology</w:t>
      </w:r>
      <w:r>
        <w:t xml:space="preserve"> </w:t>
      </w:r>
      <w:r>
        <w:rPr>
          <w:vertAlign w:val="superscript"/>
        </w:rPr>
        <w:footnoteReference w:id="190"/>
      </w:r>
      <w:r>
        <w:t xml:space="preserve"> </w:t>
      </w:r>
      <w:r>
        <w:rPr>
          <w:vertAlign w:val="superscript"/>
        </w:rPr>
        <w:footnoteReference w:id="191"/>
      </w:r>
      <w:r>
        <w:t xml:space="preserve">. She received the ADTA’s 2014 Excellence in Education Award</w:t>
      </w:r>
      <w:r>
        <w:t xml:space="preserve"> </w:t>
      </w:r>
      <w:r>
        <w:rPr>
          <w:vertAlign w:val="superscript"/>
        </w:rPr>
        <w:footnoteReference w:id="192"/>
      </w:r>
      <w:r>
        <w:t xml:space="preserve">.</w:t>
      </w:r>
    </w:p>
    <w:p>
      <w:pPr>
        <w:pStyle w:val="BodyText"/>
      </w:pPr>
      <w:r>
        <w:t xml:space="preserve">LDLM, developed with musician Jeffrey Mehr in 1998, is distinguished by real-time music — LivingMusic — evolving on keyboards, harmonicas, and synthesizers during sessions,</w:t>
      </w:r>
      <w:r>
        <w:t xml:space="preserve"> </w:t>
      </w:r>
      <w:r>
        <w:t xml:space="preserve">“</w:t>
      </w:r>
      <w:r>
        <w:t xml:space="preserve">powered by the dancers themselves</w:t>
      </w:r>
      <w:r>
        <w:t xml:space="preserve">”</w:t>
      </w:r>
      <w:r>
        <w:t xml:space="preserve"> </w:t>
      </w:r>
      <w:fldSimple w:instr="NOTEREF _Ref_Footnote_132 \h \f">
        <w:r>
          <w:rPr>
            <w:vertAlign w:val="superscript"/>
          </w:rPr>
          <w:t>132</w:t>
        </w:r>
      </w:fldSimple>
      <w:r>
        <w:t xml:space="preserve">. The philosophy holds that</w:t>
      </w:r>
      <w:r>
        <w:t xml:space="preserve"> </w:t>
      </w:r>
      <w:r>
        <w:t xml:space="preserve">“</w:t>
      </w:r>
      <w:r>
        <w:t xml:space="preserve">dance is the star, psychology the supporting actor</w:t>
      </w:r>
      <w:r>
        <w:t xml:space="preserve">”</w:t>
      </w:r>
      <w:r>
        <w:t xml:space="preserve"> </w:t>
      </w:r>
      <w:fldSimple w:instr="NOTEREF _Ref_Footnote_16 \h \f">
        <w:r>
          <w:rPr>
            <w:vertAlign w:val="superscript"/>
          </w:rPr>
          <w:t>16</w:t>
        </w:r>
      </w:fldSimple>
      <w:r>
        <w:t xml:space="preserve">— prioritizing embodied experience over verbal interpretation. LDLM</w:t>
      </w:r>
      <w:r>
        <w:t xml:space="preserve"> </w:t>
      </w:r>
      <w:r>
        <w:t xml:space="preserve">“</w:t>
      </w:r>
      <w:r>
        <w:t xml:space="preserve">generates body confidence, provides the freedom to relate to others without worrying what they think, and brings the value of moving expressively to everyone</w:t>
      </w:r>
      <w:r>
        <w:t xml:space="preserve">”</w:t>
      </w:r>
      <w:r>
        <w:t xml:space="preserve"> </w:t>
      </w:r>
      <w:fldSimple w:instr="NOTEREF _Ref_Footnote_190 \h \f">
        <w:r>
          <w:rPr>
            <w:vertAlign w:val="superscript"/>
          </w:rPr>
          <w:t>190</w:t>
        </w:r>
      </w:fldSimple>
      <w:r>
        <w:t xml:space="preserve">. No dance training is required</w:t>
      </w:r>
      <w:r>
        <w:t xml:space="preserve"> </w:t>
      </w:r>
      <w:fldSimple w:instr="NOTEREF _Ref_Footnote_190 \h \f">
        <w:r>
          <w:rPr>
            <w:vertAlign w:val="superscript"/>
          </w:rPr>
          <w:t>190</w:t>
        </w:r>
      </w:fldSimple>
      <w:r>
        <w:t xml:space="preserve">.</w:t>
      </w:r>
    </w:p>
    <w:p>
      <w:pPr>
        <w:pStyle w:val="BodyText"/>
      </w:pPr>
      <w:r>
        <w:t xml:space="preserve">LDLM offers two certification tracks (teacher and therapist) through intensive 2.5 to 7-day hybrid classes combining online and residential components, with programs in Corfu, Greece and the Adirondacks, New York</w:t>
      </w:r>
      <w:r>
        <w:t xml:space="preserve"> </w:t>
      </w:r>
      <w:fldSimple w:instr="NOTEREF _Ref_Footnote_16 \h \f">
        <w:r>
          <w:rPr>
            <w:vertAlign w:val="superscript"/>
          </w:rPr>
          <w:t>16</w:t>
        </w:r>
      </w:fldSimple>
      <w:r>
        <w:t xml:space="preserve">. Fraenkel emphasizes kinesthetic empathy — resonating with another’s movement experience — as</w:t>
      </w:r>
      <w:r>
        <w:t xml:space="preserve"> </w:t>
      </w:r>
      <w:r>
        <w:t xml:space="preserve">“</w:t>
      </w:r>
      <w:r>
        <w:t xml:space="preserve">the keystone of dance/movement therapy</w:t>
      </w:r>
      <w:r>
        <w:t xml:space="preserve">”</w:t>
      </w:r>
      <w:r>
        <w:t xml:space="preserve"> </w:t>
      </w:r>
      <w:fldSimple w:instr="NOTEREF _Ref_Footnote_192 \h \f">
        <w:r>
          <w:rPr>
            <w:vertAlign w:val="superscript"/>
          </w:rPr>
          <w:t>192</w:t>
        </w:r>
      </w:fldSimple>
      <w:r>
        <w:t xml:space="preserve">. She first connects with clients through shared rhythmic movement before verbal engagement, a principle with direct tele-DMT implications: platforms should support synchronous rhythm sharing even at distance.</w:t>
      </w:r>
    </w:p>
    <w:bookmarkEnd w:id="90"/>
    <w:bookmarkStart w:id="91" w:name="notable-researchers"/>
    <w:p>
      <w:pPr>
        <w:pStyle w:val="Heading3"/>
      </w:pPr>
      <w:r>
        <w:t xml:space="preserve">3.4.3 Notable Researchers</w:t>
      </w:r>
    </w:p>
    <w:p>
      <w:pPr>
        <w:pStyle w:val="FirstParagraph"/>
      </w:pPr>
      <w:r>
        <w:t xml:space="preserve">Dr. Sabine Koch produced the field’s most comprehensive meta-analytic evidence — the 2019 meta-analysis of 41 studies (N = 2,374) establishing benchmark effect sizes (d = 0.60 overall, d = 0.54 for depression) that guide clinical decision-making</w:t>
      </w:r>
      <w:r>
        <w:t xml:space="preserve"> </w:t>
      </w:r>
      <w:fldSimple w:instr="NOTEREF _Ref_Footnote_23 \h \f">
        <w:r>
          <w:rPr>
            <w:vertAlign w:val="superscript"/>
          </w:rPr>
          <w:t>23</w:t>
        </w:r>
      </w:fldSimple>
      <w:r>
        <w:t xml:space="preserve">. Marianne E. Koch contributed bibliometric analysis documenting the field’s research acceleration</w:t>
      </w:r>
      <w:r>
        <w:t xml:space="preserve"> </w:t>
      </w:r>
      <w:fldSimple w:instr="NOTEREF _Ref_Footnote_23 \h \f">
        <w:r>
          <w:rPr>
            <w:vertAlign w:val="superscript"/>
          </w:rPr>
          <w:t>23</w:t>
        </w:r>
      </w:fldSimple>
      <w:r>
        <w:t xml:space="preserve">. Dr. Miriam Roskin Berger, charter ADTA member, founded the ADTA International Panel in 1995 and created training programs across Europe, Asia, and the Middle East</w:t>
      </w:r>
      <w:r>
        <w:t xml:space="preserve"> </w:t>
      </w:r>
      <w:r>
        <w:rPr>
          <w:vertAlign w:val="superscript"/>
        </w:rPr>
        <w:footnoteReference w:id="193"/>
      </w:r>
      <w:r>
        <w:t xml:space="preserve">. The 26th ADTA International Panel (2021) featured practitioners from Israel, Estonia, Turkey, Egypt, Taiwan, the United States, Native American communities, and New Zealand — demonstrating the field’s global reach</w:t>
      </w:r>
      <w:r>
        <w:t xml:space="preserve"> </w:t>
      </w:r>
      <w:fldSimple w:instr="NOTEREF _Ref_Footnote_193 \h \f">
        <w:r>
          <w:rPr>
            <w:vertAlign w:val="superscript"/>
          </w:rPr>
          <w:t>193</w:t>
        </w:r>
      </w:fldSimple>
      <w:r>
        <w:t xml:space="preserve">.</w:t>
      </w:r>
    </w:p>
    <w:bookmarkEnd w:id="91"/>
    <w:bookmarkEnd w:id="92"/>
    <w:bookmarkStart w:id="96" w:name="dmt-for-the-platform"/>
    <w:p>
      <w:pPr>
        <w:pStyle w:val="Heading2"/>
      </w:pPr>
      <w:r>
        <w:t xml:space="preserve">3.5 DMT for the Platform</w:t>
      </w:r>
    </w:p>
    <w:bookmarkStart w:id="93" w:name="X53b11e8fa0a077205ce3bd778d1279cda0a99bc"/>
    <w:p>
      <w:pPr>
        <w:pStyle w:val="Heading3"/>
      </w:pPr>
      <w:r>
        <w:t xml:space="preserve">3.5.1 Positioning DMT: Depression-First Strategy</w:t>
      </w:r>
    </w:p>
    <w:p>
      <w:pPr>
        <w:pStyle w:val="FirstParagraph"/>
      </w:pPr>
      <w:r>
        <w:t xml:space="preserve">The evidence analysis yields an unambiguous strategic hierarchy: depression is DMT’s strongest indication with the largest addressable market. The Finnish multicenter RCT’s effect size of d = 0.72 and NNT of 3</w:t>
      </w:r>
      <w:r>
        <w:t xml:space="preserve"> </w:t>
      </w:r>
      <w:fldSimple w:instr="NOTEREF _Ref_Footnote_89 \h \f">
        <w:r>
          <w:rPr>
            <w:vertAlign w:val="superscript"/>
          </w:rPr>
          <w:t>89</w:t>
        </w:r>
      </w:fldSimple>
      <w:r>
        <w:t xml:space="preserve">are among the most favorable figures in the somatic therapy evidence base. The Koch et al. (2019) meta-analysis’s d = 0.54 across 18 depression studies</w:t>
      </w:r>
      <w:r>
        <w:t xml:space="preserve"> </w:t>
      </w:r>
      <w:fldSimple w:instr="NOTEREF _Ref_Footnote_23 \h \f">
        <w:r>
          <w:rPr>
            <w:vertAlign w:val="superscript"/>
          </w:rPr>
          <w:t>23</w:t>
        </w:r>
      </w:fldSimple>
      <w:r>
        <w:t xml:space="preserve">provides robust replication. The 2025 Chinese network meta-analysis’s SUCRA = 99.7% for culturally-adapted DMT</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positions DMT above pharmacotherapy, CBT, and exercise in head-to-head comparisons.</w:t>
      </w:r>
    </w:p>
    <w:p>
      <w:pPr>
        <w:pStyle w:val="BodyText"/>
      </w:pPr>
      <w:r>
        <w:t xml:space="preserve">Depression affects approximately 8.3% of U.S. adults annually — roughly 21 million people — versus approximately 5% for PTSD, representing a 66% larger addressable population. While trauma may drive initial consumer interest in somatic therapy, depression is the condition for which consumers most readily seek treatment and insurance reimbursement is most established. The platform should lead with depression as its primary DMT indication, using the NNT of 3 and SUCRA = 99.7% as flagship evidence claims, with trauma-informed adaptations positioned as secondary specializations. Anxiety (d = 0.47 in meta-analysis</w:t>
      </w:r>
      <w:r>
        <w:t xml:space="preserve"> </w:t>
      </w:r>
      <w:fldSimple w:instr="NOTEREF _Ref_Footnote_23 \h \f">
        <w:r>
          <w:rPr>
            <w:vertAlign w:val="superscript"/>
          </w:rPr>
          <w:t>23</w:t>
        </w:r>
      </w:fldSimple>
      <w:r>
        <w:t xml:space="preserve">) should serve as the co-primary indication.</w:t>
      </w:r>
    </w:p>
    <w:bookmarkEnd w:id="93"/>
    <w:bookmarkStart w:id="94" w:name="Xa7e1631a8f4be32cb126a7707cd4b2e2bd02c32"/>
    <w:p>
      <w:pPr>
        <w:pStyle w:val="Heading3"/>
      </w:pPr>
      <w:r>
        <w:t xml:space="preserve">3.5.2 Cultural Dance as Clinical and Commercial Moat</w:t>
      </w:r>
    </w:p>
    <w:p>
      <w:pPr>
        <w:pStyle w:val="FirstParagraph"/>
      </w:pPr>
      <w:r>
        <w:t xml:space="preserve">The SUCRA = 99.7% result</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is not merely clinical — it is a business strategy. If culturally-specific movement forms dramatically outperform generic approaches, a platform integrating diverse cultural dance traditions simultaneously improves clinical outcomes and creates differentiation against generalist platforms.</w:t>
      </w:r>
    </w:p>
    <w:p>
      <w:pPr>
        <w:pStyle w:val="BodyText"/>
      </w:pPr>
      <w:r>
        <w:t xml:space="preserve">The evidence spans Chinese Tujia dance with nine therapeutic principles</w:t>
      </w:r>
      <w:r>
        <w:t xml:space="preserve"> </w:t>
      </w:r>
      <w:fldSimple w:instr="NOTEREF _Ref_Footnote_182 \h \f">
        <w:r>
          <w:rPr>
            <w:vertAlign w:val="superscript"/>
          </w:rPr>
          <w:t>182</w:t>
        </w:r>
      </w:fldSimple>
      <w:r>
        <w:t xml:space="preserve">; Indian classical dance (Kathak, Bharatanatyam) with documented case studies</w:t>
      </w:r>
      <w:r>
        <w:t xml:space="preserve"> </w:t>
      </w:r>
      <w:fldSimple w:instr="NOTEREF _Ref_Footnote_183 \h \f">
        <w:r>
          <w:rPr>
            <w:vertAlign w:val="superscript"/>
          </w:rPr>
          <w:t>183</w:t>
        </w:r>
      </w:fldSimple>
      <w:r>
        <w:t xml:space="preserve">; Latin dance with mindfulness for adolescent anxiety</w:t>
      </w:r>
      <w:r>
        <w:t xml:space="preserve"> </w:t>
      </w:r>
      <w:fldSimple w:instr="NOTEREF _Ref_Footnote_141 \h \f">
        <w:r>
          <w:rPr>
            <w:vertAlign w:val="superscript"/>
          </w:rPr>
          <w:t>141</w:t>
        </w:r>
      </w:fldSimple>
      <w:r>
        <w:t xml:space="preserve">; and Indian techniques for ASD caregivers</w:t>
      </w:r>
      <w:r>
        <w:t xml:space="preserve"> </w:t>
      </w:r>
      <w:fldSimple w:instr="NOTEREF _Ref_Footnote_23 \h \f">
        <w:r>
          <w:rPr>
            <w:vertAlign w:val="superscript"/>
          </w:rPr>
          <w:t>23</w:t>
        </w:r>
      </w:fldSimple>
      <w:r>
        <w:t xml:space="preserve">. The ADTA Code of Ethics requires multicultural competence</w:t>
      </w:r>
      <w:r>
        <w:t xml:space="preserve"> </w:t>
      </w:r>
      <w:fldSimple w:instr="NOTEREF _Ref_Footnote_184 \h \f">
        <w:r>
          <w:rPr>
            <w:vertAlign w:val="superscript"/>
          </w:rPr>
          <w:t>184</w:t>
        </w:r>
      </w:fldSimple>
      <w:r>
        <w:t xml:space="preserve"> </w:t>
      </w:r>
      <w:fldSimple w:instr="NOTEREF _Ref_Footnote_185 \h \f">
        <w:r>
          <w:rPr>
            <w:vertAlign w:val="superscript"/>
          </w:rPr>
          <w:t>185</w:t>
        </w:r>
      </w:fldSimple>
      <w:r>
        <w:t xml:space="preserve">, ensuring practitioners claiming cultural specializations meet minimum training standards.</w:t>
      </w:r>
    </w:p>
    <w:p>
      <w:pPr>
        <w:pStyle w:val="BodyText"/>
      </w:pPr>
      <w:r>
        <w:t xml:space="preserve">Platform implementation should include: cultural specialization listings in practitioner profiles; cultural matching in client search filters; culturally-adapted session templates and movement libraries; and targeted marketing to underserved communities. This creates a defensible niche while serving populations mainstream platforms often fail to reach.</w:t>
      </w:r>
    </w:p>
    <w:bookmarkEnd w:id="94"/>
    <w:bookmarkStart w:id="95" w:name="Xed322e18164ec2ea70211151bcf9964837fde16"/>
    <w:p>
      <w:pPr>
        <w:pStyle w:val="Heading3"/>
      </w:pPr>
      <w:r>
        <w:t xml:space="preserve">3.5.3 The DMT Practitioner Supply Gap: Opportunity in Constraint</w:t>
      </w:r>
    </w:p>
    <w:p>
      <w:pPr>
        <w:pStyle w:val="FirstParagraph"/>
      </w:pPr>
      <w:r>
        <w:t xml:space="preserve">With 247 practicing DMT therapists in North America against a depression market of 21 million people, the supply gap is the field’s defining structural constraint</w:t>
      </w:r>
      <w:r>
        <w:t xml:space="preserve"> </w:t>
      </w:r>
      <w:fldSimple w:instr="NOTEREF _Ref_Footnote_25 \h \f">
        <w:r>
          <w:rPr>
            <w:vertAlign w:val="superscript"/>
          </w:rPr>
          <w:t>25</w:t>
        </w:r>
      </w:fldSimple>
      <w:r>
        <w:t xml:space="preserve">. Several strategies can mitigate it.</w:t>
      </w:r>
    </w:p>
    <w:p>
      <w:pPr>
        <w:pStyle w:val="BodyText"/>
      </w:pPr>
      <w:r>
        <w:t xml:space="preserve">First, support the Alternate Route pipeline by partnering with graduate programs and institutes like Kinections to connect students with supervised practice opportunities and early client acquisition tools. Second, enable</w:t>
      </w:r>
      <w:r>
        <w:t xml:space="preserve"> </w:t>
      </w:r>
      <w:r>
        <w:t xml:space="preserve">“</w:t>
      </w:r>
      <w:r>
        <w:t xml:space="preserve">DMT-informed</w:t>
      </w:r>
      <w:r>
        <w:t xml:space="preserve">”</w:t>
      </w:r>
      <w:r>
        <w:t xml:space="preserve"> </w:t>
      </w:r>
      <w:r>
        <w:t xml:space="preserve">practice by other licensed professionals — LCSWs, LPCs, and LMFTs who incorporate movement-based techniques without holding the R-DMT credential — through session templates, movement libraries, and continuing education. Third, tele-DMT expands effective supply by removing geographic constraints; a practitioner in Boulder can serve clients across Colorado and beyond</w:t>
      </w:r>
      <w:r>
        <w:t xml:space="preserve"> </w:t>
      </w:r>
      <w:fldSimple w:instr="NOTEREF _Ref_Footnote_116 \h \f">
        <w:r>
          <w:rPr>
            <w:vertAlign w:val="superscript"/>
          </w:rPr>
          <w:t>116</w:t>
        </w:r>
      </w:fldSimple>
      <w:r>
        <w:t xml:space="preserve"> </w:t>
      </w:r>
      <w:fldSimple w:instr="NOTEREF _Ref_Footnote_187 \h \f">
        <w:r>
          <w:rPr>
            <w:vertAlign w:val="superscript"/>
          </w:rPr>
          <w:t>187</w:t>
        </w:r>
      </w:fldSimple>
      <w:r>
        <w:t xml:space="preserve">. Fourth, group DMT sessions — at $45–$65 per participant versus $120–$175 individual</w:t>
      </w:r>
      <w:r>
        <w:t xml:space="preserve"> </w:t>
      </w:r>
      <w:fldSimple w:instr="NOTEREF _Ref_Footnote_163 \h \f">
        <w:r>
          <w:rPr>
            <w:vertAlign w:val="superscript"/>
          </w:rPr>
          <w:t>163</w:t>
        </w:r>
      </w:fldSimple>
      <w:r>
        <w:t xml:space="preserve"> </w:t>
      </w:r>
      <w:fldSimple w:instr="NOTEREF _Ref_Footnote_164 \h \f">
        <w:r>
          <w:rPr>
            <w:vertAlign w:val="superscript"/>
          </w:rPr>
          <w:t>164</w:t>
        </w:r>
      </w:fldSimple>
      <w:r>
        <w:t xml:space="preserve">— increase practitioner capacity while reducing per-client cost. A therapist conducting two 90-minute group sessions daily can serve 16–20 clients versus 6–8 in individual practice.</w:t>
      </w:r>
    </w:p>
    <w:p>
      <w:pPr>
        <w:pStyle w:val="BodyText"/>
      </w:pPr>
      <w:r>
        <w:t xml:space="preserve">The platform must design for DMT as a premium, specialized offering within a broader somatic therapy ecosystem rather than a mass-market standalone service. The evidence in this chapter supports a clear architecture: depression-first clinical positioning, cultural dance integration as the primary differentiator, trauma-informed protocols as secondary capability, and technology designed specifically for movement observation — full-body video, optional pose estimation, and phase-based session structure tools. With these elements, the platform can establish DMT as its signature modality while building the evidence-based credibility necessary for practitioner adoption, client trust, and payer reimbursement.</w:t>
      </w:r>
    </w:p>
    <w:p>
      <w:r>
        <w:pict>
          <v:rect style="width:0;height:1.5pt" o:hralign="center" o:hrstd="t" o:hr="t"/>
        </w:pict>
      </w:r>
    </w:p>
    <w:bookmarkEnd w:id="95"/>
    <w:bookmarkEnd w:id="96"/>
    <w:bookmarkStart w:id="127" w:name="market-analysis"/>
    <w:p>
      <w:pPr>
        <w:pStyle w:val="Heading2"/>
      </w:pPr>
      <w:r>
        <w:t xml:space="preserve">4. Market Analysis</w:t>
      </w:r>
    </w:p>
    <w:p>
      <w:pPr>
        <w:pStyle w:val="FirstParagraph"/>
      </w:pPr>
      <w:r>
        <w:t xml:space="preserve">The commercial case for building a somatic therapy platform rests on a simple arithmetic: a $4.01–4.72 billion market growing at 16.8–17.7% annually, served by a practitioner workforce that is simultaneously scarce, fragmented, and technologically underserved</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r>
        <w:rPr>
          <w:vertAlign w:val="superscript"/>
        </w:rPr>
        <w:footnoteReference w:id="194"/>
      </w:r>
      <w:r>
        <w:t xml:space="preserve">. This chapter translates those headline figures into actionable intelligence—segmenting the market by modality, application, and geography; quantifying the demand drivers that will sustain growth through 2035; and identifying the structural barriers that a purpose-built platform must overcome.</w:t>
      </w:r>
    </w:p>
    <w:bookmarkStart w:id="106" w:name="market-size-growth"/>
    <w:p>
      <w:pPr>
        <w:pStyle w:val="Heading3"/>
      </w:pPr>
      <w:r>
        <w:t xml:space="preserve">4.1 Market Size &amp; Growth</w:t>
      </w:r>
    </w:p>
    <w:bookmarkStart w:id="100" w:name="global-market-valuation-and-trajectory"/>
    <w:p>
      <w:pPr>
        <w:pStyle w:val="Heading4"/>
      </w:pPr>
      <w:r>
        <w:t xml:space="preserve">4.1.1 Global Market Valuation and Trajectory</w:t>
      </w:r>
    </w:p>
    <w:p>
      <w:pPr>
        <w:pStyle w:val="FirstParagraph"/>
      </w:pPr>
      <w:r>
        <w:t xml:space="preserve">The global somatic therapy market was valued at approximately $4.01–4.72 billion in 2025 by independent research firms, with forecasts converging on a compound annual growth rate (CAGR) of 16.8–17.7% through the early 2030s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194 \h \f">
        <w:r>
          <w:rPr>
            <w:vertAlign w:val="superscript"/>
          </w:rPr>
          <w:t>194</w:t>
        </w:r>
      </w:fldSimple>
      <w:r>
        <w:t xml:space="preserve">. At the upper bound, Prophecy Market Insights projects the market reaching $19.68 billion by 2035; at the lower bound, Coherent Market Insights forecasts $12.40 billion by 2032</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The variance reflects differing definitional boundaries—some analysts include only clinical somatic psychotherapy, while others incorporate bodywork, breathwork, and related modalities</w:t>
      </w:r>
      <w:r>
        <w:t xml:space="preserve"> </w:t>
      </w:r>
      <w:fldSimple w:instr="NOTEREF _Ref_Footnote_6 \h \f">
        <w:r>
          <w:rPr>
            <w:vertAlign w:val="superscript"/>
          </w:rPr>
          <w:t>6</w:t>
        </w:r>
      </w:fldSimple>
      <w:r>
        <w:t xml:space="preserve"> </w:t>
      </w:r>
      <w:fldSimple w:instr="NOTEREF _Ref_Footnote_30 \h \f">
        <w:r>
          <w:rPr>
            <w:vertAlign w:val="superscript"/>
          </w:rPr>
          <w:t>30</w:t>
        </w:r>
      </w:fldSimple>
      <w:r>
        <w:t xml:space="preserve">. For platform-planning purposes, a consensus midpoint of roughly $4.1 billion in 2025 expanding to $13–17 billion by 2033–2035 provides a defensible planning range.</w:t>
      </w:r>
    </w:p>
    <w:p>
      <w:pPr>
        <w:pStyle w:val="CaptionedFigure"/>
      </w:pPr>
      <w:r>
        <w:drawing>
          <wp:inline>
            <wp:extent cx="5334000" cy="3236086"/>
            <wp:effectExtent b="0" l="0" r="0" t="0"/>
            <wp:docPr descr="Global Somatic Therapy Market Projections" title="" id="98" name="Picture"/>
            <a:graphic>
              <a:graphicData uri="http://schemas.openxmlformats.org/drawingml/2006/picture">
                <pic:pic>
                  <pic:nvPicPr>
                    <pic:cNvPr descr="/mnt/agents/output/chart_market_projection.png" id="99" name="Picture"/>
                    <pic:cNvPicPr>
                      <a:picLocks noChangeArrowheads="1" noChangeAspect="1"/>
                    </pic:cNvPicPr>
                  </pic:nvPicPr>
                  <pic:blipFill>
                    <a:blip r:embed="rId97"/>
                    <a:stretch>
                      <a:fillRect/>
                    </a:stretch>
                  </pic:blipFill>
                  <pic:spPr bwMode="auto">
                    <a:xfrm>
                      <a:off x="0" y="0"/>
                      <a:ext cx="5334000" cy="3236086"/>
                    </a:xfrm>
                    <a:prstGeom prst="rect">
                      <a:avLst/>
                    </a:prstGeom>
                    <a:noFill/>
                    <a:ln w="9525">
                      <a:noFill/>
                      <a:headEnd/>
                      <a:tailEnd/>
                    </a:ln>
                  </pic:spPr>
                </pic:pic>
              </a:graphicData>
            </a:graphic>
          </wp:inline>
        </w:drawing>
      </w:r>
    </w:p>
    <w:p>
      <w:pPr>
        <w:pStyle w:val="ImageCaption"/>
      </w:pPr>
      <w:r>
        <w:t xml:space="preserve">Global Somatic Therapy Market Projections</w:t>
      </w:r>
    </w:p>
    <w:p>
      <w:pPr>
        <w:pStyle w:val="BodyText"/>
      </w:pPr>
      <w:r>
        <w:rPr>
          <w:iCs/>
          <w:i/>
        </w:rPr>
        <w:t xml:space="preserve">Figure 4.1: Global somatic therapy market projections from three independent research firms, 2025–2035. The shaded band represents the consensus range. Sources: Coherent Market Insights</w:t>
      </w:r>
      <w:r>
        <w:rPr>
          <w:iCs/>
          <w:i/>
        </w:rPr>
        <w:t xml:space="preserve"> </w:t>
      </w:r>
      <w:fldSimple w:instr="NOTEREF _Ref_Footnote_3 \h \f">
        <w:r>
          <w:rPr>
            <w:vertAlign w:val="superscript"/>
          </w:rPr>
          <w:t>3</w:t>
        </w:r>
      </w:fldSimple>
      <w:r>
        <w:rPr>
          <w:iCs/>
          <w:i/>
        </w:rPr>
        <w:t xml:space="preserve">, Prophecy Market Insights</w:t>
      </w:r>
      <w:r>
        <w:rPr>
          <w:iCs/>
          <w:i/>
        </w:rPr>
        <w:t xml:space="preserve"> </w:t>
      </w:r>
      <w:fldSimple w:instr="NOTEREF _Ref_Footnote_2 \h \f">
        <w:r>
          <w:rPr>
            <w:vertAlign w:val="superscript"/>
          </w:rPr>
          <w:t>2</w:t>
        </w:r>
      </w:fldSimple>
      <w:r>
        <w:rPr>
          <w:iCs/>
          <w:i/>
        </w:rPr>
        <w:t xml:space="preserve">, Reports and Insights</w:t>
      </w:r>
      <w:r>
        <w:rPr>
          <w:iCs/>
          <w:i/>
        </w:rPr>
        <w:t xml:space="preserve"> </w:t>
      </w:r>
      <w:fldSimple w:instr="NOTEREF _Ref_Footnote_194 \h \f">
        <w:r>
          <w:rPr>
            <w:vertAlign w:val="superscript"/>
          </w:rPr>
          <w:t>194</w:t>
        </w:r>
      </w:fldSimple>
      <w:r>
        <w:rPr>
          <w:iCs/>
          <w:i/>
        </w:rPr>
        <w:t xml:space="preserve">.</w:t>
      </w:r>
    </w:p>
    <w:p>
      <w:pPr>
        <w:pStyle w:val="BodyText"/>
      </w:pPr>
      <w:r>
        <w:t xml:space="preserve">Three observations sharpen the strategic relevance of these figures. First, the 16.8–17.7% CAGR significantly outpaces the broader mental health services market (projected at 5–7% annually) and the global wellness economy (7.6%), indicating that somatic therapy is capturing disproportionate growth within its sector</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Second, the Dance/Movement Therapy (DMT) sub-segment—directly relevant to the platform’s initial wedge—was valued at approximately $2.8 billion in 2025 and is projected to reach $6.9 billion by 2033 at an 11.70% CAGR</w:t>
      </w:r>
      <w:r>
        <w:t xml:space="preserve"> </w:t>
      </w:r>
      <w:r>
        <w:rPr>
          <w:vertAlign w:val="superscript"/>
        </w:rPr>
        <w:footnoteReference w:id="195"/>
      </w:r>
      <w:r>
        <w:t xml:space="preserve">. Third, digital somatic therapy platforms specifically reported 35% year-over-year revenue growth in 2024, suggesting that the technology-enabled segment is growing roughly twice as fast as the overall market</w:t>
      </w:r>
      <w:r>
        <w:t xml:space="preserve"> </w:t>
      </w:r>
      <w:r>
        <w:rPr>
          <w:vertAlign w:val="superscript"/>
        </w:rPr>
        <w:footnoteReference w:id="196"/>
      </w:r>
      <w:r>
        <w:t xml:space="preserve">.</w:t>
      </w:r>
    </w:p>
    <w:bookmarkEnd w:id="100"/>
    <w:bookmarkStart w:id="101" w:name="market-segmentation"/>
    <w:p>
      <w:pPr>
        <w:pStyle w:val="Heading4"/>
      </w:pPr>
      <w:r>
        <w:t xml:space="preserve">4.1.2 Market Segmentation</w:t>
      </w:r>
    </w:p>
    <w:p>
      <w:pPr>
        <w:pStyle w:val="FirstParagraph"/>
      </w:pPr>
      <w:r>
        <w:t xml:space="preserve">The somatic therapy market can be segmented across three dimensions that directly inform platform positioning: modality, application, and end user.</w:t>
      </w:r>
    </w:p>
    <w:tbl>
      <w:tblPr>
        <w:tblStyle w:val="Table"/>
        <w:tblW w:type="pct" w:w="5000"/>
        <w:tblLook w:firstRow="1" w:lastRow="0" w:firstColumn="0" w:lastColumn="0" w:noHBand="0" w:noVBand="0" w:val="0020"/>
      </w:tblPr>
      <w:tblGrid>
        <w:gridCol w:w="1113"/>
        <w:gridCol w:w="1237"/>
        <w:gridCol w:w="2351"/>
        <w:gridCol w:w="3217"/>
      </w:tblGrid>
      <w:tr>
        <w:trPr>
          <w:tblHeader w:val="true"/>
        </w:trPr>
        <w:tc>
          <w:tcPr/>
          <w:p>
            <w:pPr>
              <w:pStyle w:val="Compact"/>
              <w:jc w:val="left"/>
            </w:pPr>
            <w:r>
              <w:t xml:space="preserve">Segment</w:t>
            </w:r>
          </w:p>
        </w:tc>
        <w:tc>
          <w:tcPr/>
          <w:p>
            <w:pPr>
              <w:pStyle w:val="Compact"/>
              <w:jc w:val="left"/>
            </w:pPr>
            <w:r>
              <w:t xml:space="preserve">Category</w:t>
            </w:r>
          </w:p>
        </w:tc>
        <w:tc>
          <w:tcPr/>
          <w:p>
            <w:pPr>
              <w:pStyle w:val="Compact"/>
              <w:jc w:val="left"/>
            </w:pPr>
            <w:r>
              <w:t xml:space="preserve">Share (2025–2026)</w:t>
            </w:r>
          </w:p>
        </w:tc>
        <w:tc>
          <w:tcPr/>
          <w:p>
            <w:pPr>
              <w:pStyle w:val="Compact"/>
              <w:jc w:val="left"/>
            </w:pPr>
            <w:r>
              <w:t xml:space="preserve">Implication for Platform</w:t>
            </w:r>
          </w:p>
        </w:tc>
      </w:tr>
      <w:tr>
        <w:tc>
          <w:tcPr/>
          <w:p>
            <w:pPr>
              <w:pStyle w:val="Compact"/>
              <w:jc w:val="left"/>
            </w:pPr>
            <w:r>
              <w:rPr>
                <w:bCs/>
                <w:b/>
              </w:rPr>
              <w:t xml:space="preserve">By Modality</w:t>
            </w:r>
          </w:p>
        </w:tc>
        <w:tc>
          <w:tcPr/>
          <w:p>
            <w:pPr>
              <w:pStyle w:val="Compact"/>
              <w:jc w:val="left"/>
            </w:pPr>
            <w:r>
              <w:t xml:space="preserve">Sensorimotor Psychotherapy</w:t>
            </w:r>
          </w:p>
        </w:tc>
        <w:tc>
          <w:tcPr/>
          <w:p>
            <w:pPr>
              <w:pStyle w:val="Compact"/>
              <w:jc w:val="left"/>
            </w:pPr>
            <w:r>
              <w:t xml:space="preserve">33.6%</w:t>
            </w:r>
            <w:r>
              <w:t xml:space="preserve"> </w:t>
            </w:r>
            <w:fldSimple w:instr="NOTEREF _Ref_Footnote_1 \h \f">
              <w:r>
                <w:rPr>
                  <w:vertAlign w:val="superscript"/>
                </w:rPr>
                <w:t>1</w:t>
              </w:r>
            </w:fldSimple>
          </w:p>
        </w:tc>
        <w:tc>
          <w:tcPr/>
          <w:p>
            <w:pPr>
              <w:pStyle w:val="Compact"/>
              <w:jc w:val="left"/>
            </w:pPr>
            <w:r>
              <w:t xml:space="preserve">Largest segment; SPI-certified practitioners represent premium market</w:t>
            </w:r>
          </w:p>
        </w:tc>
      </w:tr>
      <w:tr>
        <w:tc>
          <w:tcPr/>
          <w:p>
            <w:pPr>
              <w:pStyle w:val="Compact"/>
            </w:pPr>
          </w:p>
        </w:tc>
        <w:tc>
          <w:tcPr/>
          <w:p>
            <w:pPr>
              <w:pStyle w:val="Compact"/>
              <w:jc w:val="left"/>
            </w:pPr>
            <w:r>
              <w:t xml:space="preserve">Somatic Experiencing (SE)</w:t>
            </w:r>
          </w:p>
        </w:tc>
        <w:tc>
          <w:tcPr/>
          <w:p>
            <w:pPr>
              <w:pStyle w:val="Compact"/>
              <w:jc w:val="left"/>
            </w:pPr>
            <w:r>
              <w:t xml:space="preserve">27.8%</w:t>
            </w:r>
            <w:r>
              <w:t xml:space="preserve"> </w:t>
            </w:r>
            <w:fldSimple w:instr="NOTEREF _Ref_Footnote_30 \h \f">
              <w:r>
                <w:rPr>
                  <w:vertAlign w:val="superscript"/>
                </w:rPr>
                <w:t>30</w:t>
              </w:r>
            </w:fldSimple>
          </w:p>
        </w:tc>
        <w:tc>
          <w:tcPr/>
          <w:p>
            <w:pPr>
              <w:pStyle w:val="Compact"/>
              <w:jc w:val="left"/>
            </w:pPr>
            <w:r>
              <w:t xml:space="preserve">Strongest evidence base; 46-country presence via SE International</w:t>
            </w:r>
            <w:r>
              <w:t xml:space="preserve"> </w:t>
            </w:r>
            <w:r>
              <w:rPr>
                <w:vertAlign w:val="superscript"/>
              </w:rPr>
              <w:footnoteReference w:id="197"/>
            </w:r>
          </w:p>
        </w:tc>
      </w:tr>
      <w:tr>
        <w:tc>
          <w:tcPr/>
          <w:p>
            <w:pPr>
              <w:pStyle w:val="Compact"/>
            </w:pPr>
          </w:p>
        </w:tc>
        <w:tc>
          <w:tcPr/>
          <w:p>
            <w:pPr>
              <w:pStyle w:val="Compact"/>
              <w:jc w:val="left"/>
            </w:pPr>
            <w:r>
              <w:t xml:space="preserve">Movement Therapy (incl. DMT)</w:t>
            </w:r>
          </w:p>
        </w:tc>
        <w:tc>
          <w:tcPr/>
          <w:p>
            <w:pPr>
              <w:pStyle w:val="Compact"/>
              <w:jc w:val="left"/>
            </w:pPr>
            <w:r>
              <w:t xml:space="preserve">~32.8%</w:t>
            </w:r>
            <w:r>
              <w:t xml:space="preserve"> </w:t>
            </w:r>
            <w:fldSimple w:instr="NOTEREF _Ref_Footnote_1 \h \f">
              <w:r>
                <w:rPr>
                  <w:vertAlign w:val="superscript"/>
                </w:rPr>
                <w:t>1</w:t>
              </w:r>
            </w:fldSimple>
          </w:p>
        </w:tc>
        <w:tc>
          <w:tcPr/>
          <w:p>
            <w:pPr>
              <w:pStyle w:val="Compact"/>
              <w:jc w:val="left"/>
            </w:pPr>
            <w:r>
              <w:t xml:space="preserve">Platform’s wedge market; $2.8B DMT sub-segment</w:t>
            </w:r>
            <w:r>
              <w:t xml:space="preserve"> </w:t>
            </w:r>
            <w:fldSimple w:instr="NOTEREF _Ref_Footnote_195 \h \f">
              <w:r>
                <w:rPr>
                  <w:vertAlign w:val="superscript"/>
                </w:rPr>
                <w:t>195</w:t>
              </w:r>
            </w:fldSimple>
          </w:p>
        </w:tc>
      </w:tr>
      <w:tr>
        <w:tc>
          <w:tcPr/>
          <w:p>
            <w:pPr>
              <w:pStyle w:val="Compact"/>
            </w:pPr>
          </w:p>
        </w:tc>
        <w:tc>
          <w:tcPr/>
          <w:p>
            <w:pPr>
              <w:pStyle w:val="Compact"/>
              <w:jc w:val="left"/>
            </w:pPr>
            <w:r>
              <w:t xml:space="preserve">Breathwork, Hakomi, other</w:t>
            </w:r>
          </w:p>
        </w:tc>
        <w:tc>
          <w:tcPr/>
          <w:p>
            <w:pPr>
              <w:pStyle w:val="Compact"/>
              <w:jc w:val="left"/>
            </w:pPr>
            <w:r>
              <w:t xml:space="preserve">Remainder</w:t>
            </w:r>
          </w:p>
        </w:tc>
        <w:tc>
          <w:tcPr/>
          <w:p>
            <w:pPr>
              <w:pStyle w:val="Compact"/>
              <w:jc w:val="left"/>
            </w:pPr>
            <w:r>
              <w:t xml:space="preserve">Emerging categories; lower certification barriers</w:t>
            </w:r>
          </w:p>
        </w:tc>
      </w:tr>
      <w:tr>
        <w:tc>
          <w:tcPr/>
          <w:p>
            <w:pPr>
              <w:pStyle w:val="Compact"/>
              <w:jc w:val="left"/>
            </w:pPr>
            <w:r>
              <w:rPr>
                <w:bCs/>
                <w:b/>
              </w:rPr>
              <w:t xml:space="preserve">By Application</w:t>
            </w:r>
          </w:p>
        </w:tc>
        <w:tc>
          <w:tcPr/>
          <w:p>
            <w:pPr>
              <w:pStyle w:val="Compact"/>
              <w:jc w:val="left"/>
            </w:pPr>
            <w:r>
              <w:t xml:space="preserve">Mental Health Disorders</w:t>
            </w:r>
          </w:p>
        </w:tc>
        <w:tc>
          <w:tcPr/>
          <w:p>
            <w:pPr>
              <w:pStyle w:val="Compact"/>
              <w:jc w:val="left"/>
            </w:pPr>
            <w:r>
              <w:t xml:space="preserve">42.6%</w:t>
            </w:r>
            <w:r>
              <w:t xml:space="preserve"> </w:t>
            </w:r>
            <w:fldSimple w:instr="NOTEREF _Ref_Footnote_1 \h \f">
              <w:r>
                <w:rPr>
                  <w:vertAlign w:val="superscript"/>
                </w:rPr>
                <w:t>1</w:t>
              </w:r>
            </w:fldSimple>
          </w:p>
        </w:tc>
        <w:tc>
          <w:tcPr/>
          <w:p>
            <w:pPr>
              <w:pStyle w:val="Compact"/>
              <w:jc w:val="left"/>
            </w:pPr>
            <w:r>
              <w:t xml:space="preserve">Depression/anxiety represent largest addressable population</w:t>
            </w:r>
          </w:p>
        </w:tc>
      </w:tr>
      <w:tr>
        <w:tc>
          <w:tcPr/>
          <w:p>
            <w:pPr>
              <w:pStyle w:val="Compact"/>
            </w:pPr>
          </w:p>
        </w:tc>
        <w:tc>
          <w:tcPr/>
          <w:p>
            <w:pPr>
              <w:pStyle w:val="Compact"/>
              <w:jc w:val="left"/>
            </w:pPr>
            <w:r>
              <w:t xml:space="preserve">Trauma Recovery / PTSD</w:t>
            </w:r>
          </w:p>
        </w:tc>
        <w:tc>
          <w:tcPr/>
          <w:p>
            <w:pPr>
              <w:pStyle w:val="Compact"/>
              <w:jc w:val="left"/>
            </w:pPr>
            <w:r>
              <w:t xml:space="preserve">36.7%</w:t>
            </w:r>
            <w:r>
              <w:t xml:space="preserve"> </w:t>
            </w:r>
            <w:fldSimple w:instr="NOTEREF _Ref_Footnote_1 \h \f">
              <w:r>
                <w:rPr>
                  <w:vertAlign w:val="superscript"/>
                </w:rPr>
                <w:t>1</w:t>
              </w:r>
            </w:fldSimple>
          </w:p>
        </w:tc>
        <w:tc>
          <w:tcPr/>
          <w:p>
            <w:pPr>
              <w:pStyle w:val="Compact"/>
              <w:jc w:val="left"/>
            </w:pPr>
            <w:r>
              <w:t xml:space="preserve">Fastest-growing sub-segment within digital therapeutics</w:t>
            </w:r>
            <w:r>
              <w:t xml:space="preserve"> </w:t>
            </w:r>
            <w:fldSimple w:instr="NOTEREF _Ref_Footnote_59 \h \f">
              <w:r>
                <w:rPr>
                  <w:vertAlign w:val="superscript"/>
                </w:rPr>
                <w:t>59</w:t>
              </w:r>
            </w:fldSimple>
          </w:p>
        </w:tc>
      </w:tr>
      <w:tr>
        <w:tc>
          <w:tcPr/>
          <w:p>
            <w:pPr>
              <w:pStyle w:val="Compact"/>
            </w:pPr>
          </w:p>
        </w:tc>
        <w:tc>
          <w:tcPr/>
          <w:p>
            <w:pPr>
              <w:pStyle w:val="Compact"/>
              <w:jc w:val="left"/>
            </w:pPr>
            <w:r>
              <w:t xml:space="preserve">Chronic Pain Management</w:t>
            </w:r>
          </w:p>
        </w:tc>
        <w:tc>
          <w:tcPr/>
          <w:p>
            <w:pPr>
              <w:pStyle w:val="Compact"/>
              <w:jc w:val="left"/>
            </w:pPr>
            <w:r>
              <w:t xml:space="preserve">Growing</w:t>
            </w:r>
            <w:r>
              <w:t xml:space="preserve"> </w:t>
            </w:r>
            <w:fldSimple w:instr="NOTEREF _Ref_Footnote_6 \h \f">
              <w:r>
                <w:rPr>
                  <w:vertAlign w:val="superscript"/>
                </w:rPr>
                <w:t>6</w:t>
              </w:r>
            </w:fldSimple>
          </w:p>
        </w:tc>
        <w:tc>
          <w:tcPr/>
          <w:p>
            <w:pPr>
              <w:pStyle w:val="Compact"/>
              <w:jc w:val="left"/>
            </w:pPr>
            <w:r>
              <w:t xml:space="preserve">Increasing evidence base; reimbursement improving</w:t>
            </w:r>
          </w:p>
        </w:tc>
      </w:tr>
      <w:tr>
        <w:tc>
          <w:tcPr/>
          <w:p>
            <w:pPr>
              <w:pStyle w:val="Compact"/>
            </w:pPr>
          </w:p>
        </w:tc>
        <w:tc>
          <w:tcPr/>
          <w:p>
            <w:pPr>
              <w:pStyle w:val="Compact"/>
              <w:jc w:val="left"/>
            </w:pPr>
            <w:r>
              <w:t xml:space="preserve">Physical Health Disorders</w:t>
            </w:r>
          </w:p>
        </w:tc>
        <w:tc>
          <w:tcPr/>
          <w:p>
            <w:pPr>
              <w:pStyle w:val="Compact"/>
              <w:jc w:val="left"/>
            </w:pPr>
            <w:r>
              <w:t xml:space="preserve">Smaller</w:t>
            </w:r>
            <w:r>
              <w:t xml:space="preserve"> </w:t>
            </w:r>
            <w:fldSimple w:instr="NOTEREF _Ref_Footnote_6 \h \f">
              <w:r>
                <w:rPr>
                  <w:vertAlign w:val="superscript"/>
                </w:rPr>
                <w:t>6</w:t>
              </w:r>
            </w:fldSimple>
          </w:p>
        </w:tc>
        <w:tc>
          <w:tcPr/>
          <w:p>
            <w:pPr>
              <w:pStyle w:val="Compact"/>
              <w:jc w:val="left"/>
            </w:pPr>
            <w:r>
              <w:t xml:space="preserve">Adjacent opportunity</w:t>
            </w:r>
          </w:p>
        </w:tc>
      </w:tr>
      <w:tr>
        <w:tc>
          <w:tcPr/>
          <w:p>
            <w:pPr>
              <w:pStyle w:val="Compact"/>
              <w:jc w:val="left"/>
            </w:pPr>
            <w:r>
              <w:rPr>
                <w:bCs/>
                <w:b/>
              </w:rPr>
              <w:t xml:space="preserve">By End User</w:t>
            </w:r>
          </w:p>
        </w:tc>
        <w:tc>
          <w:tcPr/>
          <w:p>
            <w:pPr>
              <w:pStyle w:val="Compact"/>
              <w:jc w:val="left"/>
            </w:pPr>
            <w:r>
              <w:t xml:space="preserve">Hospitals &amp; Clinics</w:t>
            </w:r>
          </w:p>
        </w:tc>
        <w:tc>
          <w:tcPr/>
          <w:p>
            <w:pPr>
              <w:pStyle w:val="Compact"/>
              <w:jc w:val="left"/>
            </w:pPr>
            <w:r>
              <w:t xml:space="preserve">31.8%</w:t>
            </w:r>
            <w:r>
              <w:t xml:space="preserve"> </w:t>
            </w:r>
            <w:fldSimple w:instr="NOTEREF _Ref_Footnote_1 \h \f">
              <w:r>
                <w:rPr>
                  <w:vertAlign w:val="superscript"/>
                </w:rPr>
                <w:t>1</w:t>
              </w:r>
            </w:fldSimple>
          </w:p>
        </w:tc>
        <w:tc>
          <w:tcPr/>
          <w:p>
            <w:pPr>
              <w:pStyle w:val="Compact"/>
              <w:jc w:val="left"/>
            </w:pPr>
            <w:r>
              <w:t xml:space="preserve">Institutional adoption limited by evidence gaps</w:t>
            </w:r>
          </w:p>
        </w:tc>
      </w:tr>
      <w:tr>
        <w:tc>
          <w:tcPr/>
          <w:p>
            <w:pPr>
              <w:pStyle w:val="Compact"/>
            </w:pPr>
          </w:p>
        </w:tc>
        <w:tc>
          <w:tcPr/>
          <w:p>
            <w:pPr>
              <w:pStyle w:val="Compact"/>
              <w:jc w:val="left"/>
            </w:pPr>
            <w:r>
              <w:t xml:space="preserve">Private Practices</w:t>
            </w:r>
          </w:p>
        </w:tc>
        <w:tc>
          <w:tcPr/>
          <w:p>
            <w:pPr>
              <w:pStyle w:val="Compact"/>
              <w:jc w:val="left"/>
            </w:pPr>
            <w:r>
              <w:t xml:space="preserve">Major channel</w:t>
            </w:r>
            <w:r>
              <w:t xml:space="preserve"> </w:t>
            </w:r>
            <w:fldSimple w:instr="NOTEREF _Ref_Footnote_6 \h \f">
              <w:r>
                <w:rPr>
                  <w:vertAlign w:val="superscript"/>
                </w:rPr>
                <w:t>6</w:t>
              </w:r>
            </w:fldSimple>
          </w:p>
        </w:tc>
        <w:tc>
          <w:tcPr/>
          <w:p>
            <w:pPr>
              <w:pStyle w:val="Compact"/>
              <w:jc w:val="left"/>
            </w:pPr>
            <w:r>
              <w:t xml:space="preserve">Core target: fragmented solo practitioners need platform tools</w:t>
            </w:r>
          </w:p>
        </w:tc>
      </w:tr>
      <w:tr>
        <w:tc>
          <w:tcPr/>
          <w:p>
            <w:pPr>
              <w:pStyle w:val="Compact"/>
            </w:pPr>
          </w:p>
        </w:tc>
        <w:tc>
          <w:tcPr/>
          <w:p>
            <w:pPr>
              <w:pStyle w:val="Compact"/>
              <w:jc w:val="left"/>
            </w:pPr>
            <w:r>
              <w:t xml:space="preserve">Wellness Centers</w:t>
            </w:r>
          </w:p>
        </w:tc>
        <w:tc>
          <w:tcPr/>
          <w:p>
            <w:pPr>
              <w:pStyle w:val="Compact"/>
              <w:jc w:val="left"/>
            </w:pPr>
            <w:r>
              <w:t xml:space="preserve">Fastest-growing</w:t>
            </w:r>
            <w:r>
              <w:t xml:space="preserve"> </w:t>
            </w:r>
            <w:fldSimple w:instr="NOTEREF _Ref_Footnote_6 \h \f">
              <w:r>
                <w:rPr>
                  <w:vertAlign w:val="superscript"/>
                </w:rPr>
                <w:t>6</w:t>
              </w:r>
            </w:fldSimple>
          </w:p>
        </w:tc>
        <w:tc>
          <w:tcPr/>
          <w:p>
            <w:pPr>
              <w:pStyle w:val="Compact"/>
              <w:jc w:val="left"/>
            </w:pPr>
            <w:r>
              <w:t xml:space="preserve">High-margin corporate contracts</w:t>
            </w:r>
          </w:p>
        </w:tc>
      </w:tr>
      <w:tr>
        <w:tc>
          <w:tcPr/>
          <w:p>
            <w:pPr>
              <w:pStyle w:val="Compact"/>
            </w:pPr>
          </w:p>
        </w:tc>
        <w:tc>
          <w:tcPr/>
          <w:p>
            <w:pPr>
              <w:pStyle w:val="Compact"/>
              <w:jc w:val="left"/>
            </w:pPr>
            <w:r>
              <w:t xml:space="preserve">Rehabilitation Centers</w:t>
            </w:r>
          </w:p>
        </w:tc>
        <w:tc>
          <w:tcPr/>
          <w:p>
            <w:pPr>
              <w:pStyle w:val="Compact"/>
              <w:jc w:val="left"/>
            </w:pPr>
            <w:r>
              <w:t xml:space="preserve">Smaller</w:t>
            </w:r>
            <w:r>
              <w:t xml:space="preserve"> </w:t>
            </w:r>
            <w:fldSimple w:instr="NOTEREF _Ref_Footnote_6 \h \f">
              <w:r>
                <w:rPr>
                  <w:vertAlign w:val="superscript"/>
                </w:rPr>
                <w:t>6</w:t>
              </w:r>
            </w:fldSimple>
          </w:p>
        </w:tc>
        <w:tc>
          <w:tcPr/>
          <w:p>
            <w:pPr>
              <w:pStyle w:val="Compact"/>
              <w:jc w:val="left"/>
            </w:pPr>
            <w:r>
              <w:t xml:space="preserve">Niche opportunity</w:t>
            </w:r>
          </w:p>
        </w:tc>
      </w:tr>
    </w:tbl>
    <w:p>
      <w:pPr>
        <w:pStyle w:val="BodyText"/>
      </w:pPr>
      <w:r>
        <w:t xml:space="preserve">The modality segmentation reveals a critical market structure: Sensorimotor Psychotherapy and Somatic Experiencing together account for 61.4% of the market, leaving movement-based modalities (including DMT) with the remaining roughly one-third</w:t>
      </w:r>
      <w:r>
        <w:t xml:space="preserve"> </w:t>
      </w:r>
      <w:fldSimple w:instr="NOTEREF _Ref_Footnote_1 \h \f">
        <w:r>
          <w:rPr>
            <w:vertAlign w:val="superscript"/>
          </w:rPr>
          <w:t>1</w:t>
        </w:r>
      </w:fldSimple>
      <w:r>
        <w:t xml:space="preserve"> </w:t>
      </w:r>
      <w:fldSimple w:instr="NOTEREF _Ref_Footnote_30 \h \f">
        <w:r>
          <w:rPr>
            <w:vertAlign w:val="superscript"/>
          </w:rPr>
          <w:t>30</w:t>
        </w:r>
      </w:fldSimple>
      <w:r>
        <w:t xml:space="preserve">. While DMT is a smaller slice, it is also the least digitally served—no platform currently optimizes for movement-based telehealth delivery—making it a structurally attractive wedge for market entry.</w:t>
      </w:r>
    </w:p>
    <w:bookmarkEnd w:id="101"/>
    <w:bookmarkStart w:id="105" w:name="adjacent-markets"/>
    <w:p>
      <w:pPr>
        <w:pStyle w:val="Heading4"/>
      </w:pPr>
      <w:r>
        <w:t xml:space="preserve">4.1.3 Adjacent Markets</w:t>
      </w:r>
    </w:p>
    <w:p>
      <w:pPr>
        <w:pStyle w:val="FirstParagraph"/>
      </w:pPr>
      <w:r>
        <w:t xml:space="preserve">Somatic therapy does not operate in isolation. It sits within a nested set of larger markets that collectively represent over $7 trillion in annual spending. Understanding these adjacent markets clarifies both the revenue ceiling and the partnership opportunities available to a somatic therapy platform.</w:t>
      </w:r>
    </w:p>
    <w:p>
      <w:pPr>
        <w:pStyle w:val="CaptionedFigure"/>
      </w:pPr>
      <w:r>
        <w:drawing>
          <wp:inline>
            <wp:extent cx="5334000" cy="3186641"/>
            <wp:effectExtent b="0" l="0" r="0" t="0"/>
            <wp:docPr descr="Adjacent Markets" title="" id="103" name="Picture"/>
            <a:graphic>
              <a:graphicData uri="http://schemas.openxmlformats.org/drawingml/2006/picture">
                <pic:pic>
                  <pic:nvPicPr>
                    <pic:cNvPr descr="/mnt/agents/output/chart_adjacent_markets.png" id="104" name="Picture"/>
                    <pic:cNvPicPr>
                      <a:picLocks noChangeArrowheads="1" noChangeAspect="1"/>
                    </pic:cNvPicPr>
                  </pic:nvPicPr>
                  <pic:blipFill>
                    <a:blip r:embed="rId102"/>
                    <a:stretch>
                      <a:fillRect/>
                    </a:stretch>
                  </pic:blipFill>
                  <pic:spPr bwMode="auto">
                    <a:xfrm>
                      <a:off x="0" y="0"/>
                      <a:ext cx="5334000" cy="3186641"/>
                    </a:xfrm>
                    <a:prstGeom prst="rect">
                      <a:avLst/>
                    </a:prstGeom>
                    <a:noFill/>
                    <a:ln w="9525">
                      <a:noFill/>
                      <a:headEnd/>
                      <a:tailEnd/>
                    </a:ln>
                  </pic:spPr>
                </pic:pic>
              </a:graphicData>
            </a:graphic>
          </wp:inline>
        </w:drawing>
      </w:r>
    </w:p>
    <w:p>
      <w:pPr>
        <w:pStyle w:val="ImageCaption"/>
      </w:pPr>
      <w:r>
        <w:t xml:space="preserve">Adjacent Markets</w:t>
      </w:r>
    </w:p>
    <w:p>
      <w:pPr>
        <w:pStyle w:val="BodyText"/>
      </w:pPr>
      <w:r>
        <w:rPr>
          <w:iCs/>
          <w:i/>
        </w:rPr>
        <w:t xml:space="preserve">Figure 4.2: Somatic therapy ($4.1B) in context of adjacent markets. The red dashed line indicates the somatic therapy market baseline for comparison. Sources: Global Wellness Institute</w:t>
      </w:r>
      <w:r>
        <w:rPr>
          <w:iCs/>
          <w:i/>
        </w:rPr>
        <w:t xml:space="preserve"> </w:t>
      </w:r>
      <w:fldSimple w:instr="NOTEREF _Ref_Footnote_4 \h \f">
        <w:r>
          <w:rPr>
            <w:vertAlign w:val="superscript"/>
          </w:rPr>
          <w:t>4</w:t>
        </w:r>
      </w:fldSimple>
      <w:r>
        <w:rPr>
          <w:iCs/>
          <w:i/>
        </w:rPr>
        <w:t xml:space="preserve"> </w:t>
      </w:r>
      <w:fldSimple w:instr="NOTEREF _Ref_Footnote_5 \h \f">
        <w:r>
          <w:rPr>
            <w:vertAlign w:val="superscript"/>
          </w:rPr>
          <w:t>5</w:t>
        </w:r>
      </w:fldSimple>
      <w:r>
        <w:rPr>
          <w:iCs/>
          <w:i/>
        </w:rPr>
        <w:t xml:space="preserve">, SNS Insider</w:t>
      </w:r>
      <w:r>
        <w:rPr>
          <w:iCs/>
          <w:i/>
        </w:rPr>
        <w:t xml:space="preserve"> </w:t>
      </w:r>
      <w:fldSimple w:instr="NOTEREF _Ref_Footnote_157 \h \f">
        <w:r>
          <w:rPr>
            <w:vertAlign w:val="superscript"/>
          </w:rPr>
          <w:t>157</w:t>
        </w:r>
      </w:fldSimple>
      <w:r>
        <w:rPr>
          <w:iCs/>
          <w:i/>
        </w:rPr>
        <w:t xml:space="preserve">, Grand View Research</w:t>
      </w:r>
      <w:r>
        <w:rPr>
          <w:iCs/>
          <w:i/>
        </w:rPr>
        <w:t xml:space="preserve"> </w:t>
      </w:r>
      <w:fldSimple w:instr="NOTEREF _Ref_Footnote_187 \h \f">
        <w:r>
          <w:rPr>
            <w:vertAlign w:val="superscript"/>
          </w:rPr>
          <w:t>187</w:t>
        </w:r>
      </w:fldSimple>
      <w:r>
        <w:rPr>
          <w:iCs/>
          <w:i/>
        </w:rPr>
        <w:t xml:space="preserve">, Dataintelo</w:t>
      </w:r>
      <w:r>
        <w:rPr>
          <w:iCs/>
          <w:i/>
        </w:rPr>
        <w:t xml:space="preserve"> </w:t>
      </w:r>
      <w:r>
        <w:rPr>
          <w:vertAlign w:val="superscript"/>
        </w:rPr>
        <w:footnoteReference w:id="198"/>
      </w:r>
      <w:r>
        <w:rPr>
          <w:iCs/>
          <w:i/>
        </w:rPr>
        <w:t xml:space="preserve">.</w:t>
      </w:r>
    </w:p>
    <w:p>
      <w:pPr>
        <w:pStyle w:val="BodyText"/>
      </w:pPr>
      <w:r>
        <w:t xml:space="preserve">The global wellness economy reached $6.8 trillion in 2024 and is projected to hit $9.8 trillion by 2029, growing at 7.6% annually</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Mental wellness is one of the fastest-growing sectors within this economy, expanding at 12.4% annually from 2019–2024 and projected at 10.1% through 2029</w:t>
      </w:r>
      <w:r>
        <w:t xml:space="preserve"> </w:t>
      </w:r>
      <w:fldSimple w:instr="NOTEREF _Ref_Footnote_4 \h \f">
        <w:r>
          <w:rPr>
            <w:vertAlign w:val="superscript"/>
          </w:rPr>
          <w:t>4</w:t>
        </w:r>
      </w:fldSimple>
      <w:r>
        <w:t xml:space="preserve">. The corporate wellness market—valued at $63–75 billion in 2024–2025 and growing at 4–6.4% CAGR—represents a particularly promising adjacent channel, with the</w:t>
      </w:r>
      <w:r>
        <w:t xml:space="preserve"> </w:t>
      </w:r>
      <w:r>
        <w:t xml:space="preserve">“</w:t>
      </w:r>
      <w:r>
        <w:t xml:space="preserve">Psychological Therapists</w:t>
      </w:r>
      <w:r>
        <w:t xml:space="preserve">”</w:t>
      </w:r>
      <w:r>
        <w:t xml:space="preserve"> </w:t>
      </w:r>
      <w:r>
        <w:t xml:space="preserve">sub-category (which includes somatic coaching) growing at 7.2% CAGR, the fastest within corporate wellness</w:t>
      </w:r>
      <w:r>
        <w:t xml:space="preserve"> </w:t>
      </w:r>
      <w:fldSimple w:instr="NOTEREF _Ref_Footnote_39 \h \f">
        <w:r>
          <w:rPr>
            <w:vertAlign w:val="superscript"/>
          </w:rPr>
          <w:t>39</w:t>
        </w:r>
      </w:fldSimple>
      <w:r>
        <w:t xml:space="preserve"> </w:t>
      </w:r>
      <w:fldSimple w:instr="NOTEREF _Ref_Footnote_40 \h \f">
        <w:r>
          <w:rPr>
            <w:vertAlign w:val="superscript"/>
          </w:rPr>
          <w:t>40</w:t>
        </w:r>
      </w:fldSimple>
      <w:r>
        <w:t xml:space="preserve"> </w:t>
      </w:r>
      <w:fldSimple w:instr="NOTEREF _Ref_Footnote_41 \h \f">
        <w:r>
          <w:rPr>
            <w:vertAlign w:val="superscript"/>
          </w:rPr>
          <w:t>41</w:t>
        </w:r>
      </w:fldSimple>
      <w:r>
        <w:t xml:space="preserve">. The mental health apps market ($9.61 billion in 2025, 16.73% CAGR) and telehealth/online therapy market ($5.1 billion in 2025, 14.8% CAGR) provide proven digital distribution models that a somatic platform can emulate</w:t>
      </w:r>
      <w:r>
        <w:t xml:space="preserve"> </w:t>
      </w:r>
      <w:fldSimple w:instr="NOTEREF _Ref_Footnote_157 \h \f">
        <w:r>
          <w:rPr>
            <w:vertAlign w:val="superscript"/>
          </w:rPr>
          <w:t>157</w:t>
        </w:r>
      </w:fldSimple>
      <w:r>
        <w:t xml:space="preserve"> </w:t>
      </w:r>
      <w:fldSimple w:instr="NOTEREF _Ref_Footnote_55 \h \f">
        <w:r>
          <w:rPr>
            <w:vertAlign w:val="superscript"/>
          </w:rPr>
          <w:t>55</w:t>
        </w:r>
      </w:fldSimple>
      <w:r>
        <w:t xml:space="preserve">.</w:t>
      </w:r>
    </w:p>
    <w:tbl>
      <w:tblPr>
        <w:tblStyle w:val="Table"/>
        <w:tblW w:type="pct" w:w="5000"/>
        <w:tblLook w:firstRow="1" w:lastRow="0" w:firstColumn="0" w:lastColumn="0" w:noHBand="0" w:noVBand="0" w:val="0020"/>
      </w:tblPr>
      <w:tblGrid>
        <w:gridCol w:w="2244"/>
        <w:gridCol w:w="2112"/>
        <w:gridCol w:w="2772"/>
        <w:gridCol w:w="792"/>
      </w:tblGrid>
      <w:tr>
        <w:trPr>
          <w:tblHeader w:val="true"/>
        </w:trPr>
        <w:tc>
          <w:tcPr/>
          <w:p>
            <w:pPr>
              <w:pStyle w:val="Compact"/>
              <w:jc w:val="left"/>
            </w:pPr>
            <w:r>
              <w:t xml:space="preserve">Adjacent Market</w:t>
            </w:r>
          </w:p>
        </w:tc>
        <w:tc>
          <w:tcPr/>
          <w:p>
            <w:pPr>
              <w:pStyle w:val="Compact"/>
              <w:jc w:val="left"/>
            </w:pPr>
            <w:r>
              <w:t xml:space="preserve">2024/2025 Size</w:t>
            </w:r>
          </w:p>
        </w:tc>
        <w:tc>
          <w:tcPr/>
          <w:p>
            <w:pPr>
              <w:pStyle w:val="Compact"/>
              <w:jc w:val="left"/>
            </w:pPr>
            <w:r>
              <w:t xml:space="preserve">2033–2035 Projection</w:t>
            </w:r>
          </w:p>
        </w:tc>
        <w:tc>
          <w:tcPr/>
          <w:p>
            <w:pPr>
              <w:pStyle w:val="Compact"/>
              <w:jc w:val="left"/>
            </w:pPr>
            <w:r>
              <w:t xml:space="preserve">CAGR</w:t>
            </w:r>
          </w:p>
        </w:tc>
      </w:tr>
      <w:tr>
        <w:tc>
          <w:tcPr/>
          <w:p>
            <w:pPr>
              <w:pStyle w:val="Compact"/>
              <w:jc w:val="left"/>
            </w:pPr>
            <w:r>
              <w:t xml:space="preserve">Global Wellness Economy</w:t>
            </w:r>
          </w:p>
        </w:tc>
        <w:tc>
          <w:tcPr/>
          <w:p>
            <w:pPr>
              <w:pStyle w:val="Compact"/>
              <w:jc w:val="left"/>
            </w:pPr>
            <w:r>
              <w:t xml:space="preserve">$6.8T (2024)</w:t>
            </w:r>
            <w:r>
              <w:t xml:space="preserve"> </w:t>
            </w:r>
            <w:fldSimple w:instr="NOTEREF _Ref_Footnote_5 \h \f">
              <w:r>
                <w:rPr>
                  <w:vertAlign w:val="superscript"/>
                </w:rPr>
                <w:t>5</w:t>
              </w:r>
            </w:fldSimple>
          </w:p>
        </w:tc>
        <w:tc>
          <w:tcPr/>
          <w:p>
            <w:pPr>
              <w:pStyle w:val="Compact"/>
              <w:jc w:val="left"/>
            </w:pPr>
            <w:r>
              <w:t xml:space="preserve">$9.8T (2029)</w:t>
            </w:r>
            <w:r>
              <w:t xml:space="preserve"> </w:t>
            </w:r>
            <w:fldSimple w:instr="NOTEREF _Ref_Footnote_4 \h \f">
              <w:r>
                <w:rPr>
                  <w:vertAlign w:val="superscript"/>
                </w:rPr>
                <w:t>4</w:t>
              </w:r>
            </w:fldSimple>
          </w:p>
        </w:tc>
        <w:tc>
          <w:tcPr/>
          <w:p>
            <w:pPr>
              <w:pStyle w:val="Compact"/>
              <w:jc w:val="left"/>
            </w:pPr>
            <w:r>
              <w:t xml:space="preserve">7.6%</w:t>
            </w:r>
          </w:p>
        </w:tc>
      </w:tr>
      <w:tr>
        <w:tc>
          <w:tcPr/>
          <w:p>
            <w:pPr>
              <w:pStyle w:val="Compact"/>
              <w:jc w:val="left"/>
            </w:pPr>
            <w:r>
              <w:t xml:space="preserve">Digital Mental Health (proj.)</w:t>
            </w:r>
          </w:p>
        </w:tc>
        <w:tc>
          <w:tcPr/>
          <w:p>
            <w:pPr>
              <w:pStyle w:val="Compact"/>
              <w:jc w:val="left"/>
            </w:pPr>
            <w:r>
              <w:t xml:space="preserve">—</w:t>
            </w:r>
          </w:p>
        </w:tc>
        <w:tc>
          <w:tcPr/>
          <w:p>
            <w:pPr>
              <w:pStyle w:val="Compact"/>
              <w:jc w:val="left"/>
            </w:pPr>
            <w:r>
              <w:t xml:space="preserve">$455B (2034)</w:t>
            </w:r>
            <w:r>
              <w:t xml:space="preserve"> </w:t>
            </w:r>
            <w:fldSimple w:instr="NOTEREF _Ref_Footnote_157 \h \f">
              <w:r>
                <w:rPr>
                  <w:vertAlign w:val="superscript"/>
                </w:rPr>
                <w:t>157</w:t>
              </w:r>
            </w:fldSimple>
          </w:p>
        </w:tc>
        <w:tc>
          <w:tcPr/>
          <w:p>
            <w:pPr>
              <w:pStyle w:val="Compact"/>
              <w:jc w:val="left"/>
            </w:pPr>
            <w:r>
              <w:t xml:space="preserve">~16%</w:t>
            </w:r>
          </w:p>
        </w:tc>
      </w:tr>
      <w:tr>
        <w:tc>
          <w:tcPr/>
          <w:p>
            <w:pPr>
              <w:pStyle w:val="Compact"/>
              <w:jc w:val="left"/>
            </w:pPr>
            <w:r>
              <w:t xml:space="preserve">Corporate Wellness</w:t>
            </w:r>
          </w:p>
        </w:tc>
        <w:tc>
          <w:tcPr/>
          <w:p>
            <w:pPr>
              <w:pStyle w:val="Compact"/>
              <w:jc w:val="left"/>
            </w:pPr>
            <w:r>
              <w:t xml:space="preserve">$63–75B</w:t>
            </w:r>
            <w:r>
              <w:t xml:space="preserve"> </w:t>
            </w:r>
            <w:fldSimple w:instr="NOTEREF _Ref_Footnote_39 \h \f">
              <w:r>
                <w:rPr>
                  <w:vertAlign w:val="superscript"/>
                </w:rPr>
                <w:t>39</w:t>
              </w:r>
            </w:fldSimple>
            <w:r>
              <w:t xml:space="preserve"> </w:t>
            </w:r>
            <w:fldSimple w:instr="NOTEREF _Ref_Footnote_41 \h \f">
              <w:r>
                <w:rPr>
                  <w:vertAlign w:val="superscript"/>
                </w:rPr>
                <w:t>41</w:t>
              </w:r>
            </w:fldSimple>
          </w:p>
        </w:tc>
        <w:tc>
          <w:tcPr/>
          <w:p>
            <w:pPr>
              <w:pStyle w:val="Compact"/>
              <w:jc w:val="left"/>
            </w:pPr>
            <w:r>
              <w:t xml:space="preserve">$92–129.5B (2030–2034)</w:t>
            </w:r>
            <w:r>
              <w:t xml:space="preserve"> </w:t>
            </w:r>
            <w:fldSimple w:instr="NOTEREF _Ref_Footnote_39 \h \f">
              <w:r>
                <w:rPr>
                  <w:vertAlign w:val="superscript"/>
                </w:rPr>
                <w:t>39</w:t>
              </w:r>
            </w:fldSimple>
          </w:p>
        </w:tc>
        <w:tc>
          <w:tcPr/>
          <w:p>
            <w:pPr>
              <w:pStyle w:val="Compact"/>
              <w:jc w:val="left"/>
            </w:pPr>
            <w:r>
              <w:t xml:space="preserve">4–6.4%</w:t>
            </w:r>
          </w:p>
        </w:tc>
      </w:tr>
      <w:tr>
        <w:tc>
          <w:tcPr/>
          <w:p>
            <w:pPr>
              <w:pStyle w:val="Compact"/>
              <w:jc w:val="left"/>
            </w:pPr>
            <w:r>
              <w:t xml:space="preserve">Mental Health Apps</w:t>
            </w:r>
          </w:p>
        </w:tc>
        <w:tc>
          <w:tcPr/>
          <w:p>
            <w:pPr>
              <w:pStyle w:val="Compact"/>
              <w:jc w:val="left"/>
            </w:pPr>
            <w:r>
              <w:t xml:space="preserve">$9.61B</w:t>
            </w:r>
            <w:r>
              <w:t xml:space="preserve"> </w:t>
            </w:r>
            <w:fldSimple w:instr="NOTEREF _Ref_Footnote_157 \h \f">
              <w:r>
                <w:rPr>
                  <w:vertAlign w:val="superscript"/>
                </w:rPr>
                <w:t>157</w:t>
              </w:r>
            </w:fldSimple>
          </w:p>
        </w:tc>
        <w:tc>
          <w:tcPr/>
          <w:p>
            <w:pPr>
              <w:pStyle w:val="Compact"/>
              <w:jc w:val="left"/>
            </w:pPr>
            <w:r>
              <w:t xml:space="preserve">$45.12B (2035)</w:t>
            </w:r>
            <w:r>
              <w:t xml:space="preserve"> </w:t>
            </w:r>
            <w:fldSimple w:instr="NOTEREF _Ref_Footnote_157 \h \f">
              <w:r>
                <w:rPr>
                  <w:vertAlign w:val="superscript"/>
                </w:rPr>
                <w:t>157</w:t>
              </w:r>
            </w:fldSimple>
          </w:p>
        </w:tc>
        <w:tc>
          <w:tcPr/>
          <w:p>
            <w:pPr>
              <w:pStyle w:val="Compact"/>
              <w:jc w:val="left"/>
            </w:pPr>
            <w:r>
              <w:t xml:space="preserve">16.73%</w:t>
            </w:r>
          </w:p>
        </w:tc>
      </w:tr>
      <w:tr>
        <w:tc>
          <w:tcPr/>
          <w:p>
            <w:pPr>
              <w:pStyle w:val="Compact"/>
              <w:jc w:val="left"/>
            </w:pPr>
            <w:r>
              <w:t xml:space="preserve">Telehealth / Online Therapy</w:t>
            </w:r>
          </w:p>
        </w:tc>
        <w:tc>
          <w:tcPr/>
          <w:p>
            <w:pPr>
              <w:pStyle w:val="Compact"/>
              <w:jc w:val="left"/>
            </w:pPr>
            <w:r>
              <w:t xml:space="preserve">$5.1B</w:t>
            </w:r>
            <w:r>
              <w:t xml:space="preserve"> </w:t>
            </w:r>
            <w:fldSimple w:instr="NOTEREF _Ref_Footnote_55 \h \f">
              <w:r>
                <w:rPr>
                  <w:vertAlign w:val="superscript"/>
                </w:rPr>
                <w:t>55</w:t>
              </w:r>
            </w:fldSimple>
          </w:p>
        </w:tc>
        <w:tc>
          <w:tcPr/>
          <w:p>
            <w:pPr>
              <w:pStyle w:val="Compact"/>
              <w:jc w:val="left"/>
            </w:pPr>
            <w:r>
              <w:t xml:space="preserve">$17.6B (2035)</w:t>
            </w:r>
            <w:r>
              <w:t xml:space="preserve"> </w:t>
            </w:r>
            <w:fldSimple w:instr="NOTEREF _Ref_Footnote_55 \h \f">
              <w:r>
                <w:rPr>
                  <w:vertAlign w:val="superscript"/>
                </w:rPr>
                <w:t>55</w:t>
              </w:r>
            </w:fldSimple>
          </w:p>
        </w:tc>
        <w:tc>
          <w:tcPr/>
          <w:p>
            <w:pPr>
              <w:pStyle w:val="Compact"/>
              <w:jc w:val="left"/>
            </w:pPr>
            <w:r>
              <w:t xml:space="preserve">14.8%</w:t>
            </w:r>
          </w:p>
        </w:tc>
      </w:tr>
      <w:tr>
        <w:tc>
          <w:tcPr/>
          <w:p>
            <w:pPr>
              <w:pStyle w:val="Compact"/>
              <w:jc w:val="left"/>
            </w:pPr>
            <w:r>
              <w:t xml:space="preserve">Digital Therapeutics (Mental Health)</w:t>
            </w:r>
          </w:p>
        </w:tc>
        <w:tc>
          <w:tcPr/>
          <w:p>
            <w:pPr>
              <w:pStyle w:val="Compact"/>
              <w:jc w:val="left"/>
            </w:pPr>
            <w:r>
              <w:t xml:space="preserve">$3.74B</w:t>
            </w:r>
            <w:r>
              <w:t xml:space="preserve"> </w:t>
            </w:r>
            <w:fldSimple w:instr="NOTEREF _Ref_Footnote_59 \h \f">
              <w:r>
                <w:rPr>
                  <w:vertAlign w:val="superscript"/>
                </w:rPr>
                <w:t>59</w:t>
              </w:r>
            </w:fldSimple>
          </w:p>
        </w:tc>
        <w:tc>
          <w:tcPr/>
          <w:p>
            <w:pPr>
              <w:pStyle w:val="Compact"/>
              <w:jc w:val="left"/>
            </w:pPr>
            <w:r>
              <w:t xml:space="preserve">$24.42B (2035)</w:t>
            </w:r>
            <w:r>
              <w:t xml:space="preserve"> </w:t>
            </w:r>
            <w:fldSimple w:instr="NOTEREF _Ref_Footnote_59 \h \f">
              <w:r>
                <w:rPr>
                  <w:vertAlign w:val="superscript"/>
                </w:rPr>
                <w:t>59</w:t>
              </w:r>
            </w:fldSimple>
          </w:p>
        </w:tc>
        <w:tc>
          <w:tcPr/>
          <w:p>
            <w:pPr>
              <w:pStyle w:val="Compact"/>
              <w:jc w:val="left"/>
            </w:pPr>
            <w:r>
              <w:t xml:space="preserve">20.64%</w:t>
            </w:r>
          </w:p>
        </w:tc>
      </w:tr>
      <w:tr>
        <w:tc>
          <w:tcPr/>
          <w:p>
            <w:pPr>
              <w:pStyle w:val="Compact"/>
              <w:jc w:val="left"/>
            </w:pPr>
            <w:r>
              <w:t xml:space="preserve">EAP Services</w:t>
            </w:r>
          </w:p>
        </w:tc>
        <w:tc>
          <w:tcPr/>
          <w:p>
            <w:pPr>
              <w:pStyle w:val="Compact"/>
              <w:jc w:val="left"/>
            </w:pPr>
            <w:r>
              <w:t xml:space="preserve">$9.3B</w:t>
            </w:r>
            <w:r>
              <w:t xml:space="preserve"> </w:t>
            </w:r>
            <w:fldSimple w:instr="NOTEREF _Ref_Footnote_198 \h \f">
              <w:r>
                <w:rPr>
                  <w:vertAlign w:val="superscript"/>
                </w:rPr>
                <w:t>198</w:t>
              </w:r>
            </w:fldSimple>
          </w:p>
        </w:tc>
        <w:tc>
          <w:tcPr/>
          <w:p>
            <w:pPr>
              <w:pStyle w:val="Compact"/>
              <w:jc w:val="left"/>
            </w:pPr>
            <w:r>
              <w:t xml:space="preserve">$18.7B (2034)</w:t>
            </w:r>
            <w:r>
              <w:t xml:space="preserve"> </w:t>
            </w:r>
            <w:fldSimple w:instr="NOTEREF _Ref_Footnote_198 \h \f">
              <w:r>
                <w:rPr>
                  <w:vertAlign w:val="superscript"/>
                </w:rPr>
                <w:t>198</w:t>
              </w:r>
            </w:fldSimple>
          </w:p>
        </w:tc>
        <w:tc>
          <w:tcPr/>
          <w:p>
            <w:pPr>
              <w:pStyle w:val="Compact"/>
              <w:jc w:val="left"/>
            </w:pPr>
            <w:r>
              <w:t xml:space="preserve">8.1%</w:t>
            </w:r>
          </w:p>
        </w:tc>
      </w:tr>
      <w:tr>
        <w:tc>
          <w:tcPr/>
          <w:p>
            <w:pPr>
              <w:pStyle w:val="Compact"/>
              <w:jc w:val="left"/>
            </w:pPr>
            <w:r>
              <w:t xml:space="preserve">Wellness Tourism</w:t>
            </w:r>
          </w:p>
        </w:tc>
        <w:tc>
          <w:tcPr/>
          <w:p>
            <w:pPr>
              <w:pStyle w:val="Compact"/>
              <w:jc w:val="left"/>
            </w:pPr>
            <w:r>
              <w:t xml:space="preserve">$525.4B</w:t>
            </w:r>
            <w:r>
              <w:t xml:space="preserve"> </w:t>
            </w:r>
            <w:r>
              <w:rPr>
                <w:vertAlign w:val="superscript"/>
              </w:rPr>
              <w:footnoteReference w:id="199"/>
            </w:r>
          </w:p>
        </w:tc>
        <w:tc>
          <w:tcPr/>
          <w:p>
            <w:pPr>
              <w:pStyle w:val="Compact"/>
              <w:jc w:val="left"/>
            </w:pPr>
            <w:r>
              <w:t xml:space="preserve">$910.4B (2030)</w:t>
            </w:r>
            <w:r>
              <w:t xml:space="preserve"> </w:t>
            </w:r>
            <w:fldSimple w:instr="NOTEREF _Ref_Footnote_199 \h \f">
              <w:r>
                <w:rPr>
                  <w:vertAlign w:val="superscript"/>
                </w:rPr>
                <w:t>199</w:t>
              </w:r>
            </w:fldSimple>
          </w:p>
        </w:tc>
        <w:tc>
          <w:tcPr/>
          <w:p>
            <w:pPr>
              <w:pStyle w:val="Compact"/>
              <w:jc w:val="left"/>
            </w:pPr>
            <w:r>
              <w:t xml:space="preserve">11.62%</w:t>
            </w:r>
          </w:p>
        </w:tc>
      </w:tr>
    </w:tbl>
    <w:p>
      <w:pPr>
        <w:pStyle w:val="BodyText"/>
      </w:pPr>
      <w:r>
        <w:t xml:space="preserve">The strategic implication is clear: somatic therapy’s $4.1 billion market may appear modest against the $6.8 trillion wellness economy, but the 16.8–17.7% growth rate positions it as a high-growth segment within a massive ecosystem. A platform that captures value from the intersection of somatic therapy with corporate wellness, mental health apps, and telehealth can access revenue pools orders of magnitude larger than the core somatic market alone.</w:t>
      </w:r>
    </w:p>
    <w:bookmarkEnd w:id="105"/>
    <w:bookmarkEnd w:id="106"/>
    <w:bookmarkStart w:id="113" w:name="regional-analysis"/>
    <w:p>
      <w:pPr>
        <w:pStyle w:val="Heading3"/>
      </w:pPr>
      <w:r>
        <w:t xml:space="preserve">4.2 Regional Analysis</w:t>
      </w:r>
    </w:p>
    <w:bookmarkStart w:id="107" w:name="Xa34ad26933c9b543a29dcf84f011fca35da726c"/>
    <w:p>
      <w:pPr>
        <w:pStyle w:val="Heading4"/>
      </w:pPr>
      <w:r>
        <w:t xml:space="preserve">4.2.1 North America: Market Leader with Infrastructure Depth</w:t>
      </w:r>
    </w:p>
    <w:p>
      <w:pPr>
        <w:pStyle w:val="FirstParagraph"/>
      </w:pPr>
      <w:r>
        <w:t xml:space="preserve">North America commands a 36.7% share of the global somatic therapy market, the largest of any region</w:t>
      </w:r>
      <w:r>
        <w:t xml:space="preserve"> </w:t>
      </w:r>
      <w:fldSimple w:instr="NOTEREF _Ref_Footnote_1 \h \f">
        <w:r>
          <w:rPr>
            <w:vertAlign w:val="superscript"/>
          </w:rPr>
          <w:t>1</w:t>
        </w:r>
      </w:fldSimple>
      <w:r>
        <w:t xml:space="preserve">. The United States dominates within the region, driven by several structural advantages: a well-established healthcare infrastructure with high per-capita health expenditure; the global headquarters of all major somatic therapy training organizations (Somatic Experiencing International, Hakomi Institute, Sensorimotor Psychotherapy Institute); and the world’s highest density of board-certified practitioners</w:t>
      </w:r>
      <w:r>
        <w:t xml:space="preserve"> </w:t>
      </w:r>
      <w:fldSimple w:instr="NOTEREF _Ref_Footnote_1 \h \f">
        <w:r>
          <w:rPr>
            <w:vertAlign w:val="superscript"/>
          </w:rPr>
          <w:t>1</w:t>
        </w:r>
      </w:fldSimple>
      <w:r>
        <w:t xml:space="preserve"> </w:t>
      </w:r>
      <w:r>
        <w:rPr>
          <w:vertAlign w:val="superscript"/>
        </w:rPr>
        <w:footnoteReference w:id="200"/>
      </w:r>
      <w:r>
        <w:t xml:space="preserve">.</w:t>
      </w:r>
    </w:p>
    <w:p>
      <w:pPr>
        <w:pStyle w:val="BodyText"/>
      </w:pPr>
      <w:r>
        <w:t xml:space="preserve">The U.S. market is further supported by favorable demand fundamentals. One in five U.S. adults lives with a mental illness, and nearly 44% of high school students reported experiencing hopelessness as of mid-2023</w:t>
      </w:r>
      <w:r>
        <w:t xml:space="preserve"> </w:t>
      </w:r>
      <w:fldSimple w:instr="NOTEREF _Ref_Footnote_1 \h \f">
        <w:r>
          <w:rPr>
            <w:vertAlign w:val="superscript"/>
          </w:rPr>
          <w:t>1</w:t>
        </w:r>
      </w:fldSimple>
      <w:r>
        <w:t xml:space="preserve"> </w:t>
      </w:r>
      <w:fldSimple w:instr="NOTEREF _Ref_Footnote_55 \h \f">
        <w:r>
          <w:rPr>
            <w:vertAlign w:val="superscript"/>
          </w:rPr>
          <w:t>55</w:t>
        </w:r>
      </w:fldSimple>
      <w:r>
        <w:t xml:space="preserve">. The U.S. behavioral health market overall was valued at $96.9 billion in 2025 and is projected to reach $159.35 billion by 2035</w:t>
      </w:r>
      <w:r>
        <w:t xml:space="preserve"> </w:t>
      </w:r>
      <w:r>
        <w:rPr>
          <w:vertAlign w:val="superscript"/>
        </w:rPr>
        <w:footnoteReference w:id="201"/>
      </w:r>
      <w:r>
        <w:t xml:space="preserve">. Critically, North America also leads in reimbursement infrastructure innovation: platforms such as Headway ($2.3 billion valuation) and Grow Therapy ($3 billion valuation, $1 billion revenue) have proven that insurance-enabled therapist marketplaces can achieve venture-scale outcomes</w:t>
      </w:r>
      <w:r>
        <w:t xml:space="preserve"> </w:t>
      </w:r>
      <w:r>
        <w:rPr>
          <w:vertAlign w:val="superscript"/>
        </w:rPr>
        <w:footnoteReference w:id="202"/>
      </w:r>
      <w:r>
        <w:t xml:space="preserve"> </w:t>
      </w:r>
      <w:fldSimple w:instr="NOTEREF _Ref_Footnote_9 \h \f">
        <w:r>
          <w:rPr>
            <w:vertAlign w:val="superscript"/>
          </w:rPr>
          <w:t>9</w:t>
        </w:r>
      </w:fldSimple>
      <w:r>
        <w:t xml:space="preserve">.</w:t>
      </w:r>
    </w:p>
    <w:p>
      <w:pPr>
        <w:pStyle w:val="BodyText"/>
      </w:pPr>
      <w:r>
        <w:t xml:space="preserve">Canada adds meaningful incremental demand: 30.5% of Canadians have used some form of complementary therapy, including somatic practices, in the past year</w:t>
      </w:r>
      <w:r>
        <w:t xml:space="preserve"> </w:t>
      </w:r>
      <w:fldSimple w:instr="NOTEREF _Ref_Footnote_1 \h \f">
        <w:r>
          <w:rPr>
            <w:vertAlign w:val="superscript"/>
          </w:rPr>
          <w:t>1</w:t>
        </w:r>
      </w:fldSimple>
      <w:r>
        <w:t xml:space="preserve">. The North American region also leads in practitioner training pipeline capacity, though as Section 4.4 will detail, this pipeline remains insufficient to meet projected demand.</w:t>
      </w:r>
    </w:p>
    <w:bookmarkEnd w:id="107"/>
    <w:bookmarkStart w:id="108" w:name="X9b2edda34d646cef80872b393afa8f1367a6e8f"/>
    <w:p>
      <w:pPr>
        <w:pStyle w:val="Heading4"/>
      </w:pPr>
      <w:r>
        <w:t xml:space="preserve">4.2.2 Europe: Body-Oriented Psychotherapy and NHS Integration</w:t>
      </w:r>
    </w:p>
    <w:p>
      <w:pPr>
        <w:pStyle w:val="FirstParagraph"/>
      </w:pPr>
      <w:r>
        <w:t xml:space="preserve">Europe holds the second-largest regional share at approximately 20–25% of the global market</w:t>
      </w:r>
      <w:r>
        <w:t xml:space="preserve"> </w:t>
      </w:r>
      <w:fldSimple w:instr="NOTEREF _Ref_Footnote_194 \h \f">
        <w:r>
          <w:rPr>
            <w:vertAlign w:val="superscript"/>
          </w:rPr>
          <w:t>194</w:t>
        </w:r>
      </w:fldSimple>
      <w:r>
        <w:t xml:space="preserve"> </w:t>
      </w:r>
      <w:fldSimple w:instr="NOTEREF _Ref_Footnote_74 \h \f">
        <w:r>
          <w:rPr>
            <w:vertAlign w:val="superscript"/>
          </w:rPr>
          <w:t>74</w:t>
        </w:r>
      </w:fldSimple>
      <w:r>
        <w:t xml:space="preserve">. The body-oriented psychotherapy market—Europe’s preferred taxonomy for somatic clinical work—was valued at $2.5 billion in 2024 and is projected to reach $4.7 billion by 2032 at a 14.20% CAGR</w:t>
      </w:r>
      <w:r>
        <w:t xml:space="preserve"> </w:t>
      </w:r>
      <w:r>
        <w:rPr>
          <w:vertAlign w:val="superscript"/>
        </w:rPr>
        <w:footnoteReference w:id="203"/>
      </w:r>
      <w:r>
        <w:t xml:space="preserve">. Europe leads the global corporate wellness market with a 39.5% revenue share in 2025, creating a natural B2B channel for somatic platform expansion</w:t>
      </w:r>
      <w:r>
        <w:t xml:space="preserve"> </w:t>
      </w:r>
      <w:fldSimple w:instr="NOTEREF _Ref_Footnote_39 \h \f">
        <w:r>
          <w:rPr>
            <w:vertAlign w:val="superscript"/>
          </w:rPr>
          <w:t>39</w:t>
        </w:r>
      </w:fldSimple>
      <w:r>
        <w:t xml:space="preserve">.</w:t>
      </w:r>
    </w:p>
    <w:p>
      <w:pPr>
        <w:pStyle w:val="BodyText"/>
      </w:pPr>
      <w:r>
        <w:t xml:space="preserve">The United Kingdom is the fastest-growing country in Europe for somatic therapy</w:t>
      </w:r>
      <w:r>
        <w:t xml:space="preserve"> </w:t>
      </w:r>
      <w:fldSimple w:instr="NOTEREF _Ref_Footnote_194 \h \f">
        <w:r>
          <w:rPr>
            <w:vertAlign w:val="superscript"/>
          </w:rPr>
          <w:t>194</w:t>
        </w:r>
      </w:fldSimple>
      <w:r>
        <w:t xml:space="preserve">. In March 2023, the National Health Service (NHS) launched initiatives incorporating digitally enabled therapies into treatment plans for anxiety and depression</w:t>
      </w:r>
      <w:r>
        <w:t xml:space="preserve"> </w:t>
      </w:r>
      <w:fldSimple w:instr="NOTEREF _Ref_Footnote_1 \h \f">
        <w:r>
          <w:rPr>
            <w:vertAlign w:val="superscript"/>
          </w:rPr>
          <w:t>1</w:t>
        </w:r>
      </w:fldSimple>
      <w:r>
        <w:t xml:space="preserve">. The UK alternative medicines market reached $6.45 billion in 2025, with 92% of the British public wanting alternative therapies listed by the NHS</w:t>
      </w:r>
      <w:r>
        <w:t xml:space="preserve"> </w:t>
      </w:r>
      <w:r>
        <w:rPr>
          <w:vertAlign w:val="superscript"/>
        </w:rPr>
        <w:footnoteReference w:id="204"/>
      </w:r>
      <w:r>
        <w:t xml:space="preserve"> </w:t>
      </w:r>
      <w:r>
        <w:rPr>
          <w:vertAlign w:val="superscript"/>
        </w:rPr>
        <w:footnoteReference w:id="205"/>
      </w:r>
      <w:r>
        <w:t xml:space="preserve">. The European Body-Psychotherapy Association (EABP) maintains approximately 777 members across 10 national associations, with Germany (282 members) and Greece (106 members) representing the largest practitioner concentrations</w:t>
      </w:r>
      <w:r>
        <w:t xml:space="preserve"> </w:t>
      </w:r>
      <w:fldSimple w:instr="NOTEREF _Ref_Footnote_14 \h \f">
        <w:r>
          <w:rPr>
            <w:vertAlign w:val="superscript"/>
          </w:rPr>
          <w:t>14</w:t>
        </w:r>
      </w:fldSimple>
      <w:r>
        <w:t xml:space="preserve">. Germany, France, Italy, Switzerland, and the Netherlands constitute the core continental European markets</w:t>
      </w:r>
      <w:r>
        <w:t xml:space="preserve"> </w:t>
      </w:r>
      <w:fldSimple w:instr="NOTEREF _Ref_Footnote_6 \h \f">
        <w:r>
          <w:rPr>
            <w:vertAlign w:val="superscript"/>
          </w:rPr>
          <w:t>6</w:t>
        </w:r>
      </w:fldSimple>
      <w:r>
        <w:t xml:space="preserve"> </w:t>
      </w:r>
      <w:fldSimple w:instr="NOTEREF _Ref_Footnote_203 \h \f">
        <w:r>
          <w:rPr>
            <w:vertAlign w:val="superscript"/>
          </w:rPr>
          <w:t>203</w:t>
        </w:r>
      </w:fldSimple>
      <w:r>
        <w:t xml:space="preserve">.</w:t>
      </w:r>
    </w:p>
    <w:p>
      <w:pPr>
        <w:pStyle w:val="BodyText"/>
      </w:pPr>
      <w:r>
        <w:t xml:space="preserve">The European regulatory environment presents both opportunities and constraints. The EU Occupational Safety and Health Strategy 2021–2027 explicitly addresses psychosocial risks, creating a policy tailwind for workplace mental health interventions</w:t>
      </w:r>
      <w:r>
        <w:t xml:space="preserve"> </w:t>
      </w:r>
      <w:fldSimple w:instr="NOTEREF _Ref_Footnote_198 \h \f">
        <w:r>
          <w:rPr>
            <w:vertAlign w:val="superscript"/>
          </w:rPr>
          <w:t>198</w:t>
        </w:r>
      </w:fldSimple>
      <w:r>
        <w:t xml:space="preserve">. However, the lack of unified licensure across EU member states complicates cross-border platform operations, a challenge examined in Section 4.4.</w:t>
      </w:r>
    </w:p>
    <w:bookmarkEnd w:id="108"/>
    <w:bookmarkStart w:id="112" w:name="X7e2c83553d374671e1b58cadd035cba9c2d4a25"/>
    <w:p>
      <w:pPr>
        <w:pStyle w:val="Heading4"/>
      </w:pPr>
      <w:r>
        <w:t xml:space="preserve">4.2.3 Asia-Pacific: Fastest Growth with Cultural Adaptation Opportunities</w:t>
      </w:r>
    </w:p>
    <w:p>
      <w:pPr>
        <w:pStyle w:val="FirstParagraph"/>
      </w:pPr>
      <w:r>
        <w:t xml:space="preserve">Asia-Pacific accounts for 30.2% of the global somatic therapy market and is projected to be the fastest-growing region through 2035</w:t>
      </w:r>
      <w:r>
        <w:t xml:space="preserve"> </w:t>
      </w:r>
      <w:fldSimple w:instr="NOTEREF _Ref_Footnote_1 \h \f">
        <w:r>
          <w:rPr>
            <w:vertAlign w:val="superscript"/>
          </w:rPr>
          <w:t>1</w:t>
        </w:r>
      </w:fldSimple>
      <w:r>
        <w:t xml:space="preserve">. Several factors drive this acceleration: growing medical tourism, rising disease prevalence, increasing awareness of novel treatments, and government healthcare investments across the region</w:t>
      </w:r>
      <w:r>
        <w:t xml:space="preserve"> </w:t>
      </w:r>
      <w:fldSimple w:instr="NOTEREF _Ref_Footnote_1 \h \f">
        <w:r>
          <w:rPr>
            <w:vertAlign w:val="superscript"/>
          </w:rPr>
          <w:t>1</w:t>
        </w:r>
      </w:fldSimple>
      <w:r>
        <w:t xml:space="preserve">.</w:t>
      </w:r>
    </w:p>
    <w:p>
      <w:pPr>
        <w:pStyle w:val="BodyText"/>
      </w:pPr>
      <w:r>
        <w:t xml:space="preserve">India represents a particularly compelling long-term opportunity. With a population of 1.4 billion and a deep cultural tradition of body-based wellness practices (yoga, Ayurveda), India offers both a massive addressable market and a natural integration point for somatic approaches. In January 2025, ParamYoga launched India’s first Somatic Vedic Yoga Educator Programme, signaling the beginning of formal East-West somatic integration</w:t>
      </w:r>
      <w:r>
        <w:t xml:space="preserve"> </w:t>
      </w:r>
      <w:fldSimple w:instr="NOTEREF _Ref_Footnote_3 \h \f">
        <w:r>
          <w:rPr>
            <w:vertAlign w:val="superscript"/>
          </w:rPr>
          <w:t>3</w:t>
        </w:r>
      </w:fldSimple>
      <w:r>
        <w:t xml:space="preserve">. India leads the Asia-Pacific corporate wellness market with a 25.4% regional share, while China follows at 20.3%</w:t>
      </w:r>
      <w:r>
        <w:t xml:space="preserve"> </w:t>
      </w:r>
      <w:r>
        <w:rPr>
          <w:vertAlign w:val="superscript"/>
        </w:rPr>
        <w:footnoteReference w:id="206"/>
      </w:r>
      <w:r>
        <w:t xml:space="preserve">. Over 70% of employees in major Chinese cities report work-related stress, and China has emerged as a global leader in DMT research—particularly in network meta-analyses of culturally-adapted dance movement interventions for depression</w:t>
      </w:r>
      <w:r>
        <w:t xml:space="preserve"> </w:t>
      </w:r>
      <w:fldSimple w:instr="NOTEREF _Ref_Footnote_206 \h \f">
        <w:r>
          <w:rPr>
            <w:vertAlign w:val="superscript"/>
          </w:rPr>
          <w:t>206</w:t>
        </w:r>
      </w:fldSimple>
      <w:r>
        <w:t xml:space="preserve">.</w:t>
      </w:r>
    </w:p>
    <w:p>
      <w:pPr>
        <w:pStyle w:val="BodyText"/>
      </w:pPr>
      <w:r>
        <w:t xml:space="preserve">Australia provides an instructive case of government-sponsored somatic therapy adoption. In April 2023, the Australian government announced $14 million (USD) in funding for mental health services explicitly including somatic therapies</w:t>
      </w:r>
      <w:r>
        <w:t xml:space="preserve"> </w:t>
      </w:r>
      <w:fldSimple w:instr="NOTEREF _Ref_Footnote_1 \h \f">
        <w:r>
          <w:rPr>
            <w:vertAlign w:val="superscript"/>
          </w:rPr>
          <w:t>1</w:t>
        </w:r>
      </w:fldSimple>
      <w:r>
        <w:t xml:space="preserve">. The Sensorimotor Psychotherapy Institute lists 74 practitioners in Australia, among the highest national concentrations outside North America</w:t>
      </w:r>
      <w:r>
        <w:t xml:space="preserve"> </w:t>
      </w:r>
      <w:fldSimple w:instr="NOTEREF _Ref_Footnote_200 \h \f">
        <w:r>
          <w:rPr>
            <w:vertAlign w:val="superscript"/>
          </w:rPr>
          <w:t>200</w:t>
        </w:r>
      </w:fldSimple>
      <w:r>
        <w:t xml:space="preserve">.</w:t>
      </w:r>
    </w:p>
    <w:p>
      <w:pPr>
        <w:pStyle w:val="CaptionedFigure"/>
      </w:pPr>
      <w:r>
        <w:drawing>
          <wp:inline>
            <wp:extent cx="5334000" cy="2499539"/>
            <wp:effectExtent b="0" l="0" r="0" t="0"/>
            <wp:docPr descr="Regional Breakdown" title="" id="110" name="Picture"/>
            <a:graphic>
              <a:graphicData uri="http://schemas.openxmlformats.org/drawingml/2006/picture">
                <pic:pic>
                  <pic:nvPicPr>
                    <pic:cNvPr descr="/mnt/agents/output/chart_regional_breakdown.png" id="111" name="Picture"/>
                    <pic:cNvPicPr>
                      <a:picLocks noChangeArrowheads="1" noChangeAspect="1"/>
                    </pic:cNvPicPr>
                  </pic:nvPicPr>
                  <pic:blipFill>
                    <a:blip r:embed="rId109"/>
                    <a:stretch>
                      <a:fillRect/>
                    </a:stretch>
                  </pic:blipFill>
                  <pic:spPr bwMode="auto">
                    <a:xfrm>
                      <a:off x="0" y="0"/>
                      <a:ext cx="5334000" cy="2499539"/>
                    </a:xfrm>
                    <a:prstGeom prst="rect">
                      <a:avLst/>
                    </a:prstGeom>
                    <a:noFill/>
                    <a:ln w="9525">
                      <a:noFill/>
                      <a:headEnd/>
                      <a:tailEnd/>
                    </a:ln>
                  </pic:spPr>
                </pic:pic>
              </a:graphicData>
            </a:graphic>
          </wp:inline>
        </w:drawing>
      </w:r>
    </w:p>
    <w:p>
      <w:pPr>
        <w:pStyle w:val="ImageCaption"/>
      </w:pPr>
      <w:r>
        <w:t xml:space="preserve">Regional Breakdown</w:t>
      </w:r>
    </w:p>
    <w:p>
      <w:pPr>
        <w:pStyle w:val="BodyText"/>
      </w:pPr>
      <w:r>
        <w:rPr>
          <w:iCs/>
          <w:i/>
        </w:rPr>
        <w:t xml:space="preserve">Figure 4.3: Left panel—regional market share distribution for somatic therapy (2025–2026). Right panel—CAGR and corporate wellness penetration rates for the top three regions. Sources: Coherent Market Insights</w:t>
      </w:r>
      <w:r>
        <w:rPr>
          <w:iCs/>
          <w:i/>
        </w:rPr>
        <w:t xml:space="preserve"> </w:t>
      </w:r>
      <w:fldSimple w:instr="NOTEREF _Ref_Footnote_1 \h \f">
        <w:r>
          <w:rPr>
            <w:vertAlign w:val="superscript"/>
          </w:rPr>
          <w:t>1</w:t>
        </w:r>
      </w:fldSimple>
      <w:r>
        <w:rPr>
          <w:iCs/>
          <w:i/>
        </w:rPr>
        <w:t xml:space="preserve">, Prophecy Market Insights</w:t>
      </w:r>
      <w:r>
        <w:rPr>
          <w:iCs/>
          <w:i/>
        </w:rPr>
        <w:t xml:space="preserve"> </w:t>
      </w:r>
      <w:fldSimple w:instr="NOTEREF _Ref_Footnote_2 \h \f">
        <w:r>
          <w:rPr>
            <w:vertAlign w:val="superscript"/>
          </w:rPr>
          <w:t>2</w:t>
        </w:r>
      </w:fldSimple>
      <w:r>
        <w:rPr>
          <w:iCs/>
          <w:i/>
        </w:rPr>
        <w:t xml:space="preserve">, Grand View Research</w:t>
      </w:r>
      <w:r>
        <w:rPr>
          <w:iCs/>
          <w:i/>
        </w:rPr>
        <w:t xml:space="preserve"> </w:t>
      </w:r>
      <w:fldSimple w:instr="NOTEREF _Ref_Footnote_39 \h \f">
        <w:r>
          <w:rPr>
            <w:vertAlign w:val="superscript"/>
          </w:rPr>
          <w:t>39</w:t>
        </w:r>
      </w:fldSimple>
      <w:r>
        <w:rPr>
          <w:iCs/>
          <w:i/>
        </w:rPr>
        <w:t xml:space="preserve">.</w:t>
      </w:r>
    </w:p>
    <w:p>
      <w:pPr>
        <w:pStyle w:val="BodyText"/>
      </w:pPr>
      <w:r>
        <w:t xml:space="preserve">The regional analysis yields a clear market entry sequencing: North America offers the largest immediately addressable market with the strongest reimbursement infrastructure; Europe provides a B2B-rich second market with NHS tailwinds; and Asia-Pacific represents the highest long-term growth opportunity but requires culturally-adapted service design.</w:t>
      </w:r>
    </w:p>
    <w:bookmarkEnd w:id="112"/>
    <w:bookmarkEnd w:id="113"/>
    <w:bookmarkStart w:id="121" w:name="growth-drivers"/>
    <w:p>
      <w:pPr>
        <w:pStyle w:val="Heading3"/>
      </w:pPr>
      <w:r>
        <w:t xml:space="preserve">4.3 Growth Drivers</w:t>
      </w:r>
    </w:p>
    <w:p>
      <w:pPr>
        <w:pStyle w:val="FirstParagraph"/>
      </w:pPr>
      <w:r>
        <w:t xml:space="preserve">Four interconnected demand drivers are accelerating somatic therapy market expansion beyond its already-robust baseline growth rate. Each driver carries quantifiable metrics that inform platform positioning and feature prioritization.</w:t>
      </w:r>
    </w:p>
    <w:p>
      <w:pPr>
        <w:pStyle w:val="CaptionedFigure"/>
      </w:pPr>
      <w:r>
        <w:drawing>
          <wp:inline>
            <wp:extent cx="5334000" cy="3555098"/>
            <wp:effectExtent b="0" l="0" r="0" t="0"/>
            <wp:docPr descr="Growth Drivers" title="" id="115" name="Picture"/>
            <a:graphic>
              <a:graphicData uri="http://schemas.openxmlformats.org/drawingml/2006/picture">
                <pic:pic>
                  <pic:nvPicPr>
                    <pic:cNvPr descr="/mnt/agents/output/chart_growth_drivers.png" id="116" name="Picture"/>
                    <pic:cNvPicPr>
                      <a:picLocks noChangeArrowheads="1" noChangeAspect="1"/>
                    </pic:cNvPicPr>
                  </pic:nvPicPr>
                  <pic:blipFill>
                    <a:blip r:embed="rId114"/>
                    <a:stretch>
                      <a:fillRect/>
                    </a:stretch>
                  </pic:blipFill>
                  <pic:spPr bwMode="auto">
                    <a:xfrm>
                      <a:off x="0" y="0"/>
                      <a:ext cx="5334000" cy="3555098"/>
                    </a:xfrm>
                    <a:prstGeom prst="rect">
                      <a:avLst/>
                    </a:prstGeom>
                    <a:noFill/>
                    <a:ln w="9525">
                      <a:noFill/>
                      <a:headEnd/>
                      <a:tailEnd/>
                    </a:ln>
                  </pic:spPr>
                </pic:pic>
              </a:graphicData>
            </a:graphic>
          </wp:inline>
        </w:drawing>
      </w:r>
    </w:p>
    <w:p>
      <w:pPr>
        <w:pStyle w:val="ImageCaption"/>
      </w:pPr>
      <w:r>
        <w:t xml:space="preserve">Growth Drivers</w:t>
      </w:r>
    </w:p>
    <w:p>
      <w:pPr>
        <w:pStyle w:val="BodyText"/>
      </w:pPr>
      <w:r>
        <w:rPr>
          <w:iCs/>
          <w:i/>
        </w:rPr>
        <w:t xml:space="preserve">Figure 4.4: Quantified growth drivers for the somatic therapy market, organized by demand-side, supply-side/technology, and adjacent market categories. Sources: APA</w:t>
      </w:r>
      <w:r>
        <w:rPr>
          <w:iCs/>
          <w:i/>
        </w:rPr>
        <w:t xml:space="preserve"> </w:t>
      </w:r>
      <w:fldSimple w:instr="NOTEREF _Ref_Footnote_7 \h \f">
        <w:r>
          <w:rPr>
            <w:vertAlign w:val="superscript"/>
          </w:rPr>
          <w:t>7</w:t>
        </w:r>
      </w:fldSimple>
      <w:r>
        <w:rPr>
          <w:iCs/>
          <w:i/>
        </w:rPr>
        <w:t xml:space="preserve">, Dataintelo</w:t>
      </w:r>
      <w:r>
        <w:rPr>
          <w:iCs/>
          <w:i/>
        </w:rPr>
        <w:t xml:space="preserve"> </w:t>
      </w:r>
      <w:fldSimple w:instr="NOTEREF _Ref_Footnote_198 \h \f">
        <w:r>
          <w:rPr>
            <w:vertAlign w:val="superscript"/>
          </w:rPr>
          <w:t>198</w:t>
        </w:r>
      </w:fldSimple>
      <w:r>
        <w:rPr>
          <w:iCs/>
          <w:i/>
        </w:rPr>
        <w:t xml:space="preserve">, BioSpace</w:t>
      </w:r>
      <w:r>
        <w:rPr>
          <w:iCs/>
          <w:i/>
        </w:rPr>
        <w:t xml:space="preserve"> </w:t>
      </w:r>
      <w:fldSimple w:instr="NOTEREF _Ref_Footnote_3 \h \f">
        <w:r>
          <w:rPr>
            <w:vertAlign w:val="superscript"/>
          </w:rPr>
          <w:t>3</w:t>
        </w:r>
      </w:fldSimple>
      <w:r>
        <w:rPr>
          <w:iCs/>
          <w:i/>
        </w:rPr>
        <w:t xml:space="preserve">, industry reports</w:t>
      </w:r>
      <w:r>
        <w:rPr>
          <w:iCs/>
          <w:i/>
        </w:rPr>
        <w:t xml:space="preserve"> </w:t>
      </w:r>
      <w:r>
        <w:rPr>
          <w:vertAlign w:val="superscript"/>
        </w:rPr>
        <w:footnoteReference w:id="207"/>
      </w:r>
      <w:r>
        <w:rPr>
          <w:iCs/>
          <w:i/>
        </w:rPr>
        <w:t xml:space="preserve">.</w:t>
      </w:r>
    </w:p>
    <w:bookmarkStart w:id="117" w:name="post-covid-trauma-surge"/>
    <w:p>
      <w:pPr>
        <w:pStyle w:val="Heading4"/>
      </w:pPr>
      <w:r>
        <w:t xml:space="preserve">4.3.1 Post-COVID Trauma Surge</w:t>
      </w:r>
    </w:p>
    <w:p>
      <w:pPr>
        <w:pStyle w:val="FirstParagraph"/>
      </w:pPr>
      <w:r>
        <w:t xml:space="preserve">The COVID-19 pandemic created lasting, structurally elevated demand for trauma-informed mental health services. The World Health Organization and CDC have documented significant increases in PTSD-like symptoms and chronic anxiety among long COVID patients</w:t>
      </w:r>
      <w:r>
        <w:t xml:space="preserve"> </w:t>
      </w:r>
      <w:fldSimple w:instr="NOTEREF _Ref_Footnote_3 \h \f">
        <w:r>
          <w:rPr>
            <w:vertAlign w:val="superscript"/>
          </w:rPr>
          <w:t>3</w:t>
        </w:r>
      </w:fldSimple>
      <w:r>
        <w:t xml:space="preserve">. Telehealth adoption for behavioral health peaked at 69 services per 1,000 people per month during the pandemic, stabilizing at approximately 15 services post-pandemic—still roughly triple pre-pandemic levels</w:t>
      </w:r>
      <w:r>
        <w:t xml:space="preserve"> </w:t>
      </w:r>
      <w:fldSimple w:instr="NOTEREF _Ref_Footnote_55 \h \f">
        <w:r>
          <w:rPr>
            <w:vertAlign w:val="superscript"/>
          </w:rPr>
          <w:t>55</w:t>
        </w:r>
      </w:fldSimple>
      <w:r>
        <w:t xml:space="preserve">. Industry analysts estimate that the pandemic accelerated adoption of virtual somatic and mental health services by 3–5 years</w:t>
      </w:r>
      <w:r>
        <w:t xml:space="preserve"> </w:t>
      </w:r>
      <w:r>
        <w:rPr>
          <w:vertAlign w:val="superscript"/>
        </w:rPr>
        <w:footnoteReference w:id="208"/>
      </w:r>
      <w:r>
        <w:t xml:space="preserve"> </w:t>
      </w:r>
      <w:fldSimple w:instr="NOTEREF _Ref_Footnote_55 \h \f">
        <w:r>
          <w:rPr>
            <w:vertAlign w:val="superscript"/>
          </w:rPr>
          <w:t>55</w:t>
        </w:r>
      </w:fldSimple>
      <w:r>
        <w:t xml:space="preserve">. The</w:t>
      </w:r>
      <w:r>
        <w:t xml:space="preserve"> </w:t>
      </w:r>
      <w:r>
        <w:t xml:space="preserve">“</w:t>
      </w:r>
      <w:r>
        <w:t xml:space="preserve">Long COVID</w:t>
      </w:r>
      <w:r>
        <w:t xml:space="preserve">”</w:t>
      </w:r>
      <w:r>
        <w:t xml:space="preserve"> </w:t>
      </w:r>
      <w:r>
        <w:t xml:space="preserve">population specifically has emerged as a new clinical indication for somatic therapy, with polyvagal-informed approaches being used to address autonomic nervous system dysregulation that may underlie persistent symptoms</w:t>
      </w:r>
      <w:r>
        <w:t xml:space="preserve"> </w:t>
      </w:r>
      <w:r>
        <w:rPr>
          <w:vertAlign w:val="superscript"/>
        </w:rPr>
        <w:footnoteReference w:id="209"/>
      </w:r>
      <w:r>
        <w:t xml:space="preserve">.</w:t>
      </w:r>
    </w:p>
    <w:bookmarkEnd w:id="117"/>
    <w:bookmarkStart w:id="118" w:name="social-media-somatic-turn"/>
    <w:p>
      <w:pPr>
        <w:pStyle w:val="Heading4"/>
      </w:pPr>
      <w:r>
        <w:t xml:space="preserve">4.3.2 Social Media</w:t>
      </w:r>
      <w:r>
        <w:t xml:space="preserve"> </w:t>
      </w:r>
      <w:r>
        <w:t xml:space="preserve">“</w:t>
      </w:r>
      <w:r>
        <w:t xml:space="preserve">Somatic Turn</w:t>
      </w:r>
      <w:r>
        <w:t xml:space="preserve">”</w:t>
      </w:r>
    </w:p>
    <w:p>
      <w:pPr>
        <w:pStyle w:val="FirstParagraph"/>
      </w:pPr>
      <w:r>
        <w:t xml:space="preserve">Gen Z has catalyzed a cultural shift toward body-based mental health approaches that is unprecedented in scale. On TikTok, the hashtag #nervoussystemregulation has crossed 300 million views, while #somatictherapy has accumulated 112.9 million views</w:t>
      </w:r>
      <w:r>
        <w:t xml:space="preserve"> </w:t>
      </w:r>
      <w:fldSimple w:instr="NOTEREF _Ref_Footnote_7 \h \f">
        <w:r>
          <w:rPr>
            <w:vertAlign w:val="superscript"/>
          </w:rPr>
          <w:t>7</w:t>
        </w:r>
      </w:fldSimple>
      <w:r>
        <w:t xml:space="preserve"> </w:t>
      </w:r>
      <w:fldSimple w:instr="NOTEREF _Ref_Footnote_3 \h \f">
        <w:r>
          <w:rPr>
            <w:vertAlign w:val="superscript"/>
          </w:rPr>
          <w:t>3</w:t>
        </w:r>
      </w:fldSimple>
      <w:r>
        <w:t xml:space="preserve">. A 2023 American Psychological Association report noted that online searches for</w:t>
      </w:r>
      <w:r>
        <w:t xml:space="preserve"> </w:t>
      </w:r>
      <w:r>
        <w:t xml:space="preserve">“</w:t>
      </w:r>
      <w:r>
        <w:t xml:space="preserve">nervous system regulation</w:t>
      </w:r>
      <w:r>
        <w:t xml:space="preserve">”</w:t>
      </w:r>
      <w:r>
        <w:t xml:space="preserve"> </w:t>
      </w:r>
      <w:r>
        <w:t xml:space="preserve">had nearly tripled since 2019</w:t>
      </w:r>
      <w:r>
        <w:t xml:space="preserve"> </w:t>
      </w:r>
      <w:fldSimple w:instr="NOTEREF _Ref_Footnote_7 \h \f">
        <w:r>
          <w:rPr>
            <w:vertAlign w:val="superscript"/>
          </w:rPr>
          <w:t>7</w:t>
        </w:r>
      </w:fldSimple>
      <w:r>
        <w:t xml:space="preserve">. This surge is not merely performative: 42% of Gen Z are currently in therapy (a 22% increase since 2022), and 70% plan to engage therapy in the next year</w:t>
      </w:r>
      <w:r>
        <w:t xml:space="preserve"> </w:t>
      </w:r>
      <w:r>
        <w:rPr>
          <w:vertAlign w:val="superscript"/>
        </w:rPr>
        <w:footnoteReference w:id="210"/>
      </w:r>
      <w:r>
        <w:t xml:space="preserve">.</w:t>
      </w:r>
      <w:r>
        <w:t xml:space="preserve"> </w:t>
      </w:r>
      <w:r>
        <w:t xml:space="preserve">“</w:t>
      </w:r>
      <w:r>
        <w:t xml:space="preserve">Nervous system regulation</w:t>
      </w:r>
      <w:r>
        <w:t xml:space="preserve">”</w:t>
      </w:r>
      <w:r>
        <w:t xml:space="preserve"> </w:t>
      </w:r>
      <w:r>
        <w:t xml:space="preserve">has become the dominant wellness keyword for this demographic, which will drive demand for the next 30+ years given Gen Z’s age distribution (born 1997–2012, approximately 68 million in the U.S. alone).</w:t>
      </w:r>
    </w:p>
    <w:p>
      <w:pPr>
        <w:pStyle w:val="BodyText"/>
      </w:pPr>
      <w:r>
        <w:t xml:space="preserve">Platforms like TikTok and Instagram are seeing millions of views on content related to vagus nerve toning, polyvagal theory, and somatic release exercises</w:t>
      </w:r>
      <w:r>
        <w:t xml:space="preserve"> </w:t>
      </w:r>
      <w:fldSimple w:instr="NOTEREF _Ref_Footnote_3 \h \f">
        <w:r>
          <w:rPr>
            <w:vertAlign w:val="superscript"/>
          </w:rPr>
          <w:t>3</w:t>
        </w:r>
      </w:fldSimple>
      <w:r>
        <w:t xml:space="preserve">. This surge in awareness is fueling demand for direct-to-consumer somatic products, including self-regulation tools and online courses, expanding commercial potential beyond clinical settings into the broader wellness economy</w:t>
      </w:r>
      <w:r>
        <w:t xml:space="preserve"> </w:t>
      </w:r>
      <w:fldSimple w:instr="NOTEREF _Ref_Footnote_3 \h \f">
        <w:r>
          <w:rPr>
            <w:vertAlign w:val="superscript"/>
          </w:rPr>
          <w:t>3</w:t>
        </w:r>
      </w:fldSimple>
      <w:r>
        <w:t xml:space="preserve">.</w:t>
      </w:r>
    </w:p>
    <w:bookmarkEnd w:id="118"/>
    <w:bookmarkStart w:id="119" w:name="corporate-wellness-expansion"/>
    <w:p>
      <w:pPr>
        <w:pStyle w:val="Heading4"/>
      </w:pPr>
      <w:r>
        <w:t xml:space="preserve">4.3.3 Corporate Wellness Expansion</w:t>
      </w:r>
    </w:p>
    <w:p>
      <w:pPr>
        <w:pStyle w:val="FirstParagraph"/>
      </w:pPr>
      <w:r>
        <w:t xml:space="preserve">The workplace mental health crisis has reached a tipping point. Globally, approximately 12 billion working days are lost annually to depression and anxiety, costing roughly $1 trillion in lost productivity</w:t>
      </w:r>
      <w:r>
        <w:t xml:space="preserve"> </w:t>
      </w:r>
      <w:fldSimple w:instr="NOTEREF _Ref_Footnote_194 \h \f">
        <w:r>
          <w:rPr>
            <w:vertAlign w:val="superscript"/>
          </w:rPr>
          <w:t>194</w:t>
        </w:r>
      </w:fldSimple>
      <w:r>
        <w:t xml:space="preserve">. Burnout now affects 55–82% of employees, with Gen Z experiencing peak burnout at age 25—17 years earlier than the historical average</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In response, major employers are actively integrating somatic-informed approaches into wellness programs. Google, Deloitte, and SAP have launched trauma-informed employee wellness programs, with somatic coaches being hired as corporate wellness consultants</w:t>
      </w:r>
      <w:r>
        <w:t xml:space="preserve"> </w:t>
      </w:r>
      <w:fldSimple w:instr="NOTEREF _Ref_Footnote_3 \h \f">
        <w:r>
          <w:rPr>
            <w:vertAlign w:val="superscript"/>
          </w:rPr>
          <w:t>3</w:t>
        </w:r>
      </w:fldSimple>
      <w:r>
        <w:t xml:space="preserve">.</w:t>
      </w:r>
    </w:p>
    <w:p>
      <w:pPr>
        <w:pStyle w:val="BodyText"/>
      </w:pPr>
      <w:r>
        <w:t xml:space="preserve">The financial case is compelling. Deloitte’s 2024 analysis of 26 studies found that employers receive an average return of £4.70 for every £1 invested in mental health programs (470% ROI)</w:t>
      </w:r>
      <w:r>
        <w:t xml:space="preserve"> </w:t>
      </w:r>
      <w:r>
        <w:rPr>
          <w:vertAlign w:val="superscript"/>
        </w:rPr>
        <w:footnoteReference w:id="211"/>
      </w:r>
      <w:r>
        <w:t xml:space="preserve">. SAP’s Business Health Culture Index demonstrated that each 1% improvement in employee well-being delivers $90–100 million in operating profit impact</w:t>
      </w:r>
      <w:r>
        <w:t xml:space="preserve"> </w:t>
      </w:r>
      <w:r>
        <w:rPr>
          <w:vertAlign w:val="superscript"/>
        </w:rPr>
        <w:footnoteReference w:id="212"/>
      </w:r>
      <w:r>
        <w:t xml:space="preserve">. EAP (Employee Assistance Program) mental health utilization rates surged by 34% between 2022 and 2025</w:t>
      </w:r>
      <w:r>
        <w:t xml:space="preserve"> </w:t>
      </w:r>
      <w:fldSimple w:instr="NOTEREF _Ref_Footnote_198 \h \f">
        <w:r>
          <w:rPr>
            <w:vertAlign w:val="superscript"/>
          </w:rPr>
          <w:t>198</w:t>
        </w:r>
      </w:fldSimple>
      <w:r>
        <w:t xml:space="preserve">, while enterprises allocated $1.2 billion to somatic therapy programs in 2025, up 33% from $900 million in 2024</w:t>
      </w:r>
      <w:r>
        <w:t xml:space="preserve"> </w:t>
      </w:r>
      <w:fldSimple w:instr="NOTEREF _Ref_Footnote_207 \h \f">
        <w:r>
          <w:rPr>
            <w:vertAlign w:val="superscript"/>
          </w:rPr>
          <w:t>207</w:t>
        </w:r>
      </w:fldSimple>
      <w:r>
        <w:t xml:space="preserve">. Critically, traditional EAPs achieve only 2–5% utilization rates, whereas digital-first wellness platforms achieve 20–42%—a 7–10x multiplier that somatic therapy platforms can capture</w:t>
      </w:r>
      <w:r>
        <w:t xml:space="preserve"> </w:t>
      </w:r>
      <w:fldSimple w:instr="NOTEREF _Ref_Footnote_44 \h \f">
        <w:r>
          <w:rPr>
            <w:vertAlign w:val="superscript"/>
          </w:rPr>
          <w:t>44</w:t>
        </w:r>
      </w:fldSimple>
      <w:r>
        <w:t xml:space="preserve"> </w:t>
      </w:r>
      <w:fldSimple w:instr="NOTEREF _Ref_Footnote_45 \h \f">
        <w:r>
          <w:rPr>
            <w:vertAlign w:val="superscript"/>
          </w:rPr>
          <w:t>45</w:t>
        </w:r>
      </w:fldSimple>
      <w:r>
        <w:t xml:space="preserve">.</w:t>
      </w:r>
    </w:p>
    <w:bookmarkEnd w:id="119"/>
    <w:bookmarkStart w:id="120" w:name="gen-z-demand-architecture"/>
    <w:p>
      <w:pPr>
        <w:pStyle w:val="Heading4"/>
      </w:pPr>
      <w:r>
        <w:t xml:space="preserve">4.3.4 Gen Z Demand Architecture</w:t>
      </w:r>
    </w:p>
    <w:p>
      <w:pPr>
        <w:pStyle w:val="FirstParagraph"/>
      </w:pPr>
      <w:r>
        <w:t xml:space="preserve">Gen Z’s mental health preferences differ qualitatively from previous generations, creating both demand-side pull and design imperatives for platform builders. Traditional talk therapy is perceived as</w:t>
      </w:r>
      <w:r>
        <w:t xml:space="preserve"> </w:t>
      </w:r>
      <w:r>
        <w:t xml:space="preserve">“</w:t>
      </w:r>
      <w:r>
        <w:t xml:space="preserve">too cognitive</w:t>
      </w:r>
      <w:r>
        <w:t xml:space="preserve">”</w:t>
      </w:r>
      <w:r>
        <w:t xml:space="preserve"> </w:t>
      </w:r>
      <w:r>
        <w:t xml:space="preserve">by a generation that already intellectually understands its problems and instead seeks embodied healing and practical regulation tools</w:t>
      </w:r>
      <w:r>
        <w:t xml:space="preserve"> </w:t>
      </w:r>
      <w:r>
        <w:rPr>
          <w:vertAlign w:val="superscript"/>
        </w:rPr>
        <w:footnoteReference w:id="213"/>
      </w:r>
      <w:r>
        <w:t xml:space="preserve">. Nature-based therapy, movement practices, and breathwork resonate because they get Gen Z</w:t>
      </w:r>
      <w:r>
        <w:t xml:space="preserve"> </w:t>
      </w:r>
      <w:r>
        <w:t xml:space="preserve">“</w:t>
      </w:r>
      <w:r>
        <w:t xml:space="preserve">out of their heads and into their bodies</w:t>
      </w:r>
      <w:r>
        <w:t xml:space="preserve">”</w:t>
      </w:r>
      <w:r>
        <w:t xml:space="preserve"> </w:t>
      </w:r>
      <w:fldSimple w:instr="NOTEREF _Ref_Footnote_213 \h \f">
        <w:r>
          <w:rPr>
            <w:vertAlign w:val="superscript"/>
          </w:rPr>
          <w:t>213</w:t>
        </w:r>
      </w:fldSimple>
      <w:r>
        <w:t xml:space="preserve">. Climate anxiety—Google searches for</w:t>
      </w:r>
      <w:r>
        <w:t xml:space="preserve"> </w:t>
      </w:r>
      <w:r>
        <w:t xml:space="preserve">“</w:t>
      </w:r>
      <w:r>
        <w:t xml:space="preserve">eco-anxiety</w:t>
      </w:r>
      <w:r>
        <w:t xml:space="preserve">”</w:t>
      </w:r>
      <w:r>
        <w:t xml:space="preserve"> </w:t>
      </w:r>
      <w:r>
        <w:t xml:space="preserve">increased 4,590% from 2018 to 2023—adds another somatic-relevant demand driver, as somatic approaches help clients</w:t>
      </w:r>
      <w:r>
        <w:t xml:space="preserve"> </w:t>
      </w:r>
      <w:r>
        <w:t xml:space="preserve">“</w:t>
      </w:r>
      <w:r>
        <w:t xml:space="preserve">physically metabolize</w:t>
      </w:r>
      <w:r>
        <w:t xml:space="preserve">”</w:t>
      </w:r>
      <w:r>
        <w:t xml:space="preserve"> </w:t>
      </w:r>
      <w:r>
        <w:t xml:space="preserve">environmental grief and terror</w:t>
      </w:r>
      <w:r>
        <w:t xml:space="preserve"> </w:t>
      </w:r>
      <w:r>
        <w:rPr>
          <w:vertAlign w:val="superscript"/>
        </w:rPr>
        <w:footnoteReference w:id="214"/>
      </w:r>
      <w:r>
        <w:t xml:space="preserve">. The NEUROFIT app, which offers camera-based HRV measurement and personalized somatic exercises, has attracted over 100,000 users and reports that 95% of members experience stress relief within 5 minutes of exercise</w:t>
      </w:r>
      <w:r>
        <w:t xml:space="preserve"> </w:t>
      </w:r>
      <w:r>
        <w:rPr>
          <w:vertAlign w:val="superscript"/>
        </w:rPr>
        <w:footnoteReference w:id="215"/>
      </w:r>
      <w:r>
        <w:t xml:space="preserve">—demonstrating that digital-native, body-based interventions can achieve product-market fit with this demographic.</w:t>
      </w:r>
    </w:p>
    <w:bookmarkEnd w:id="120"/>
    <w:bookmarkEnd w:id="121"/>
    <w:bookmarkStart w:id="126" w:name="market-challenges"/>
    <w:p>
      <w:pPr>
        <w:pStyle w:val="Heading3"/>
      </w:pPr>
      <w:r>
        <w:t xml:space="preserve">4.4 Market Challenges</w:t>
      </w:r>
    </w:p>
    <w:p>
      <w:pPr>
        <w:pStyle w:val="FirstParagraph"/>
      </w:pPr>
      <w:r>
        <w:t xml:space="preserve">The market opportunity is substantial, but four structural challenges constrain growth and must inform platform design.</w:t>
      </w:r>
    </w:p>
    <w:bookmarkStart w:id="122" w:name="X2ecffaa981417b4399fc692b6074569e243969c"/>
    <w:p>
      <w:pPr>
        <w:pStyle w:val="Heading4"/>
      </w:pPr>
      <w:r>
        <w:t xml:space="preserve">4.4.1 Supply Constraint: The Practitioner Shortage</w:t>
      </w:r>
    </w:p>
    <w:p>
      <w:pPr>
        <w:pStyle w:val="FirstParagraph"/>
      </w:pPr>
      <w:r>
        <w:t xml:space="preserve">The most critical bottleneck is the severe shortage of trained somatic therapists. The U.S. Health Resources and Services Administration (HRSA) projects that by 2038, the nation will face shortages of 88,000–99,780 mental health counselors (55% adequacy), 99,840 psychologists (48% adequacy), and 36,780 psychiatrists (50% adequacy)</w:t>
      </w:r>
      <w:r>
        <w:t xml:space="preserve"> </w:t>
      </w:r>
      <w:r>
        <w:rPr>
          <w:vertAlign w:val="superscript"/>
        </w:rPr>
        <w:footnoteReference w:id="216"/>
      </w:r>
      <w:r>
        <w:t xml:space="preserve">. Somatic therapists represent a tiny fraction of an already insufficient workforce: board-certified Dance/Movement Therapists in the U.S. are estimated at only 500–1,000, registered DMT practitioners at 1,500–2,500, and Sensorimotor Psychotherapy certified practitioners at just 397 globally</w:t>
      </w:r>
      <w:r>
        <w:t xml:space="preserve"> </w:t>
      </w:r>
      <w:fldSimple w:instr="NOTEREF _Ref_Footnote_155 \h \f">
        <w:r>
          <w:rPr>
            <w:vertAlign w:val="superscript"/>
          </w:rPr>
          <w:t>155</w:t>
        </w:r>
      </w:fldSimple>
      <w:r>
        <w:t xml:space="preserve"> </w:t>
      </w:r>
      <w:fldSimple w:instr="NOTEREF _Ref_Footnote_200 \h \f">
        <w:r>
          <w:rPr>
            <w:vertAlign w:val="superscript"/>
          </w:rPr>
          <w:t>200</w:t>
        </w:r>
      </w:fldSimple>
      <w:r>
        <w:t xml:space="preserve">.</w:t>
      </w:r>
    </w:p>
    <w:p>
      <w:pPr>
        <w:pStyle w:val="BodyText"/>
      </w:pPr>
      <w:r>
        <w:t xml:space="preserve">The demographic profile of existing practitioners compounds the problem. A survey of body psychotherapists found that 66.4% are over 50 years old, with the vast majority working in solo private practice and few integrated into mainstream healthcare settings</w:t>
      </w:r>
      <w:r>
        <w:t xml:space="preserve"> </w:t>
      </w:r>
      <w:fldSimple w:instr="NOTEREF _Ref_Footnote_33 \h \f">
        <w:r>
          <w:rPr>
            <w:vertAlign w:val="superscript"/>
          </w:rPr>
          <w:t>33</w:t>
        </w:r>
      </w:fldSimple>
      <w:r>
        <w:t xml:space="preserve">. This creates an impending succession crisis as the current generation retires over the next 10–15 years. Training programs cannot scale fast enough: Sensorimotor Psychotherapy Institute certifies roughly 30–50 new practitioners annually, while Somatic Experiencing International’s 8-module professional training spans approximately three years</w:t>
      </w:r>
      <w:r>
        <w:t xml:space="preserve"> </w:t>
      </w:r>
      <w:fldSimple w:instr="NOTEREF _Ref_Footnote_200 \h \f">
        <w:r>
          <w:rPr>
            <w:vertAlign w:val="superscript"/>
          </w:rPr>
          <w:t>200</w:t>
        </w:r>
      </w:fldSimple>
      <w:r>
        <w:t xml:space="preserve"> </w:t>
      </w:r>
      <w:fldSimple w:instr="NOTEREF _Ref_Footnote_197 \h \f">
        <w:r>
          <w:rPr>
            <w:vertAlign w:val="superscript"/>
          </w:rPr>
          <w:t>197</w:t>
        </w:r>
      </w:fldSimple>
      <w:r>
        <w:t xml:space="preserve">. The platform opportunity here is twofold: reduce practice startup barriers for new practitioners (marketing, billing, scheduling, community) and create group practice formation tools that increase effective supply through more efficient practitioner utilization.</w:t>
      </w:r>
    </w:p>
    <w:bookmarkEnd w:id="122"/>
    <w:bookmarkStart w:id="123" w:name="cost-barrier-the-out-of-network-paradox"/>
    <w:p>
      <w:pPr>
        <w:pStyle w:val="Heading4"/>
      </w:pPr>
      <w:r>
        <w:t xml:space="preserve">4.4.2 Cost Barrier: The Out-of-Network Paradox</w:t>
      </w:r>
    </w:p>
    <w:p>
      <w:pPr>
        <w:pStyle w:val="FirstParagraph"/>
      </w:pPr>
      <w:r>
        <w:t xml:space="preserve">Somatic therapy sessions typically cost $125–$350 per session, with premium providers in major metropolitan areas charging at the upper end of that range</w:t>
      </w:r>
      <w:r>
        <w:t xml:space="preserve"> </w:t>
      </w:r>
      <w:fldSimple w:instr="NOTEREF _Ref_Footnote_54 \h \f">
        <w:r>
          <w:rPr>
            <w:vertAlign w:val="superscript"/>
          </w:rPr>
          <w:t>54</w:t>
        </w:r>
      </w:fldSimple>
      <w:r>
        <w:t xml:space="preserve"> </w:t>
      </w:r>
      <w:fldSimple w:instr="NOTEREF _Ref_Footnote_65 \h \f">
        <w:r>
          <w:rPr>
            <w:vertAlign w:val="superscript"/>
          </w:rPr>
          <w:t>65</w:t>
        </w:r>
      </w:fldSimple>
      <w:r>
        <w:t xml:space="preserve">. The fundamental access problem is that 85–88% of somatic therapists operate out-of-network, meaning clients must pay full price upfront and seek reimbursement through complex superbill processes</w:t>
      </w:r>
      <w:r>
        <w:t xml:space="preserve"> </w:t>
      </w:r>
      <w:fldSimple w:instr="NOTEREF _Ref_Footnote_32 \h \f">
        <w:r>
          <w:rPr>
            <w:vertAlign w:val="superscript"/>
          </w:rPr>
          <w:t>32</w:t>
        </w:r>
      </w:fldSimple>
      <w:r>
        <w:t xml:space="preserve">. Only 12–15% of licensed somatic therapists participate in major insurance networks</w:t>
      </w:r>
      <w:r>
        <w:t xml:space="preserve"> </w:t>
      </w:r>
      <w:fldSimple w:instr="NOTEREF _Ref_Footnote_32 \h \f">
        <w:r>
          <w:rPr>
            <w:vertAlign w:val="superscript"/>
          </w:rPr>
          <w:t>32</w:t>
        </w:r>
      </w:fldSimple>
      <w:r>
        <w:t xml:space="preserve">. When insurance does cover somatic therapy, therapists must typically bill under conventional psychotherapy CPT codes (90834 for 45-minute sessions, 90837 for 60-minute sessions), which may not accurately reflect the nature of body-based interventions</w:t>
      </w:r>
      <w:r>
        <w:t xml:space="preserve"> </w:t>
      </w:r>
      <w:fldSimple w:instr="NOTEREF _Ref_Footnote_54 \h \f">
        <w:r>
          <w:rPr>
            <w:vertAlign w:val="superscript"/>
          </w:rPr>
          <w:t>54</w:t>
        </w:r>
      </w:fldSimple>
      <w:r>
        <w:t xml:space="preserve">.</w:t>
      </w:r>
    </w:p>
    <w:p>
      <w:pPr>
        <w:pStyle w:val="BodyText"/>
      </w:pPr>
      <w:r>
        <w:t xml:space="preserve">This cost structure creates a two-tiered access system that excludes lower-income populations precisely when demand is broadening. Health Savings Account (HSA) and Flexible Spending Account (FSA) funds offer partial workarounds—2025 HSA limits are $4,150 for individuals and $8,300 for families—but these require clients to have employer-sponsored high-deductible plans</w:t>
      </w:r>
      <w:r>
        <w:t xml:space="preserve"> </w:t>
      </w:r>
      <w:fldSimple w:instr="NOTEREF _Ref_Footnote_54 \h \f">
        <w:r>
          <w:rPr>
            <w:vertAlign w:val="superscript"/>
          </w:rPr>
          <w:t>54</w:t>
        </w:r>
      </w:fldSimple>
      <w:r>
        <w:t xml:space="preserve">. For the platform, the insurance arbitrage represents the single largest revenue opportunity: automating out-of-network reimbursement (superbill generation, eligibility checking, claims filing) could expand the addressable client base by 5–10x while capturing transaction fees on each processed claim.</w:t>
      </w:r>
    </w:p>
    <w:bookmarkEnd w:id="123"/>
    <w:bookmarkStart w:id="124" w:name="X854f287cce1a5035eb2b273853f0cc37859b9e9"/>
    <w:p>
      <w:pPr>
        <w:pStyle w:val="Heading4"/>
      </w:pPr>
      <w:r>
        <w:t xml:space="preserve">4.4.3 Evidence Gaps: The Institutional Adoption Ceiling</w:t>
      </w:r>
    </w:p>
    <w:p>
      <w:pPr>
        <w:pStyle w:val="FirstParagraph"/>
      </w:pPr>
      <w:r>
        <w:t xml:space="preserve">While the clinical evidence base for somatic therapy is strengthening, gaps remain that limit institutional adoption. The VA/DoD Clinical Practice Guideline for Management of PTSD assigns</w:t>
      </w:r>
      <w:r>
        <w:t xml:space="preserve"> </w:t>
      </w:r>
      <w:r>
        <w:t xml:space="preserve">“</w:t>
      </w:r>
      <w:r>
        <w:t xml:space="preserve">insufficient evidence</w:t>
      </w:r>
      <w:r>
        <w:t xml:space="preserve">”</w:t>
      </w:r>
      <w:r>
        <w:t xml:space="preserve"> </w:t>
      </w:r>
      <w:r>
        <w:t xml:space="preserve">ratings to several somatic modalities, constraining adoption within the largest single trauma treatment system in the United States</w:t>
      </w:r>
      <w:r>
        <w:t xml:space="preserve"> </w:t>
      </w:r>
      <w:r>
        <w:rPr>
          <w:vertAlign w:val="superscript"/>
        </w:rPr>
        <w:footnoteReference w:id="217"/>
      </w:r>
      <w:r>
        <w:t xml:space="preserve">. A 2024 American Journal of Psychiatry review classified somatic and body-oriented trauma psychotherapies, Brainspotting, and Deep Brain Reorienting as</w:t>
      </w:r>
      <w:r>
        <w:t xml:space="preserve"> </w:t>
      </w:r>
      <w:r>
        <w:t xml:space="preserve">“</w:t>
      </w:r>
      <w:r>
        <w:t xml:space="preserve">emerging non-traditional approaches</w:t>
      </w:r>
      <w:r>
        <w:t xml:space="preserve">”</w:t>
      </w:r>
      <w:r>
        <w:t xml:space="preserve"> </w:t>
      </w:r>
      <w:r>
        <w:t xml:space="preserve">requiring more rigorous research</w:t>
      </w:r>
      <w:r>
        <w:t xml:space="preserve"> </w:t>
      </w:r>
      <w:r>
        <w:rPr>
          <w:vertAlign w:val="superscript"/>
        </w:rPr>
        <w:footnoteReference w:id="218"/>
      </w:r>
      <w:r>
        <w:t xml:space="preserve">. Among 15 studies examining dance/movement therapy for trauma, only one directly reported diminution of pathognomonic PTSD symptoms</w:t>
      </w:r>
      <w:r>
        <w:t xml:space="preserve"> </w:t>
      </w:r>
      <w:fldSimple w:instr="NOTEREF _Ref_Footnote_217 \h \f">
        <w:r>
          <w:rPr>
            <w:vertAlign w:val="superscript"/>
          </w:rPr>
          <w:t>217</w:t>
        </w:r>
      </w:fldSimple>
      <w:r>
        <w:t xml:space="preserve">. Critics have identified a</w:t>
      </w:r>
      <w:r>
        <w:t xml:space="preserve"> </w:t>
      </w:r>
      <w:r>
        <w:t xml:space="preserve">“</w:t>
      </w:r>
      <w:r>
        <w:t xml:space="preserve">fundamental design flaw</w:t>
      </w:r>
      <w:r>
        <w:t xml:space="preserve">”</w:t>
      </w:r>
      <w:r>
        <w:t xml:space="preserve"> </w:t>
      </w:r>
      <w:r>
        <w:t xml:space="preserve">in much of the research:</w:t>
      </w:r>
      <w:r>
        <w:t xml:space="preserve"> </w:t>
      </w:r>
      <w:r>
        <w:t xml:space="preserve">“</w:t>
      </w:r>
      <w:r>
        <w:t xml:space="preserve">a majority of studies are led by health researchers but none discussed co-design with dance or somatic researchers</w:t>
      </w:r>
      <w:r>
        <w:t xml:space="preserve">”</w:t>
      </w:r>
      <w:r>
        <w:t xml:space="preserve"> </w:t>
      </w:r>
      <w:fldSimple w:instr="NOTEREF _Ref_Footnote_99 \h \f">
        <w:r>
          <w:rPr>
            <w:vertAlign w:val="superscript"/>
          </w:rPr>
          <w:t>99</w:t>
        </w:r>
      </w:fldSimple>
      <w:r>
        <w:t xml:space="preserve">.</w:t>
      </w:r>
    </w:p>
    <w:p>
      <w:pPr>
        <w:pStyle w:val="BodyText"/>
      </w:pPr>
      <w:r>
        <w:t xml:space="preserve">The evidence trajectory is nevertheless positive. Brom et al.’s randomized controlled trial of Somatic Experiencing achieved effect sizes of d = 0.94–1.26 for PTSD symptoms, with 44.1% of participants moving from full diagnostic criteria to complete remission</w:t>
      </w:r>
      <w:r>
        <w:t xml:space="preserve"> </w:t>
      </w:r>
      <w:fldSimple w:instr="NOTEREF _Ref_Footnote_63 \h \f">
        <w:r>
          <w:rPr>
            <w:vertAlign w:val="superscript"/>
          </w:rPr>
          <w:t>63</w:t>
        </w:r>
      </w:fldSimple>
      <w:r>
        <w:t xml:space="preserve">. Multiple NIH funding opportunities (NCCIH PAR-25-274, PAR-25-267) now specifically support mind-body intervention feasibility trials</w:t>
      </w:r>
      <w:r>
        <w:t xml:space="preserve"> </w:t>
      </w:r>
      <w:fldSimple w:instr="NOTEREF _Ref_Footnote_60 \h \f">
        <w:r>
          <w:rPr>
            <w:vertAlign w:val="superscript"/>
          </w:rPr>
          <w:t>60</w:t>
        </w:r>
      </w:fldSimple>
      <w:r>
        <w:t xml:space="preserve"> </w:t>
      </w:r>
      <w:r>
        <w:rPr>
          <w:vertAlign w:val="superscript"/>
        </w:rPr>
        <w:footnoteReference w:id="219"/>
      </w:r>
      <w:r>
        <w:t xml:space="preserve">. The platform can accelerate evidence generation by integrating standardized outcome measurement (pre/post session HRV tracking, validated psychological scales) into clinical workflows, producing real-world effectiveness data at scale.</w:t>
      </w:r>
    </w:p>
    <w:bookmarkEnd w:id="124"/>
    <w:bookmarkStart w:id="125" w:name="X4af9918cc82dd5bf8584bd3f619555f810d3790"/>
    <w:p>
      <w:pPr>
        <w:pStyle w:val="Heading4"/>
      </w:pPr>
      <w:r>
        <w:t xml:space="preserve">4.4.4 Regulatory Fragmentation: Licensure Without Unity</w:t>
      </w:r>
    </w:p>
    <w:p>
      <w:pPr>
        <w:pStyle w:val="FirstParagraph"/>
      </w:pPr>
      <w:r>
        <w:t xml:space="preserve">No unified licensure framework exists for somatic therapy. In the United States, licensing requirements vary by state; some somatic certifications require licensed mental health professional status (LMFT, LCSW, LPC) while others do not</w:t>
      </w:r>
      <w:r>
        <w:t xml:space="preserve"> </w:t>
      </w:r>
      <w:r>
        <w:rPr>
          <w:vertAlign w:val="superscript"/>
        </w:rPr>
        <w:footnoteReference w:id="220"/>
      </w:r>
      <w:r>
        <w:t xml:space="preserve">. Scope of practice is inconsistently defined: in some jurisdictions, somatic practitioners can bill insurance independently; in others, they must work under clinical supervision</w:t>
      </w:r>
      <w:r>
        <w:t xml:space="preserve"> </w:t>
      </w:r>
      <w:fldSimple w:instr="NOTEREF _Ref_Footnote_216 \h \f">
        <w:r>
          <w:rPr>
            <w:vertAlign w:val="superscript"/>
          </w:rPr>
          <w:t>216</w:t>
        </w:r>
      </w:fldSimple>
      <w:r>
        <w:t xml:space="preserve">. The European situation is similarly fragmented, with 10 national associations under the EABP umbrella but no EU-wide regulatory standard</w:t>
      </w:r>
      <w:r>
        <w:t xml:space="preserve"> </w:t>
      </w:r>
      <w:fldSimple w:instr="NOTEREF _Ref_Footnote_14 \h \f">
        <w:r>
          <w:rPr>
            <w:vertAlign w:val="superscript"/>
          </w:rPr>
          <w:t>14</w:t>
        </w:r>
      </w:fldSimple>
      <w:r>
        <w:t xml:space="preserve">.</w:t>
      </w:r>
    </w:p>
    <w:p>
      <w:pPr>
        <w:pStyle w:val="BodyText"/>
      </w:pPr>
      <w:r>
        <w:t xml:space="preserve">This fragmentation creates compliance complexity for any platform operating across jurisdictions. However, it also creates a defensive moat: a platform that handles credential verification, state-by-state scope-of-practice compliance, and cross-border telehealth regulations becomes infrastructure that practitioners cannot easily replace. The regulatory burden thus becomes a source of platform stickiness once navigated successfully.</w:t>
      </w:r>
    </w:p>
    <w:tbl>
      <w:tblPr>
        <w:tblStyle w:val="Table"/>
        <w:tblW w:type="pct" w:w="5000"/>
        <w:tblLook w:firstRow="1" w:lastRow="0" w:firstColumn="0" w:lastColumn="0" w:noHBand="0" w:noVBand="0" w:val="0020"/>
      </w:tblPr>
      <w:tblGrid>
        <w:gridCol w:w="1405"/>
        <w:gridCol w:w="1277"/>
        <w:gridCol w:w="2554"/>
        <w:gridCol w:w="2682"/>
      </w:tblGrid>
      <w:tr>
        <w:trPr>
          <w:tblHeader w:val="true"/>
        </w:trPr>
        <w:tc>
          <w:tcPr/>
          <w:p>
            <w:pPr>
              <w:pStyle w:val="Compact"/>
              <w:jc w:val="left"/>
            </w:pPr>
            <w:r>
              <w:t xml:space="preserve">Challenge</w:t>
            </w:r>
          </w:p>
        </w:tc>
        <w:tc>
          <w:tcPr/>
          <w:p>
            <w:pPr>
              <w:pStyle w:val="Compact"/>
              <w:jc w:val="left"/>
            </w:pPr>
            <w:r>
              <w:t xml:space="preserve">Severity</w:t>
            </w:r>
          </w:p>
        </w:tc>
        <w:tc>
          <w:tcPr/>
          <w:p>
            <w:pPr>
              <w:pStyle w:val="Compact"/>
              <w:jc w:val="left"/>
            </w:pPr>
            <w:r>
              <w:t xml:space="preserve">Quantified Impact</w:t>
            </w:r>
          </w:p>
        </w:tc>
        <w:tc>
          <w:tcPr/>
          <w:p>
            <w:pPr>
              <w:pStyle w:val="Compact"/>
              <w:jc w:val="left"/>
            </w:pPr>
            <w:r>
              <w:t xml:space="preserve">Platform Mitigation</w:t>
            </w:r>
          </w:p>
        </w:tc>
      </w:tr>
      <w:tr>
        <w:tc>
          <w:tcPr/>
          <w:p>
            <w:pPr>
              <w:pStyle w:val="Compact"/>
              <w:jc w:val="left"/>
            </w:pPr>
            <w:r>
              <w:t xml:space="preserve">Practitioner shortage</w:t>
            </w:r>
          </w:p>
        </w:tc>
        <w:tc>
          <w:tcPr/>
          <w:p>
            <w:pPr>
              <w:pStyle w:val="Compact"/>
              <w:jc w:val="left"/>
            </w:pPr>
            <w:r>
              <w:t xml:space="preserve">Critical</w:t>
            </w:r>
          </w:p>
        </w:tc>
        <w:tc>
          <w:tcPr/>
          <w:p>
            <w:pPr>
              <w:pStyle w:val="Compact"/>
              <w:jc w:val="left"/>
            </w:pPr>
            <w:r>
              <w:t xml:space="preserve">88,000–99,780 mental health counselor deficit by 2038</w:t>
            </w:r>
            <w:r>
              <w:t xml:space="preserve"> </w:t>
            </w:r>
            <w:fldSimple w:instr="NOTEREF _Ref_Footnote_216 \h \f">
              <w:r>
                <w:rPr>
                  <w:vertAlign w:val="superscript"/>
                </w:rPr>
                <w:t>216</w:t>
              </w:r>
            </w:fldSimple>
            <w:r>
              <w:t xml:space="preserve">; &lt;500 BC-DMTs in U.S.</w:t>
            </w:r>
            <w:r>
              <w:t xml:space="preserve"> </w:t>
            </w:r>
            <w:fldSimple w:instr="NOTEREF _Ref_Footnote_155 \h \f">
              <w:r>
                <w:rPr>
                  <w:vertAlign w:val="superscript"/>
                </w:rPr>
                <w:t>155</w:t>
              </w:r>
            </w:fldSimple>
          </w:p>
        </w:tc>
        <w:tc>
          <w:tcPr/>
          <w:p>
            <w:pPr>
              <w:pStyle w:val="Compact"/>
              <w:jc w:val="left"/>
            </w:pPr>
            <w:r>
              <w:t xml:space="preserve">Practice startup tools; group formation; supervision marketplace</w:t>
            </w:r>
          </w:p>
        </w:tc>
      </w:tr>
      <w:tr>
        <w:tc>
          <w:tcPr/>
          <w:p>
            <w:pPr>
              <w:pStyle w:val="Compact"/>
              <w:jc w:val="left"/>
            </w:pPr>
            <w:r>
              <w:t xml:space="preserve">Cost barrier</w:t>
            </w:r>
          </w:p>
        </w:tc>
        <w:tc>
          <w:tcPr/>
          <w:p>
            <w:pPr>
              <w:pStyle w:val="Compact"/>
              <w:jc w:val="left"/>
            </w:pPr>
            <w:r>
              <w:t xml:space="preserve">Major</w:t>
            </w:r>
          </w:p>
        </w:tc>
        <w:tc>
          <w:tcPr/>
          <w:p>
            <w:pPr>
              <w:pStyle w:val="Compact"/>
              <w:jc w:val="left"/>
            </w:pPr>
            <w:r>
              <w:t xml:space="preserve">$125–$350/session; 85–88% out-of-network</w:t>
            </w:r>
            <w:r>
              <w:t xml:space="preserve"> </w:t>
            </w:r>
            <w:fldSimple w:instr="NOTEREF _Ref_Footnote_32 \h \f">
              <w:r>
                <w:rPr>
                  <w:vertAlign w:val="superscript"/>
                </w:rPr>
                <w:t>32</w:t>
              </w:r>
            </w:fldSimple>
          </w:p>
        </w:tc>
        <w:tc>
          <w:tcPr/>
          <w:p>
            <w:pPr>
              <w:pStyle w:val="Compact"/>
              <w:jc w:val="left"/>
            </w:pPr>
            <w:r>
              <w:t xml:space="preserve">Automated OON reimbursement; sliding-scale group sessions</w:t>
            </w:r>
          </w:p>
        </w:tc>
      </w:tr>
      <w:tr>
        <w:tc>
          <w:tcPr/>
          <w:p>
            <w:pPr>
              <w:pStyle w:val="Compact"/>
              <w:jc w:val="left"/>
            </w:pPr>
            <w:r>
              <w:t xml:space="preserve">Evidence gaps</w:t>
            </w:r>
          </w:p>
        </w:tc>
        <w:tc>
          <w:tcPr/>
          <w:p>
            <w:pPr>
              <w:pStyle w:val="Compact"/>
              <w:jc w:val="left"/>
            </w:pPr>
            <w:r>
              <w:t xml:space="preserve">Moderate</w:t>
            </w:r>
          </w:p>
        </w:tc>
        <w:tc>
          <w:tcPr/>
          <w:p>
            <w:pPr>
              <w:pStyle w:val="Compact"/>
              <w:jc w:val="left"/>
            </w:pPr>
            <w:r>
              <w:t xml:space="preserve">VA/DoD</w:t>
            </w:r>
            <w:r>
              <w:t xml:space="preserve"> </w:t>
            </w:r>
            <w:r>
              <w:t xml:space="preserve">“</w:t>
            </w:r>
            <w:r>
              <w:t xml:space="preserve">insufficient evidence</w:t>
            </w:r>
            <w:r>
              <w:t xml:space="preserve">”</w:t>
            </w:r>
            <w:r>
              <w:t xml:space="preserve"> </w:t>
            </w:r>
            <w:r>
              <w:t xml:space="preserve">ratings; only 1/15 DMT trauma studies report PTSD reduction</w:t>
            </w:r>
            <w:r>
              <w:t xml:space="preserve"> </w:t>
            </w:r>
            <w:fldSimple w:instr="NOTEREF _Ref_Footnote_217 \h \f">
              <w:r>
                <w:rPr>
                  <w:vertAlign w:val="superscript"/>
                </w:rPr>
                <w:t>217</w:t>
              </w:r>
            </w:fldSimple>
          </w:p>
        </w:tc>
        <w:tc>
          <w:tcPr/>
          <w:p>
            <w:pPr>
              <w:pStyle w:val="Compact"/>
              <w:jc w:val="left"/>
            </w:pPr>
            <w:r>
              <w:t xml:space="preserve">Integrated outcome measurement; real-world effectiveness data</w:t>
            </w:r>
          </w:p>
        </w:tc>
      </w:tr>
      <w:tr>
        <w:tc>
          <w:tcPr/>
          <w:p>
            <w:pPr>
              <w:pStyle w:val="Compact"/>
              <w:jc w:val="left"/>
            </w:pPr>
            <w:r>
              <w:t xml:space="preserve">Regulatory fragmentation</w:t>
            </w:r>
          </w:p>
        </w:tc>
        <w:tc>
          <w:tcPr/>
          <w:p>
            <w:pPr>
              <w:pStyle w:val="Compact"/>
              <w:jc w:val="left"/>
            </w:pPr>
            <w:r>
              <w:t xml:space="preserve">Moderate</w:t>
            </w:r>
          </w:p>
        </w:tc>
        <w:tc>
          <w:tcPr/>
          <w:p>
            <w:pPr>
              <w:pStyle w:val="Compact"/>
              <w:jc w:val="left"/>
            </w:pPr>
            <w:r>
              <w:t xml:space="preserve">State-by-state variation; no unified licensure</w:t>
            </w:r>
            <w:r>
              <w:t xml:space="preserve"> </w:t>
            </w:r>
            <w:fldSimple w:instr="NOTEREF _Ref_Footnote_216 \h \f">
              <w:r>
                <w:rPr>
                  <w:vertAlign w:val="superscript"/>
                </w:rPr>
                <w:t>216</w:t>
              </w:r>
            </w:fldSimple>
          </w:p>
        </w:tc>
        <w:tc>
          <w:tcPr/>
          <w:p>
            <w:pPr>
              <w:pStyle w:val="Compact"/>
              <w:jc w:val="left"/>
            </w:pPr>
            <w:r>
              <w:t xml:space="preserve">Credential verification; compliance automation; jurisdiction-aware scheduling</w:t>
            </w:r>
          </w:p>
        </w:tc>
      </w:tr>
    </w:tbl>
    <w:p>
      <w:pPr>
        <w:pStyle w:val="BodyText"/>
      </w:pPr>
      <w:r>
        <w:t xml:space="preserve">The confluence of these challenges with the market opportunity documented in Sections 4.1–4.3 defines the platform’s strategic terrain. The market is large ($4.1 billion), fast-growing (17% CAGR), and structurally underserved—practitioners are fragmented, isolated, and lacking technology purpose-built for their work. The growth drivers are durable: post-COVID trauma demand, social media-driven consumer awareness, corporate wellness expansion, and a generational shift in mental health preferences. The challenges are real but navigable: supply constraints can be addressed through practice efficiency tools, cost barriers through insurance automation, evidence gaps through integrated outcome tracking, and regulatory fragmentation through compliance infrastructure. A platform that systematically removes these four barriers stands to capture significant value from one of the fastest-growing segments in mental health.</w:t>
      </w:r>
    </w:p>
    <w:p>
      <w:r>
        <w:pict>
          <v:rect style="width:0;height:1.5pt" o:hralign="center" o:hrstd="t" o:hr="t"/>
        </w:pict>
      </w:r>
    </w:p>
    <w:bookmarkEnd w:id="125"/>
    <w:bookmarkEnd w:id="126"/>
    <w:bookmarkEnd w:id="127"/>
    <w:bookmarkStart w:id="135" w:name="digital-platform-competitive-landscape"/>
    <w:p>
      <w:pPr>
        <w:pStyle w:val="Heading2"/>
      </w:pPr>
      <w:r>
        <w:t xml:space="preserve">5. Digital Platform &amp; Competitive Landscape</w:t>
      </w:r>
    </w:p>
    <w:bookmarkStart w:id="128" w:name="current-platform-landscape"/>
    <w:p>
      <w:pPr>
        <w:pStyle w:val="Heading3"/>
      </w:pPr>
      <w:r>
        <w:t xml:space="preserve">5.1 Current Platform Landscape</w:t>
      </w:r>
    </w:p>
    <w:p>
      <w:pPr>
        <w:pStyle w:val="FirstParagraph"/>
      </w:pPr>
      <w:r>
        <w:t xml:space="preserve">The global somatic therapy market, valued at $4.0–4.7 billion in 2025 and projected to reach $12.4–19.7 billion by 2032–2035 at a 16.8–17.7% CAGR</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 </w:t>
      </w:r>
      <w:r>
        <w:rPr>
          <w:vertAlign w:val="superscript"/>
        </w:rPr>
        <w:footnoteReference w:id="221"/>
      </w:r>
      <w:r>
        <w:t xml:space="preserve">, is served by a digital infrastructure that remains strikingly fragmented. No single platform combines directory services, booking, telehealth, practice management, and continuing education (CE) for body-based practitioners. Instead, the competitive landscape is partitioned into five distinct categories—directories, telehealth giants, practice management systems, education platforms, and emerging wellness marketplaces—each serving a narrow slice of the practitioner workflow and none optimized for the somatic modality. This fragmentation forces practitioners to subscribe to five or more disconnected tools at a combined cost of $400–600 per month, while clients seeking somatic therapy navigate a bewildering maze of certification directories with no scheduling, booking, or payment integration.</w:t>
      </w:r>
    </w:p>
    <w:p>
      <w:pPr>
        <w:pStyle w:val="BodyText"/>
      </w:pPr>
      <w:r>
        <w:rPr>
          <w:bCs/>
          <w:b/>
        </w:rPr>
        <w:t xml:space="preserve">Directories: Passive Lists Without Transaction Capability.</w:t>
      </w:r>
      <w:r>
        <w:t xml:space="preserve"> </w:t>
      </w:r>
      <w:r>
        <w:t xml:space="preserve">The dominant generalist directory, Psychology Today, offers a</w:t>
      </w:r>
      <w:r>
        <w:t xml:space="preserve"> </w:t>
      </w:r>
      <w:r>
        <w:t xml:space="preserve">“</w:t>
      </w:r>
      <w:r>
        <w:t xml:space="preserve">somatic therapy</w:t>
      </w:r>
      <w:r>
        <w:t xml:space="preserve">”</w:t>
      </w:r>
      <w:r>
        <w:t xml:space="preserve"> </w:t>
      </w:r>
      <w:r>
        <w:t xml:space="preserve">filter that is essentially a keyword tag rather than a specialized search experience</w:t>
      </w:r>
      <w:r>
        <w:t xml:space="preserve"> </w:t>
      </w:r>
      <w:r>
        <w:rPr>
          <w:vertAlign w:val="superscript"/>
        </w:rPr>
        <w:footnoteReference w:id="222"/>
      </w:r>
      <w:r>
        <w:t xml:space="preserve">. Practitioners pay $30–60 per month for a static listing with no booking integration, no modality verification, and no body-based credential display. TherapyDen provides a more progressive interface with dedicated</w:t>
      </w:r>
      <w:r>
        <w:t xml:space="preserve"> </w:t>
      </w:r>
      <w:r>
        <w:t xml:space="preserve">“</w:t>
      </w:r>
      <w:r>
        <w:t xml:space="preserve">Somatic Therapy</w:t>
      </w:r>
      <w:r>
        <w:t xml:space="preserve">”</w:t>
      </w:r>
      <w:r>
        <w:t xml:space="preserve"> </w:t>
      </w:r>
      <w:r>
        <w:t xml:space="preserve">specialty pages, map-based search, and transparent pricing</w:t>
      </w:r>
      <w:r>
        <w:t xml:space="preserve"> </w:t>
      </w:r>
      <w:r>
        <w:rPr>
          <w:vertAlign w:val="superscript"/>
        </w:rPr>
        <w:footnoteReference w:id="223"/>
      </w:r>
      <w:r>
        <w:t xml:space="preserve">, yet remains a passive referral tool. Among somatic-specific directories, the Somatic Experiencing International (SEI) Practitioner Directory lists 4,000+ practitioners across 46 countries with certification-level filtering</w:t>
      </w:r>
      <w:r>
        <w:t xml:space="preserve"> </w:t>
      </w:r>
      <w:r>
        <w:rPr>
          <w:vertAlign w:val="superscript"/>
        </w:rPr>
        <w:footnoteReference w:id="224"/>
      </w:r>
      <w:r>
        <w:t xml:space="preserve">, the Hakomi Institute directory enables searches by language, sliding-scale availability, and identity-affirming indicators</w:t>
      </w:r>
      <w:r>
        <w:t xml:space="preserve"> </w:t>
      </w:r>
      <w:r>
        <w:rPr>
          <w:vertAlign w:val="superscript"/>
        </w:rPr>
        <w:footnoteReference w:id="225"/>
      </w:r>
      <w:r>
        <w:t xml:space="preserve">, and the Sensorimotor Psychotherapy Institute (SPI) directory tracks training levels with granular precision (1,547 Level 1 completers, 397 fully certified)</w:t>
      </w:r>
      <w:r>
        <w:t xml:space="preserve"> </w:t>
      </w:r>
      <w:fldSimple w:instr="NOTEREF _Ref_Footnote_200 \h \f">
        <w:r>
          <w:rPr>
            <w:vertAlign w:val="superscript"/>
          </w:rPr>
          <w:t>200</w:t>
        </w:r>
      </w:fldSimple>
      <w:r>
        <w:t xml:space="preserve">. The Embody Lab claims the highest search traffic of any somatic therapy site and operates its own directory with a 90-day free trial followed by $24.95 per month</w:t>
      </w:r>
      <w:r>
        <w:t xml:space="preserve"> </w:t>
      </w:r>
      <w:r>
        <w:rPr>
          <w:vertAlign w:val="superscript"/>
        </w:rPr>
        <w:footnoteReference w:id="226"/>
      </w:r>
      <w:r>
        <w:t xml:space="preserve"> </w:t>
      </w:r>
      <w:r>
        <w:rPr>
          <w:vertAlign w:val="superscript"/>
        </w:rPr>
        <w:footnoteReference w:id="227"/>
      </w:r>
      <w:r>
        <w:t xml:space="preserve">. Yet every one of these directories shares the same limitation: they are referral-only. No booking, no scheduling, no payment processing, and no telehealth integration. The client journey stops at a phone number or email link.</w:t>
      </w:r>
    </w:p>
    <w:p>
      <w:pPr>
        <w:pStyle w:val="BodyText"/>
      </w:pPr>
      <w:r>
        <w:rPr>
          <w:bCs/>
          <w:b/>
        </w:rPr>
        <w:t xml:space="preserve">Telehealth: Face-Centric by Design.</w:t>
      </w:r>
      <w:r>
        <w:t xml:space="preserve"> </w:t>
      </w:r>
      <w:r>
        <w:t xml:space="preserve">BetterHelp, the largest online therapy platform globally with more than 2 million clients, and Talkspace, which accepts major insurance plans including Cigna, Optum, and Aetna, both deliver therapy through video, audio, and messaging formats fundamentally architected for face-centric conversation</w:t>
      </w:r>
      <w:r>
        <w:t xml:space="preserve"> </w:t>
      </w:r>
      <w:r>
        <w:rPr>
          <w:vertAlign w:val="superscript"/>
        </w:rPr>
        <w:footnoteReference w:id="228"/>
      </w:r>
      <w:r>
        <w:t xml:space="preserve"> </w:t>
      </w:r>
      <w:r>
        <w:rPr>
          <w:vertAlign w:val="superscript"/>
        </w:rPr>
        <w:footnoteReference w:id="229"/>
      </w:r>
      <w:r>
        <w:t xml:space="preserve">. Neither platform supports full-body video framing, movement observation, or the spatial configurations that body-based therapy requires. Research on tele-dance movement therapy identified that</w:t>
      </w:r>
      <w:r>
        <w:t xml:space="preserve"> </w:t>
      </w:r>
      <w:r>
        <w:t xml:space="preserve">“</w:t>
      </w:r>
      <w:r>
        <w:t xml:space="preserve">nonverbal cues are limited to the upper body in comparison to the full body experienced in face-to-face</w:t>
      </w:r>
      <w:r>
        <w:t xml:space="preserve">”</w:t>
      </w:r>
      <w:r>
        <w:t xml:space="preserve"> </w:t>
      </w:r>
      <w:r>
        <w:t xml:space="preserve">and that</w:t>
      </w:r>
      <w:r>
        <w:t xml:space="preserve"> </w:t>
      </w:r>
      <w:r>
        <w:t xml:space="preserve">“</w:t>
      </w:r>
      <w:r>
        <w:t xml:space="preserve">videoconferencing requires users to stay in the box in order to be seen by others, which results in limited mobility</w:t>
      </w:r>
      <w:r>
        <w:t xml:space="preserve">”</w:t>
      </w:r>
      <w:r>
        <w:t xml:space="preserve"> </w:t>
      </w:r>
      <w:fldSimple w:instr="NOTEREF _Ref_Footnote_188 \h \f">
        <w:r>
          <w:rPr>
            <w:vertAlign w:val="superscript"/>
          </w:rPr>
          <w:t>188</w:t>
        </w:r>
      </w:fldSimple>
      <w:r>
        <w:t xml:space="preserve">. BetterHelp’s video format constrains the therapist’s ability to observe foot tapping, shoulder tension, or postural shifts essential for somatic assessment</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Talkspace’s messaging-first model is even less compatible with body-based work</w:t>
      </w:r>
      <w:r>
        <w:t xml:space="preserve"> </w:t>
      </w:r>
      <w:fldSimple w:instr="NOTEREF _Ref_Footnote_115 \h \f">
        <w:r>
          <w:rPr>
            <w:vertAlign w:val="superscript"/>
          </w:rPr>
          <w:t>115</w:t>
        </w:r>
      </w:fldSimple>
      <w:r>
        <w:t xml:space="preserve">. SimplePractice, the leading EHR for therapists with 16% telehealth market share among pandemic-era adopters, includes built-in HIPAA-compliant video but offers no somatic-specific features</w:t>
      </w:r>
      <w:r>
        <w:t xml:space="preserve"> </w:t>
      </w:r>
      <w:r>
        <w:rPr>
          <w:vertAlign w:val="superscript"/>
        </w:rPr>
        <w:footnoteReference w:id="230"/>
      </w:r>
      <w:r>
        <w:t xml:space="preserve"> </w:t>
      </w:r>
      <w:r>
        <w:rPr>
          <w:vertAlign w:val="superscript"/>
        </w:rPr>
        <w:footnoteReference w:id="231"/>
      </w:r>
      <w:r>
        <w:t xml:space="preserve">.</w:t>
      </w:r>
    </w:p>
    <w:p>
      <w:pPr>
        <w:pStyle w:val="BodyText"/>
      </w:pPr>
      <w:r>
        <w:rPr>
          <w:bCs/>
          <w:b/>
        </w:rPr>
        <w:t xml:space="preserve">Practice Management: Talk-Therapy-Oriented Infrastructure.</w:t>
      </w:r>
      <w:r>
        <w:t xml:space="preserve"> </w:t>
      </w:r>
      <w:r>
        <w:t xml:space="preserve">SimplePractice dominates the EHR category for mental health practitioners with subscription plans ranging from $39 to $99 per month, comprehensive documentation templates, insurance claim filing, and a built-in client portal</w:t>
      </w:r>
      <w:r>
        <w:t xml:space="preserve"> </w:t>
      </w:r>
      <w:fldSimple w:instr="NOTEREF _Ref_Footnote_230 \h \f">
        <w:r>
          <w:rPr>
            <w:vertAlign w:val="superscript"/>
          </w:rPr>
          <w:t>230</w:t>
        </w:r>
      </w:fldSimple>
      <w:r>
        <w:t xml:space="preserve"> </w:t>
      </w:r>
      <w:r>
        <w:rPr>
          <w:vertAlign w:val="superscript"/>
        </w:rPr>
        <w:footnoteReference w:id="232"/>
      </w:r>
      <w:r>
        <w:t xml:space="preserve">. Yet it offers no somatic-specific intake forms, no body-based assessment templates, and no movement-tracking capabilities. Alma, priced at $125 per month or $1,140 annually, combines EHR functionality with insurance credentialing that reduces paneling timelines from 90–120 days to approximately 30 days, peer consultation groups featuring high-profile advisors, and a provider directory for client referrals</w:t>
      </w:r>
      <w:r>
        <w:t xml:space="preserve"> </w:t>
      </w:r>
      <w:r>
        <w:rPr>
          <w:vertAlign w:val="superscript"/>
        </w:rPr>
        <w:footnoteReference w:id="233"/>
      </w:r>
      <w:r>
        <w:t xml:space="preserve"> </w:t>
      </w:r>
      <w:r>
        <w:rPr>
          <w:vertAlign w:val="superscript"/>
        </w:rPr>
        <w:footnoteReference w:id="234"/>
      </w:r>
      <w:r>
        <w:t xml:space="preserve">. Headway has achieved a $2.3 billion valuation by solving the insurance billing problem for 60,000+ providers across all 50 states, processing 600,000+ monthly appointments and $1 billion+ in annualized billings</w:t>
      </w:r>
      <w:r>
        <w:t xml:space="preserve"> </w:t>
      </w:r>
      <w:fldSimple w:instr="NOTEREF _Ref_Footnote_8 \h \f">
        <w:r>
          <w:rPr>
            <w:vertAlign w:val="superscript"/>
          </w:rPr>
          <w:t>8</w:t>
        </w:r>
      </w:fldSimple>
      <w:r>
        <w:t xml:space="preserve"> </w:t>
      </w:r>
      <w:r>
        <w:rPr>
          <w:vertAlign w:val="superscript"/>
        </w:rPr>
        <w:footnoteReference w:id="235"/>
      </w:r>
      <w:r>
        <w:t xml:space="preserve">. Its three-sided marketplace connecting patients, therapists, and insurers is free for therapists—Headway takes a percentage of insurance reimbursements processed through the platform</w:t>
      </w:r>
      <w:r>
        <w:t xml:space="preserve"> </w:t>
      </w:r>
      <w:fldSimple w:instr="NOTEREF _Ref_Footnote_8 \h \f">
        <w:r>
          <w:rPr>
            <w:vertAlign w:val="superscript"/>
          </w:rPr>
          <w:t>8</w:t>
        </w:r>
      </w:fldSimple>
      <w:r>
        <w:t xml:space="preserve"> </w:t>
      </w:r>
      <w:r>
        <w:rPr>
          <w:vertAlign w:val="superscript"/>
        </w:rPr>
        <w:footnoteReference w:id="236"/>
      </w:r>
      <w:r>
        <w:t xml:space="preserve">. Despite their scale, all three platforms are designed for talk therapy and psychiatric medication management. None have somatic-specific features, body-based modality directories, or nervous system regulation tools</w:t>
      </w:r>
      <w:r>
        <w:t xml:space="preserve"> </w:t>
      </w:r>
      <w:fldSimple w:instr="NOTEREF _Ref_Footnote_234 \h \f">
        <w:r>
          <w:rPr>
            <w:vertAlign w:val="superscript"/>
          </w:rPr>
          <w:t>234</w:t>
        </w:r>
      </w:fldSimple>
      <w:r>
        <w:t xml:space="preserve">.</w:t>
      </w:r>
    </w:p>
    <w:p>
      <w:pPr>
        <w:pStyle w:val="BodyText"/>
      </w:pPr>
      <w:r>
        <w:rPr>
          <w:bCs/>
          <w:b/>
        </w:rPr>
        <w:t xml:space="preserve">Education Platforms: Training Without Practice Integration.</w:t>
      </w:r>
      <w:r>
        <w:t xml:space="preserve"> </w:t>
      </w:r>
      <w:r>
        <w:t xml:space="preserve">The Embody Lab, co-founded by Dr. Scott Lyons, has become the largest global somatic therapy education platform, offering certificate programs such as the 100-hour Somatic Stress Release Certificate ($1,947), the 60-hour Integrative Somatic Trauma Therapy Certificate (~$1,487), and the Somatic EMDR Therapy Certificate (60 hours, 60 CE credits)</w:t>
      </w:r>
      <w:r>
        <w:t xml:space="preserve"> </w:t>
      </w:r>
      <w:fldSimple w:instr="NOTEREF _Ref_Footnote_10 \h \f">
        <w:r>
          <w:rPr>
            <w:vertAlign w:val="superscript"/>
          </w:rPr>
          <w:t>10</w:t>
        </w:r>
      </w:fldSimple>
      <w:r>
        <w:t xml:space="preserve"> </w:t>
      </w:r>
      <w:r>
        <w:rPr>
          <w:vertAlign w:val="superscript"/>
        </w:rPr>
        <w:footnoteReference w:id="237"/>
      </w:r>
      <w:r>
        <w:t xml:space="preserve"> </w:t>
      </w:r>
      <w:r>
        <w:rPr>
          <w:vertAlign w:val="superscript"/>
        </w:rPr>
        <w:footnoteReference w:id="238"/>
      </w:r>
      <w:r>
        <w:t xml:space="preserve">. Its faculty includes the most recognized names in the field—Peter Levine, Stephen Porges, Richard Schwartz, Dan Siegel—creating unmatched brand authority</w:t>
      </w:r>
      <w:r>
        <w:t xml:space="preserve"> </w:t>
      </w:r>
      <w:fldSimple w:instr="NOTEREF _Ref_Footnote_10 \h \f">
        <w:r>
          <w:rPr>
            <w:vertAlign w:val="superscript"/>
          </w:rPr>
          <w:t>10</w:t>
        </w:r>
      </w:fldSimple>
      <w:r>
        <w:t xml:space="preserve"> </w:t>
      </w:r>
      <w:r>
        <w:rPr>
          <w:vertAlign w:val="superscript"/>
        </w:rPr>
        <w:footnoteReference w:id="239"/>
      </w:r>
      <w:r>
        <w:t xml:space="preserve">. PESI, the largest CE provider for mental health professionals in the US, offers extensive somatic therapy certification programs through its Evergreen Certifications partnership, with courses taught by the same leading practitioners</w:t>
      </w:r>
      <w:r>
        <w:t xml:space="preserve"> </w:t>
      </w:r>
      <w:r>
        <w:rPr>
          <w:vertAlign w:val="superscript"/>
        </w:rPr>
        <w:footnoteReference w:id="240"/>
      </w:r>
      <w:r>
        <w:t xml:space="preserve"> </w:t>
      </w:r>
      <w:r>
        <w:rPr>
          <w:vertAlign w:val="superscript"/>
        </w:rPr>
        <w:footnoteReference w:id="241"/>
      </w:r>
      <w:r>
        <w:t xml:space="preserve">. SEI and SPI operate their own training programs with rigorous multi-year curricula. Yet none of these education platforms connect graduates to clients. The Embody Lab’s directory is the closest approximation, but it lacks booking, practice management, and telehealth infrastructure. This creates what can be termed the</w:t>
      </w:r>
      <w:r>
        <w:t xml:space="preserve"> </w:t>
      </w:r>
      <w:r>
        <w:t xml:space="preserve">“</w:t>
      </w:r>
      <w:r>
        <w:t xml:space="preserve">graduation cliff</w:t>
      </w:r>
      <w:r>
        <w:t xml:space="preserve">”</w:t>
      </w:r>
      <w:r>
        <w:t xml:space="preserve">—newly certified practitioners struggle to find clients, while clients seeking verified somatic therapists cannot complete their search within the same ecosystem.</w:t>
      </w:r>
    </w:p>
    <w:bookmarkEnd w:id="128"/>
    <w:bookmarkStart w:id="129" w:name="technology-gaps"/>
    <w:p>
      <w:pPr>
        <w:pStyle w:val="Heading3"/>
      </w:pPr>
      <w:r>
        <w:t xml:space="preserve">5.2 Technology Gaps</w:t>
      </w:r>
    </w:p>
    <w:p>
      <w:pPr>
        <w:pStyle w:val="FirstParagraph"/>
      </w:pPr>
      <w:r>
        <w:t xml:space="preserve">The structural fragmentation described above maps to four specific technology gaps that represent both barriers to effective care and high-value product opportunities for a purpose-built platform.</w:t>
      </w:r>
    </w:p>
    <w:p>
      <w:pPr>
        <w:pStyle w:val="BodyText"/>
      </w:pPr>
      <w:r>
        <w:rPr>
          <w:bCs/>
          <w:b/>
        </w:rPr>
        <w:t xml:space="preserve">The</w:t>
      </w:r>
      <w:r>
        <w:rPr>
          <w:bCs/>
          <w:b/>
        </w:rPr>
        <w:t xml:space="preserve"> </w:t>
      </w:r>
      <w:r>
        <w:rPr>
          <w:bCs/>
          <w:b/>
        </w:rPr>
        <w:t xml:space="preserve">“</w:t>
      </w:r>
      <w:r>
        <w:rPr>
          <w:bCs/>
          <w:b/>
        </w:rPr>
        <w:t xml:space="preserve">Body-Blind Telehealth</w:t>
      </w:r>
      <w:r>
        <w:rPr>
          <w:bCs/>
          <w:b/>
        </w:rPr>
        <w:t xml:space="preserve">”</w:t>
      </w:r>
      <w:r>
        <w:rPr>
          <w:bCs/>
          <w:b/>
        </w:rPr>
        <w:t xml:space="preserve"> </w:t>
      </w:r>
      <w:r>
        <w:rPr>
          <w:bCs/>
          <w:b/>
        </w:rPr>
        <w:t xml:space="preserve">Problem.</w:t>
      </w:r>
      <w:r>
        <w:t xml:space="preserve"> </w:t>
      </w:r>
      <w:r>
        <w:t xml:space="preserve">Current telehealth platforms are designed for what can be characterized as the</w:t>
      </w:r>
      <w:r>
        <w:t xml:space="preserve"> </w:t>
      </w:r>
      <w:r>
        <w:t xml:space="preserve">“</w:t>
      </w:r>
      <w:r>
        <w:t xml:space="preserve">talking heads</w:t>
      </w:r>
      <w:r>
        <w:t xml:space="preserve">”</w:t>
      </w:r>
      <w:r>
        <w:t xml:space="preserve"> </w:t>
      </w:r>
      <w:r>
        <w:t xml:space="preserve">paradigm: a face-centered video feed optimized for verbal dialogue and emotional expression through facial cues. Somatic therapy requires fundamentally different technical affordances. Clinical guidelines for telehealth video sessions specify minimum 6 feet of clearance in all directions, camera placement at chest height, 90-degree positioning on a stable mount, and full-body framing throughout the session to enable observation of the complete kinetic chain</w:t>
      </w:r>
      <w:r>
        <w:t xml:space="preserve"> </w:t>
      </w:r>
      <w:fldSimple w:instr="NOTEREF _Ref_Footnote_28 \h \f">
        <w:r>
          <w:rPr>
            <w:vertAlign w:val="superscript"/>
          </w:rPr>
          <w:t>28</w:t>
        </w:r>
      </w:fldSimple>
      <w:r>
        <w:t xml:space="preserve"> </w:t>
      </w:r>
      <w:r>
        <w:rPr>
          <w:vertAlign w:val="superscript"/>
        </w:rPr>
        <w:footnoteReference w:id="242"/>
      </w:r>
      <w:r>
        <w:t xml:space="preserve">. No existing platform enforces or even guides these spatial requirements. DMT research found that</w:t>
      </w:r>
      <w:r>
        <w:t xml:space="preserve"> </w:t>
      </w:r>
      <w:r>
        <w:t xml:space="preserve">“</w:t>
      </w:r>
      <w:r>
        <w:t xml:space="preserve">the child moving outside of the camera frame made it difficult for the therapist to view what was going on</w:t>
      </w:r>
      <w:r>
        <w:t xml:space="preserve">”</w:t>
      </w:r>
      <w:r>
        <w:t xml:space="preserve"> </w:t>
      </w:r>
      <w:r>
        <w:t xml:space="preserve">and that</w:t>
      </w:r>
      <w:r>
        <w:t xml:space="preserve"> </w:t>
      </w:r>
      <w:r>
        <w:t xml:space="preserve">“</w:t>
      </w:r>
      <w:r>
        <w:t xml:space="preserve">difficulties in viewing the whole body must be accommodated</w:t>
      </w:r>
      <w:r>
        <w:t xml:space="preserve">”</w:t>
      </w:r>
      <w:r>
        <w:t xml:space="preserve"> </w:t>
      </w:r>
      <w:r>
        <w:t xml:space="preserve">as a core design challenge</w:t>
      </w:r>
      <w:r>
        <w:t xml:space="preserve"> </w:t>
      </w:r>
      <w:fldSimple w:instr="NOTEREF _Ref_Footnote_187 \h \f">
        <w:r>
          <w:rPr>
            <w:vertAlign w:val="superscript"/>
          </w:rPr>
          <w:t>187</w:t>
        </w:r>
      </w:fldSimple>
      <w:r>
        <w:t xml:space="preserve">. All major platforms—SimplePractice, Doxy.me, Zoom for Healthcare, TherapyNotes—support only single-camera feeds, auto-crop to the face, and compress video in ways that lose movement detail critical for clinical assessment</w:t>
      </w:r>
      <w:r>
        <w:t xml:space="preserve"> </w:t>
      </w:r>
      <w:r>
        <w:rPr>
          <w:vertAlign w:val="superscript"/>
        </w:rPr>
        <w:footnoteReference w:id="243"/>
      </w:r>
      <w:r>
        <w:t xml:space="preserve">. The gap extends beyond video: no platform offers integrated pose tracking, movement annotation tools, or kinetic analysis despite the availability of clinically validated AI pose estimation frameworks such as MediaPipe, which achieves 97.2% keypoint accuracy and 95.8% pose classification accuracy versus physiotherapist assessment (ICC = 0.94)</w:t>
      </w:r>
      <w:r>
        <w:t xml:space="preserve"> </w:t>
      </w:r>
      <w:fldSimple w:instr="NOTEREF _Ref_Footnote_29 \h \f">
        <w:r>
          <w:rPr>
            <w:vertAlign w:val="superscript"/>
          </w:rPr>
          <w:t>29</w:t>
        </w:r>
      </w:fldSimple>
      <w:r>
        <w:t xml:space="preserve">.</w:t>
      </w:r>
    </w:p>
    <w:p>
      <w:pPr>
        <w:pStyle w:val="BodyText"/>
      </w:pPr>
      <w:r>
        <w:rPr>
          <w:bCs/>
          <w:b/>
        </w:rPr>
        <w:t xml:space="preserve">Wearable Integration Gap.</w:t>
      </w:r>
      <w:r>
        <w:t xml:space="preserve"> </w:t>
      </w:r>
      <w:r>
        <w:t xml:space="preserve">A growing ecosystem of wellness wearables targets nervous system regulation, yet none are integrated into clinical somatic therapy workflows. Apollo Neuro ($349 device, $80–100/year membership) delivers vagus nerve activation through vibration therapy and integrates with Oura Ring for bidirectional feedback, with one study showing statistically significant improvements in wellbeing and stress scores</w:t>
      </w:r>
      <w:r>
        <w:t xml:space="preserve"> </w:t>
      </w:r>
      <w:r>
        <w:rPr>
          <w:vertAlign w:val="superscript"/>
        </w:rPr>
        <w:footnoteReference w:id="244"/>
      </w:r>
      <w:r>
        <w:t xml:space="preserve"> </w:t>
      </w:r>
      <w:r>
        <w:rPr>
          <w:vertAlign w:val="superscript"/>
        </w:rPr>
        <w:footnoteReference w:id="245"/>
      </w:r>
      <w:r>
        <w:t xml:space="preserve">. The Muse 2 headband ($249.99) provides brain-sensing meditation feedback</w:t>
      </w:r>
      <w:r>
        <w:t xml:space="preserve"> </w:t>
      </w:r>
      <w:fldSimple w:instr="NOTEREF _Ref_Footnote_245 \h \f">
        <w:r>
          <w:rPr>
            <w:vertAlign w:val="superscript"/>
          </w:rPr>
          <w:t>245</w:t>
        </w:r>
      </w:fldSimple>
      <w:r>
        <w:t xml:space="preserve">. WHOOP and Apple Watch provide HRV data that could inform pre-session readiness assessment and real-time stress monitoring during sessions. Yet, as the research dimension on platform architecture documented,</w:t>
      </w:r>
      <w:r>
        <w:t xml:space="preserve"> </w:t>
      </w:r>
      <w:r>
        <w:t xml:space="preserve">“</w:t>
      </w:r>
      <w:r>
        <w:t xml:space="preserve">no platform connects wearable HRV data directly with somatic therapy sessions</w:t>
      </w:r>
      <w:r>
        <w:t xml:space="preserve">”</w:t>
      </w:r>
      <w:r>
        <w:t xml:space="preserve"> </w:t>
      </w:r>
      <w:fldSimple w:instr="NOTEREF _Ref_Footnote_30 \h \f">
        <w:r>
          <w:rPr>
            <w:vertAlign w:val="superscript"/>
          </w:rPr>
          <w:t>30</w:t>
        </w:r>
      </w:fldSimple>
      <w:r>
        <w:t xml:space="preserve"> </w:t>
      </w:r>
      <w:fldSimple w:instr="NOTEREF _Ref_Footnote_3 \h \f">
        <w:r>
          <w:rPr>
            <w:vertAlign w:val="superscript"/>
          </w:rPr>
          <w:t>3</w:t>
        </w:r>
      </w:fldSimple>
      <w:r>
        <w:t xml:space="preserve">. The wearable-to-clinical gap represents a significant data moat opportunity: platforms that close this loop can offer objective outcome measurement—HRV improvements correlated with session frequency and modality—that talk therapy platforms cannot replicate.</w:t>
      </w:r>
    </w:p>
    <w:p>
      <w:pPr>
        <w:pStyle w:val="BodyText"/>
      </w:pPr>
      <w:r>
        <w:rPr>
          <w:bCs/>
          <w:b/>
        </w:rPr>
        <w:t xml:space="preserve">No Hybrid Workflow Support.</w:t>
      </w:r>
      <w:r>
        <w:t xml:space="preserve"> </w:t>
      </w:r>
      <w:r>
        <w:t xml:space="preserve">Post-pandemic research indicates that only 28% of therapists prefer to use</w:t>
      </w:r>
      <w:r>
        <w:t xml:space="preserve"> </w:t>
      </w:r>
      <w:r>
        <w:t xml:space="preserve">“</w:t>
      </w:r>
      <w:r>
        <w:t xml:space="preserve">almost no</w:t>
      </w:r>
      <w:r>
        <w:t xml:space="preserve">”</w:t>
      </w:r>
      <w:r>
        <w:t xml:space="preserve"> </w:t>
      </w:r>
      <w:r>
        <w:t xml:space="preserve">telehealth, with the majority favoring a hybrid approach combining in-person and virtual sessions</w:t>
      </w:r>
      <w:r>
        <w:t xml:space="preserve"> </w:t>
      </w:r>
      <w:fldSimple w:instr="NOTEREF _Ref_Footnote_231 \h \f">
        <w:r>
          <w:rPr>
            <w:vertAlign w:val="superscript"/>
          </w:rPr>
          <w:t>231</w:t>
        </w:r>
      </w:fldSimple>
      <w:r>
        <w:t xml:space="preserve">. For somatic therapy, this hybrid model is arguably optimal: in-person sessions enable movement-based and touch-oriented interventions, while digital touchpoints between sessions—homework assignments, body awareness check-ins, HRV tracking, nervous system education—maintain therapeutic continuity. No platform currently supports this hybrid workflow. Existing tools bifurcate the experience: in-person sessions are managed through one scheduling and documentation system, while any digital engagement requires a separate telehealth platform with no shared data layer.</w:t>
      </w:r>
    </w:p>
    <w:p>
      <w:pPr>
        <w:pStyle w:val="BodyText"/>
      </w:pPr>
      <w:r>
        <w:rPr>
          <w:bCs/>
          <w:b/>
        </w:rPr>
        <w:t xml:space="preserve">Missing Somatic-Specific Features.</w:t>
      </w:r>
      <w:r>
        <w:t xml:space="preserve"> </w:t>
      </w:r>
      <w:r>
        <w:t xml:space="preserve">No existing practice management platform supports movement-based session notes, body map annotations for tracking somatic experiencing, video-based movement observations embedded in clinical documentation, or interoception homework assignment and compliance tracking. No EHR offers somatic-specific templates. No client portal provides structured body awareness journaling with therapist sharing options, movement practice logs with video upload capability, or HRV-mood correlation dashboards</w:t>
      </w:r>
      <w:r>
        <w:t xml:space="preserve"> </w:t>
      </w:r>
      <w:fldSimple w:instr="NOTEREF _Ref_Footnote_38 \h \f">
        <w:r>
          <w:rPr>
            <w:vertAlign w:val="superscript"/>
          </w:rPr>
          <w:t>38</w:t>
        </w:r>
      </w:fldSimple>
      <w:r>
        <w:t xml:space="preserve"> </w:t>
      </w:r>
      <w:r>
        <w:rPr>
          <w:vertAlign w:val="superscript"/>
        </w:rPr>
        <w:footnoteReference w:id="246"/>
      </w:r>
      <w:r>
        <w:t xml:space="preserve">. The table below maps these gaps across the eight most relevant platforms.</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Feature Domain</w:t>
            </w:r>
          </w:p>
        </w:tc>
        <w:tc>
          <w:tcPr/>
          <w:p>
            <w:pPr>
              <w:pStyle w:val="Compact"/>
              <w:jc w:val="left"/>
            </w:pPr>
            <w:r>
              <w:t xml:space="preserve">SimplePractice</w:t>
            </w:r>
          </w:p>
        </w:tc>
        <w:tc>
          <w:tcPr/>
          <w:p>
            <w:pPr>
              <w:pStyle w:val="Compact"/>
              <w:jc w:val="left"/>
            </w:pPr>
            <w:r>
              <w:t xml:space="preserve">Alma</w:t>
            </w:r>
          </w:p>
        </w:tc>
        <w:tc>
          <w:tcPr/>
          <w:p>
            <w:pPr>
              <w:pStyle w:val="Compact"/>
              <w:jc w:val="left"/>
            </w:pPr>
            <w:r>
              <w:t xml:space="preserve">Headway</w:t>
            </w:r>
          </w:p>
        </w:tc>
        <w:tc>
          <w:tcPr/>
          <w:p>
            <w:pPr>
              <w:pStyle w:val="Compact"/>
              <w:jc w:val="left"/>
            </w:pPr>
            <w:r>
              <w:t xml:space="preserve">Heallist</w:t>
            </w:r>
          </w:p>
        </w:tc>
        <w:tc>
          <w:tcPr/>
          <w:p>
            <w:pPr>
              <w:pStyle w:val="Compact"/>
              <w:jc w:val="left"/>
            </w:pPr>
            <w:r>
              <w:t xml:space="preserve">Embody Lab</w:t>
            </w:r>
          </w:p>
        </w:tc>
        <w:tc>
          <w:tcPr/>
          <w:p>
            <w:pPr>
              <w:pStyle w:val="Compact"/>
              <w:jc w:val="left"/>
            </w:pPr>
            <w:r>
              <w:t xml:space="preserve">NEUROFIT</w:t>
            </w:r>
          </w:p>
        </w:tc>
        <w:tc>
          <w:tcPr/>
          <w:p>
            <w:pPr>
              <w:pStyle w:val="Compact"/>
              <w:jc w:val="left"/>
            </w:pPr>
            <w:r>
              <w:t xml:space="preserve">SEI Directory</w:t>
            </w:r>
          </w:p>
        </w:tc>
        <w:tc>
          <w:tcPr/>
          <w:p>
            <w:pPr>
              <w:pStyle w:val="Compact"/>
              <w:jc w:val="left"/>
            </w:pPr>
            <w:r>
              <w:t xml:space="preserve">BetterHelp</w:t>
            </w:r>
          </w:p>
        </w:tc>
      </w:tr>
      <w:tr>
        <w:tc>
          <w:tcPr/>
          <w:p>
            <w:pPr>
              <w:pStyle w:val="Compact"/>
              <w:jc w:val="left"/>
            </w:pPr>
            <w:r>
              <w:t xml:space="preserve">Full-body video telehealth</w:t>
            </w:r>
          </w:p>
        </w:tc>
        <w:tc>
          <w:tcPr/>
          <w:p>
            <w:pPr>
              <w:pStyle w:val="Compact"/>
              <w:jc w:val="left"/>
            </w:pPr>
            <w:r>
              <w:t xml:space="preserve">No</w:t>
            </w:r>
            <w:r>
              <w:t xml:space="preserve"> </w:t>
            </w:r>
            <w:fldSimple w:instr="NOTEREF _Ref_Footnote_243 \h \f">
              <w:r>
                <w:rPr>
                  <w:vertAlign w:val="superscript"/>
                </w:rPr>
                <w:t>243</w:t>
              </w:r>
            </w:fldSimple>
          </w:p>
        </w:tc>
        <w:tc>
          <w:tcPr/>
          <w:p>
            <w:pPr>
              <w:pStyle w:val="Compact"/>
              <w:jc w:val="left"/>
            </w:pPr>
            <w:r>
              <w:t xml:space="preserve">No (Zoom)</w:t>
            </w:r>
            <w:r>
              <w:t xml:space="preserve"> </w:t>
            </w:r>
            <w:fldSimple w:instr="NOTEREF _Ref_Footnote_233 \h \f">
              <w:r>
                <w:rPr>
                  <w:vertAlign w:val="superscript"/>
                </w:rPr>
                <w:t>233</w:t>
              </w:r>
            </w:fldSimple>
          </w:p>
        </w:tc>
        <w:tc>
          <w:tcPr/>
          <w:p>
            <w:pPr>
              <w:pStyle w:val="Compact"/>
              <w:jc w:val="left"/>
            </w:pPr>
            <w:r>
              <w:t xml:space="preserve">No</w:t>
            </w:r>
            <w:r>
              <w:t xml:space="preserve"> </w:t>
            </w:r>
            <w:fldSimple w:instr="NOTEREF _Ref_Footnote_8 \h \f">
              <w:r>
                <w:rPr>
                  <w:vertAlign w:val="superscript"/>
                </w:rPr>
                <w:t>8</w:t>
              </w:r>
            </w:fldSimple>
          </w:p>
        </w:tc>
        <w:tc>
          <w:tcPr/>
          <w:p>
            <w:pPr>
              <w:pStyle w:val="Compact"/>
              <w:jc w:val="left"/>
            </w:pPr>
            <w:r>
              <w:t xml:space="preserve">Partial (Agora/Zoom)</w:t>
            </w:r>
            <w:r>
              <w:t xml:space="preserve"> </w:t>
            </w:r>
            <w:r>
              <w:rPr>
                <w:vertAlign w:val="superscript"/>
              </w:rPr>
              <w:footnoteReference w:id="247"/>
            </w:r>
          </w:p>
        </w:tc>
        <w:tc>
          <w:tcPr/>
          <w:p>
            <w:pPr>
              <w:pStyle w:val="Compact"/>
              <w:jc w:val="left"/>
            </w:pPr>
            <w:r>
              <w:t xml:space="preserve">No</w:t>
            </w:r>
          </w:p>
        </w:tc>
        <w:tc>
          <w:tcPr/>
          <w:p>
            <w:pPr>
              <w:pStyle w:val="Compact"/>
              <w:jc w:val="left"/>
            </w:pPr>
            <w:r>
              <w:t xml:space="preserve">N/A (consumer app)</w:t>
            </w:r>
          </w:p>
        </w:tc>
        <w:tc>
          <w:tcPr/>
          <w:p>
            <w:pPr>
              <w:pStyle w:val="Compact"/>
              <w:jc w:val="left"/>
            </w:pPr>
            <w:r>
              <w:t xml:space="preserve">No</w:t>
            </w:r>
          </w:p>
        </w:tc>
        <w:tc>
          <w:tcPr/>
          <w:p>
            <w:pPr>
              <w:pStyle w:val="Compact"/>
              <w:jc w:val="left"/>
            </w:pPr>
            <w:r>
              <w:t xml:space="preserve">No</w:t>
            </w:r>
            <w:r>
              <w:t xml:space="preserve"> </w:t>
            </w:r>
            <w:fldSimple w:instr="NOTEREF _Ref_Footnote_26 \h \f">
              <w:r>
                <w:rPr>
                  <w:vertAlign w:val="superscript"/>
                </w:rPr>
                <w:t>26</w:t>
              </w:r>
            </w:fldSimple>
          </w:p>
        </w:tc>
      </w:tr>
      <w:tr>
        <w:tc>
          <w:tcPr/>
          <w:p>
            <w:pPr>
              <w:pStyle w:val="Compact"/>
              <w:jc w:val="left"/>
            </w:pPr>
            <w:r>
              <w:t xml:space="preserve">Movement observation tools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Pose tracking integration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Wearable/HRV data integration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(Apple Watch)</w:t>
            </w:r>
            <w:r>
              <w:t xml:space="preserve"> </w:t>
            </w:r>
            <w:r>
              <w:rPr>
                <w:vertAlign w:val="superscript"/>
              </w:rPr>
              <w:footnoteReference w:id="248"/>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Body-based session notes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Movement homework assignment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Interoception tracking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 (journals)</w:t>
            </w:r>
            <w:r>
              <w:t xml:space="preserve"> </w:t>
            </w:r>
            <w:fldSimple w:instr="NOTEREF _Ref_Footnote_38 \h \f">
              <w:r>
                <w:rPr>
                  <w:vertAlign w:val="superscript"/>
                </w:rPr>
                <w:t>38</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Modality-specific directory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 (220+ modalities)</w:t>
            </w:r>
            <w:r>
              <w:t xml:space="preserve"> </w:t>
            </w:r>
            <w:fldSimple w:instr="NOTEREF _Ref_Footnote_11 \h \f">
              <w:r>
                <w:rPr>
                  <w:vertAlign w:val="superscript"/>
                </w:rPr>
                <w:t>11</w:t>
              </w:r>
            </w:fldSimple>
          </w:p>
        </w:tc>
        <w:tc>
          <w:tcPr/>
          <w:p>
            <w:pPr>
              <w:pStyle w:val="Compact"/>
              <w:jc w:val="left"/>
            </w:pPr>
            <w:r>
              <w:t xml:space="preserve">Yes</w:t>
            </w:r>
            <w:r>
              <w:t xml:space="preserve"> </w:t>
            </w:r>
            <w:fldSimple w:instr="NOTEREF _Ref_Footnote_226 \h \f">
              <w:r>
                <w:rPr>
                  <w:vertAlign w:val="superscript"/>
                </w:rPr>
                <w:t>226</w:t>
              </w:r>
            </w:fldSimple>
          </w:p>
        </w:tc>
        <w:tc>
          <w:tcPr/>
          <w:p>
            <w:pPr>
              <w:pStyle w:val="Compact"/>
              <w:jc w:val="left"/>
            </w:pPr>
            <w:r>
              <w:t xml:space="preserve">No</w:t>
            </w:r>
          </w:p>
        </w:tc>
        <w:tc>
          <w:tcPr/>
          <w:p>
            <w:pPr>
              <w:pStyle w:val="Compact"/>
              <w:jc w:val="left"/>
            </w:pPr>
            <w:r>
              <w:t xml:space="preserve">Yes</w:t>
            </w:r>
            <w:r>
              <w:t xml:space="preserve"> </w:t>
            </w:r>
            <w:fldSimple w:instr="NOTEREF _Ref_Footnote_224 \h \f">
              <w:r>
                <w:rPr>
                  <w:vertAlign w:val="superscript"/>
                </w:rPr>
                <w:t>224</w:t>
              </w:r>
            </w:fldSimple>
          </w:p>
        </w:tc>
        <w:tc>
          <w:tcPr/>
          <w:p>
            <w:pPr>
              <w:pStyle w:val="Compact"/>
              <w:jc w:val="left"/>
            </w:pPr>
            <w:r>
              <w:t xml:space="preserve">No</w:t>
            </w:r>
          </w:p>
        </w:tc>
      </w:tr>
      <w:tr>
        <w:tc>
          <w:tcPr/>
          <w:p>
            <w:pPr>
              <w:pStyle w:val="Compact"/>
              <w:jc w:val="left"/>
            </w:pPr>
            <w:r>
              <w:t xml:space="preserve">Booking + payments</w:t>
            </w:r>
          </w:p>
        </w:tc>
        <w:tc>
          <w:tcPr/>
          <w:p>
            <w:pPr>
              <w:pStyle w:val="Compact"/>
              <w:jc w:val="left"/>
            </w:pPr>
            <w:r>
              <w:t xml:space="preserve">Yes</w:t>
            </w:r>
            <w:r>
              <w:t xml:space="preserve"> </w:t>
            </w:r>
            <w:fldSimple w:instr="NOTEREF _Ref_Footnote_230 \h \f">
              <w:r>
                <w:rPr>
                  <w:vertAlign w:val="superscript"/>
                </w:rPr>
                <w:t>230</w:t>
              </w:r>
            </w:fldSimple>
          </w:p>
        </w:tc>
        <w:tc>
          <w:tcPr/>
          <w:p>
            <w:pPr>
              <w:pStyle w:val="Compact"/>
              <w:jc w:val="left"/>
            </w:pPr>
            <w:r>
              <w:t xml:space="preserve">Yes</w:t>
            </w:r>
            <w:r>
              <w:t xml:space="preserve"> </w:t>
            </w:r>
            <w:fldSimple w:instr="NOTEREF _Ref_Footnote_233 \h \f">
              <w:r>
                <w:rPr>
                  <w:vertAlign w:val="superscript"/>
                </w:rPr>
                <w:t>233</w:t>
              </w:r>
            </w:fldSimple>
          </w:p>
        </w:tc>
        <w:tc>
          <w:tcPr/>
          <w:p>
            <w:pPr>
              <w:pStyle w:val="Compact"/>
              <w:jc w:val="left"/>
            </w:pPr>
            <w:r>
              <w:t xml:space="preserve">Yes</w:t>
            </w:r>
            <w:r>
              <w:t xml:space="preserve"> </w:t>
            </w:r>
            <w:fldSimple w:instr="NOTEREF _Ref_Footnote_8 \h \f">
              <w:r>
                <w:rPr>
                  <w:vertAlign w:val="superscript"/>
                </w:rPr>
                <w:t>8</w:t>
              </w:r>
            </w:fldSimple>
          </w:p>
        </w:tc>
        <w:tc>
          <w:tcPr/>
          <w:p>
            <w:pPr>
              <w:pStyle w:val="Compact"/>
              <w:jc w:val="left"/>
            </w:pPr>
            <w:r>
              <w:t xml:space="preserve">Yes</w:t>
            </w:r>
            <w:r>
              <w:t xml:space="preserve"> </w:t>
            </w:r>
            <w:fldSimple w:instr="NOTEREF _Ref_Footnote_38 \h \f">
              <w:r>
                <w:rPr>
                  <w:vertAlign w:val="superscript"/>
                </w:rPr>
                <w:t>38</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r>
              <w:t xml:space="preserve"> </w:t>
            </w:r>
            <w:fldSimple w:instr="NOTEREF _Ref_Footnote_228 \h \f">
              <w:r>
                <w:rPr>
                  <w:vertAlign w:val="superscript"/>
                </w:rPr>
                <w:t>228</w:t>
              </w:r>
            </w:fldSimple>
          </w:p>
        </w:tc>
      </w:tr>
      <w:tr>
        <w:tc>
          <w:tcPr/>
          <w:p>
            <w:pPr>
              <w:pStyle w:val="Compact"/>
              <w:jc w:val="left"/>
            </w:pPr>
            <w:r>
              <w:t xml:space="preserve">Insurance billing</w:t>
            </w:r>
          </w:p>
        </w:tc>
        <w:tc>
          <w:tcPr/>
          <w:p>
            <w:pPr>
              <w:pStyle w:val="Compact"/>
              <w:jc w:val="left"/>
            </w:pPr>
            <w:r>
              <w:t xml:space="preserve">Yes</w:t>
            </w:r>
            <w:r>
              <w:t xml:space="preserve"> </w:t>
            </w:r>
            <w:fldSimple w:instr="NOTEREF _Ref_Footnote_230 \h \f">
              <w:r>
                <w:rPr>
                  <w:vertAlign w:val="superscript"/>
                </w:rPr>
                <w:t>230</w:t>
              </w:r>
            </w:fldSimple>
          </w:p>
        </w:tc>
        <w:tc>
          <w:tcPr/>
          <w:p>
            <w:pPr>
              <w:pStyle w:val="Compact"/>
              <w:jc w:val="left"/>
            </w:pPr>
            <w:r>
              <w:t xml:space="preserve">Yes</w:t>
            </w:r>
            <w:r>
              <w:t xml:space="preserve"> </w:t>
            </w:r>
            <w:fldSimple w:instr="NOTEREF _Ref_Footnote_233 \h \f">
              <w:r>
                <w:rPr>
                  <w:vertAlign w:val="superscript"/>
                </w:rPr>
                <w:t>233</w:t>
              </w:r>
            </w:fldSimple>
          </w:p>
        </w:tc>
        <w:tc>
          <w:tcPr/>
          <w:p>
            <w:pPr>
              <w:pStyle w:val="Compact"/>
              <w:jc w:val="left"/>
            </w:pPr>
            <w:r>
              <w:t xml:space="preserve">Yes (core)</w:t>
            </w:r>
            <w:r>
              <w:t xml:space="preserve"> </w:t>
            </w:r>
            <w:fldSimple w:instr="NOTEREF _Ref_Footnote_8 \h \f">
              <w:r>
                <w:rPr>
                  <w:vertAlign w:val="superscript"/>
                </w:rPr>
                <w:t>8</w:t>
              </w:r>
            </w:fldSimple>
          </w:p>
        </w:tc>
        <w:tc>
          <w:tcPr/>
          <w:p>
            <w:pPr>
              <w:pStyle w:val="Compact"/>
              <w:jc w:val="left"/>
            </w:pPr>
            <w:r>
              <w:t xml:space="preserve">No</w:t>
            </w:r>
            <w:r>
              <w:t xml:space="preserve"> </w:t>
            </w:r>
            <w:fldSimple w:instr="NOTEREF _Ref_Footnote_38 \h \f">
              <w:r>
                <w:rPr>
                  <w:vertAlign w:val="superscript"/>
                </w:rPr>
                <w:t>38</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CE/education integration</w:t>
            </w:r>
          </w:p>
        </w:tc>
        <w:tc>
          <w:tcPr/>
          <w:p>
            <w:pPr>
              <w:pStyle w:val="Compact"/>
              <w:jc w:val="left"/>
            </w:pPr>
            <w:r>
              <w:t xml:space="preserve">No</w:t>
            </w:r>
          </w:p>
        </w:tc>
        <w:tc>
          <w:tcPr/>
          <w:p>
            <w:pPr>
              <w:pStyle w:val="Compact"/>
              <w:jc w:val="left"/>
            </w:pPr>
            <w:r>
              <w:t xml:space="preserve">Partial</w:t>
            </w:r>
            <w:r>
              <w:t xml:space="preserve"> </w:t>
            </w:r>
            <w:fldSimple w:instr="NOTEREF _Ref_Footnote_233 \h \f">
              <w:r>
                <w:rPr>
                  <w:vertAlign w:val="superscript"/>
                </w:rPr>
                <w:t>233</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Yes (core)</w:t>
            </w:r>
            <w:r>
              <w:t xml:space="preserve"> </w:t>
            </w:r>
            <w:fldSimple w:instr="NOTEREF _Ref_Footnote_10 \h \f">
              <w:r>
                <w:rPr>
                  <w:vertAlign w:val="superscript"/>
                </w:rPr>
                <w:t>10</w:t>
              </w:r>
            </w:fldSimple>
          </w:p>
        </w:tc>
        <w:tc>
          <w:tcPr/>
          <w:p>
            <w:pPr>
              <w:pStyle w:val="Compact"/>
              <w:jc w:val="left"/>
            </w:pPr>
            <w:r>
              <w:t xml:space="preserve">Certification only</w:t>
            </w:r>
            <w:r>
              <w:t xml:space="preserve"> </w:t>
            </w:r>
            <w:fldSimple w:instr="NOTEREF _Ref_Footnote_248 \h \f">
              <w:r>
                <w:rPr>
                  <w:vertAlign w:val="superscript"/>
                </w:rPr>
                <w:t>248</w:t>
              </w:r>
            </w:fldSimple>
          </w:p>
        </w:tc>
        <w:tc>
          <w:tcPr/>
          <w:p>
            <w:pPr>
              <w:pStyle w:val="Compact"/>
              <w:jc w:val="left"/>
            </w:pPr>
            <w:r>
              <w:t xml:space="preserve">Training only</w:t>
            </w:r>
            <w:r>
              <w:t xml:space="preserve"> </w:t>
            </w:r>
            <w:r>
              <w:rPr>
                <w:vertAlign w:val="superscript"/>
              </w:rPr>
              <w:footnoteReference w:id="249"/>
            </w:r>
          </w:p>
        </w:tc>
        <w:tc>
          <w:tcPr/>
          <w:p>
            <w:pPr>
              <w:pStyle w:val="Compact"/>
              <w:jc w:val="left"/>
            </w:pPr>
            <w:r>
              <w:t xml:space="preserve">No</w:t>
            </w:r>
          </w:p>
        </w:tc>
      </w:tr>
      <w:tr>
        <w:tc>
          <w:tcPr/>
          <w:p>
            <w:pPr>
              <w:pStyle w:val="Compact"/>
              <w:jc w:val="left"/>
            </w:pPr>
            <w:r>
              <w:t xml:space="preserve">Somatic-specific client portal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r>
              <w:t xml:space="preserve"> </w:t>
            </w:r>
            <w:fldSimple w:instr="NOTEREF _Ref_Footnote_38 \h \f">
              <w:r>
                <w:rPr>
                  <w:vertAlign w:val="superscript"/>
                </w:rPr>
                <w:t>38</w:t>
              </w:r>
            </w:fldSimple>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p>
      <w:pPr>
        <w:pStyle w:val="BodyText"/>
      </w:pPr>
      <w:r>
        <w:t xml:space="preserve">The matrix reveals a stark pattern: while platforms cluster around one or two capability columns—SimplePractice and Alma dominate practice management, the Embody Lab and SEI own education and directory verification, Headway monopolizes insurance billing, and NEUROFIT is the sole consumer-facing body-based app with wearable integration—no competitor occupies more than three of the twelve feature domains. The whitespace for an integrated platform spans nine unfilled cells. This is not merely a feature gap; it is a workflow fracture. A practitioner using SEI for directory visibility, SimplePractice for notes and billing, Zoom for telehealth, and the Embody Lab for CE credits must maintain four separate logins, four subscription payments, and four data silos—with no integration between client discovery and clinical documentation, between session delivery and homework assignment, or between continuing education and credential display.</w:t>
      </w:r>
    </w:p>
    <w:bookmarkEnd w:id="129"/>
    <w:bookmarkStart w:id="130" w:name="competitive-positioning"/>
    <w:p>
      <w:pPr>
        <w:pStyle w:val="Heading3"/>
      </w:pPr>
      <w:r>
        <w:t xml:space="preserve">5.3 Competitive Positioning</w:t>
      </w:r>
    </w:p>
    <w:p>
      <w:pPr>
        <w:pStyle w:val="FirstParagraph"/>
      </w:pPr>
      <w:r>
        <w:rPr>
          <w:bCs/>
          <w:b/>
        </w:rPr>
        <w:t xml:space="preserve">White Space Analysis.</w:t>
      </w:r>
      <w:r>
        <w:t xml:space="preserve"> </w:t>
      </w:r>
      <w:r>
        <w:t xml:space="preserve">The most consequential finding from competitive mapping is that no existing platform combines directory, booking, telehealth, practice management, and continuing education into a single integrated solution. The closest platforms by category are Heallist, which supports 220+ holistic modalities across 55+ countries with booking, payment processing, and telehealth but no somatic specificity, no CE integration, and no insurance infrastructure</w:t>
      </w:r>
      <w:r>
        <w:t xml:space="preserve"> </w:t>
      </w:r>
      <w:fldSimple w:instr="NOTEREF _Ref_Footnote_11 \h \f">
        <w:r>
          <w:rPr>
            <w:vertAlign w:val="superscript"/>
          </w:rPr>
          <w:t>11</w:t>
        </w:r>
      </w:fldSimple>
      <w:r>
        <w:t xml:space="preserve"> </w:t>
      </w:r>
      <w:r>
        <w:rPr>
          <w:vertAlign w:val="superscript"/>
        </w:rPr>
        <w:footnoteReference w:id="250"/>
      </w:r>
      <w:r>
        <w:t xml:space="preserve">; and Headway, which solved insurance billing for 60,000+ talk therapists but offers no somatic features, no body-based directory, and weak EHR functionality</w:t>
      </w:r>
      <w:r>
        <w:t xml:space="preserve"> </w:t>
      </w:r>
      <w:fldSimple w:instr="NOTEREF _Ref_Footnote_8 \h \f">
        <w:r>
          <w:rPr>
            <w:vertAlign w:val="superscript"/>
          </w:rPr>
          <w:t>8</w:t>
        </w:r>
      </w:fldSimple>
      <w:r>
        <w:t xml:space="preserve"> </w:t>
      </w:r>
      <w:r>
        <w:rPr>
          <w:vertAlign w:val="superscript"/>
        </w:rPr>
        <w:footnoteReference w:id="251"/>
      </w:r>
      <w:r>
        <w:t xml:space="preserve">. The Embody Lab owns the education-to-directory funnel but stops at the transaction boundary—no booking, no scheduling, no practice tools</w:t>
      </w:r>
      <w:r>
        <w:t xml:space="preserve"> </w:t>
      </w:r>
      <w:fldSimple w:instr="NOTEREF _Ref_Footnote_226 \h \f">
        <w:r>
          <w:rPr>
            <w:vertAlign w:val="superscript"/>
          </w:rPr>
          <w:t>226</w:t>
        </w:r>
      </w:fldSimple>
      <w:r>
        <w:t xml:space="preserve">. NEUROFIT has proven consumer demand for body-based nervous system regulation (120,000+ users, 54% stress reduction reported after one week) but operates as a consumer app, not a practitioner platform</w:t>
      </w:r>
      <w:r>
        <w:t xml:space="preserve"> </w:t>
      </w:r>
      <w:r>
        <w:rPr>
          <w:vertAlign w:val="superscript"/>
        </w:rPr>
        <w:footnoteReference w:id="252"/>
      </w:r>
      <w:r>
        <w:t xml:space="preserve"> </w:t>
      </w:r>
      <w:fldSimple w:instr="NOTEREF _Ref_Footnote_248 \h \f">
        <w:r>
          <w:rPr>
            <w:vertAlign w:val="superscript"/>
          </w:rPr>
          <w:t>248</w:t>
        </w:r>
      </w:fldSimple>
      <w:r>
        <w:t xml:space="preserve">.</w:t>
      </w:r>
    </w:p>
    <w:p>
      <w:pPr>
        <w:pStyle w:val="BodyText"/>
      </w:pPr>
      <w:r>
        <w:t xml:space="preserve">This white space is defensible for several structural reasons. First, incumbent platforms face high switching costs to add somatic-specific features: SimplePractice would need to redesign its video architecture, note templates, and intake forms; Headway would need to navigate insurance reimbursement for non-standardized modalities where 85–88% of practitioners operate out-of-network</w:t>
      </w:r>
      <w:r>
        <w:t xml:space="preserve"> </w:t>
      </w:r>
      <w:fldSimple w:instr="NOTEREF _Ref_Footnote_32 \h \f">
        <w:r>
          <w:rPr>
            <w:vertAlign w:val="superscript"/>
          </w:rPr>
          <w:t>32</w:t>
        </w:r>
      </w:fldSimple>
      <w:r>
        <w:t xml:space="preserve">. Second, the somatic field’s fragmentation across dozens of modalities (SE, Hakomi, Sensorimotor, Feldenkrais, TRE, DMT, etc.) with no unifying licensure body creates a data integration challenge that generalist platforms are unlikely to prioritize. Third, the body-based technology requirements—full-body video optimization, optional pose estimation, wearable data integration—demand technical capabilities outside the core competency of talk-therapy platforms.</w:t>
      </w:r>
    </w:p>
    <w:p>
      <w:pPr>
        <w:pStyle w:val="BodyText"/>
      </w:pPr>
      <w:r>
        <w:rPr>
          <w:bCs/>
          <w:b/>
        </w:rPr>
        <w:t xml:space="preserve">Nearest Competitors.</w:t>
      </w:r>
      <w:r>
        <w:t xml:space="preserve"> </w:t>
      </w:r>
      <w:r>
        <w:t xml:space="preserve">Two platforms warrant close monitoring as potential competitors. Heallist, founded by serial wellness entrepreneur Yuli Ziv, operates on a freemium marketplace model with 3,000+ practitioners, AI-powered client-practitioner matching, and commission-free bookings on its premium tier</w:t>
      </w:r>
      <w:r>
        <w:t xml:space="preserve"> </w:t>
      </w:r>
      <w:fldSimple w:instr="NOTEREF _Ref_Footnote_11 \h \f">
        <w:r>
          <w:rPr>
            <w:vertAlign w:val="superscript"/>
          </w:rPr>
          <w:t>11</w:t>
        </w:r>
      </w:fldSimple>
      <w:r>
        <w:t xml:space="preserve"> </w:t>
      </w:r>
      <w:r>
        <w:rPr>
          <w:vertAlign w:val="superscript"/>
        </w:rPr>
        <w:footnoteReference w:id="253"/>
      </w:r>
      <w:r>
        <w:t xml:space="preserve">. Its generalist positioning across 220+ modalities is both a strength (broad supply base) and a weakness (no somatic depth). At just 2 bookings per month at $100 per session, a practitioner pays more in 10% fees ($20) on the free tier than Heallist’s $20/month Empowered plan cost—a natural upgrade pathway that has driven rapid adoption</w:t>
      </w:r>
      <w:r>
        <w:t xml:space="preserve"> </w:t>
      </w:r>
      <w:fldSimple w:instr="NOTEREF _Ref_Footnote_253 \h \f">
        <w:r>
          <w:rPr>
            <w:vertAlign w:val="superscript"/>
          </w:rPr>
          <w:t>253</w:t>
        </w:r>
      </w:fldSimple>
      <w:r>
        <w:t xml:space="preserve">. NEUROFIT, founded by Andrew Hogue (Caltech CS, former Snapchat/Headspace) and Loren Hogue (applied somatics coach), has built a $70,000 monthly revenue business with a consumer nervous system regulation app, 2,000+ certified health professionals, and a nascent B2B enterprise offering</w:t>
      </w:r>
      <w:r>
        <w:t xml:space="preserve"> </w:t>
      </w:r>
      <w:r>
        <w:rPr>
          <w:vertAlign w:val="superscript"/>
        </w:rPr>
        <w:footnoteReference w:id="254"/>
      </w:r>
      <w:r>
        <w:t xml:space="preserve"> </w:t>
      </w:r>
      <w:fldSimple w:instr="NOTEREF _Ref_Footnote_248 \h \f">
        <w:r>
          <w:rPr>
            <w:vertAlign w:val="superscript"/>
          </w:rPr>
          <w:t>248</w:t>
        </w:r>
      </w:fldSimple>
      <w:r>
        <w:t xml:space="preserve">. Its professional certification program signals a potential pivot toward practitioner tools, though the B2C consumer focus remains dominant.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Competitor</w:t>
            </w:r>
          </w:p>
        </w:tc>
        <w:tc>
          <w:tcPr/>
          <w:p>
            <w:pPr>
              <w:pStyle w:val="Compact"/>
              <w:jc w:val="left"/>
            </w:pPr>
            <w:r>
              <w:t xml:space="preserve">Primary Model</w:t>
            </w:r>
          </w:p>
        </w:tc>
        <w:tc>
          <w:tcPr/>
          <w:p>
            <w:pPr>
              <w:pStyle w:val="Compact"/>
              <w:jc w:val="left"/>
            </w:pPr>
            <w:r>
              <w:t xml:space="preserve">Scale (2025)</w:t>
            </w:r>
          </w:p>
        </w:tc>
        <w:tc>
          <w:tcPr/>
          <w:p>
            <w:pPr>
              <w:pStyle w:val="Compact"/>
              <w:jc w:val="left"/>
            </w:pPr>
            <w:r>
              <w:t xml:space="preserve">Somatic-Specific</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Threat Level</w:t>
            </w:r>
          </w:p>
        </w:tc>
      </w:tr>
      <w:tr>
        <w:tc>
          <w:tcPr/>
          <w:p>
            <w:pPr>
              <w:pStyle w:val="Compact"/>
              <w:jc w:val="left"/>
            </w:pPr>
            <w:r>
              <w:rPr>
                <w:bCs/>
                <w:b/>
              </w:rPr>
              <w:t xml:space="preserve">Heallist</w:t>
            </w:r>
          </w:p>
        </w:tc>
        <w:tc>
          <w:tcPr/>
          <w:p>
            <w:pPr>
              <w:pStyle w:val="Compact"/>
              <w:jc w:val="left"/>
            </w:pPr>
            <w:r>
              <w:t xml:space="preserve">Wellness marketplace</w:t>
            </w:r>
          </w:p>
        </w:tc>
        <w:tc>
          <w:tcPr/>
          <w:p>
            <w:pPr>
              <w:pStyle w:val="Compact"/>
              <w:jc w:val="left"/>
            </w:pPr>
            <w:r>
              <w:t xml:space="preserve">3,000+ practitioners, 55+ countries</w:t>
            </w:r>
            <w:r>
              <w:t xml:space="preserve"> </w:t>
            </w:r>
            <w:fldSimple w:instr="NOTEREF _Ref_Footnote_11 \h \f">
              <w:r>
                <w:rPr>
                  <w:vertAlign w:val="superscript"/>
                </w:rPr>
                <w:t>11</w:t>
              </w:r>
            </w:fldSimple>
          </w:p>
        </w:tc>
        <w:tc>
          <w:tcPr/>
          <w:p>
            <w:pPr>
              <w:pStyle w:val="Compact"/>
              <w:jc w:val="left"/>
            </w:pPr>
            <w:r>
              <w:t xml:space="preserve">Partial (220+ modalities)</w:t>
            </w:r>
          </w:p>
        </w:tc>
        <w:tc>
          <w:tcPr/>
          <w:p>
            <w:pPr>
              <w:pStyle w:val="Compact"/>
              <w:jc w:val="left"/>
            </w:pPr>
            <w:r>
              <w:t xml:space="preserve">Free tier, AI matching, global reach, booking + payments</w:t>
            </w:r>
          </w:p>
        </w:tc>
        <w:tc>
          <w:tcPr/>
          <w:p>
            <w:pPr>
              <w:pStyle w:val="Compact"/>
              <w:jc w:val="left"/>
            </w:pPr>
            <w:r>
              <w:t xml:space="preserve">Generalist, no CE, no insurance, no EHR</w:t>
            </w:r>
          </w:p>
        </w:tc>
        <w:tc>
          <w:tcPr/>
          <w:p>
            <w:pPr>
              <w:pStyle w:val="Compact"/>
              <w:jc w:val="left"/>
            </w:pPr>
            <w:r>
              <w:t xml:space="preserve">Moderate—could go deeper into somatic</w:t>
            </w:r>
          </w:p>
        </w:tc>
      </w:tr>
      <w:tr>
        <w:tc>
          <w:tcPr/>
          <w:p>
            <w:pPr>
              <w:pStyle w:val="Compact"/>
              <w:jc w:val="left"/>
            </w:pPr>
            <w:r>
              <w:rPr>
                <w:bCs/>
                <w:b/>
              </w:rPr>
              <w:t xml:space="preserve">NEUROFIT</w:t>
            </w:r>
          </w:p>
        </w:tc>
        <w:tc>
          <w:tcPr/>
          <w:p>
            <w:pPr>
              <w:pStyle w:val="Compact"/>
              <w:jc w:val="left"/>
            </w:pPr>
            <w:r>
              <w:t xml:space="preserve">Consumer app + pro certification</w:t>
            </w:r>
          </w:p>
        </w:tc>
        <w:tc>
          <w:tcPr/>
          <w:p>
            <w:pPr>
              <w:pStyle w:val="Compact"/>
              <w:jc w:val="left"/>
            </w:pPr>
            <w:r>
              <w:t xml:space="preserve">120K+ users, 2K+ certified pros</w:t>
            </w:r>
            <w:r>
              <w:t xml:space="preserve"> </w:t>
            </w:r>
            <w:fldSimple w:instr="NOTEREF _Ref_Footnote_252 \h \f">
              <w:r>
                <w:rPr>
                  <w:vertAlign w:val="superscript"/>
                </w:rPr>
                <w:t>252</w:t>
              </w:r>
            </w:fldSimple>
            <w:r>
              <w:t xml:space="preserve"> </w:t>
            </w:r>
            <w:fldSimple w:instr="NOTEREF _Ref_Footnote_248 \h \f">
              <w:r>
                <w:rPr>
                  <w:vertAlign w:val="superscript"/>
                </w:rPr>
                <w:t>248</w:t>
              </w:r>
            </w:fldSimple>
          </w:p>
        </w:tc>
        <w:tc>
          <w:tcPr/>
          <w:p>
            <w:pPr>
              <w:pStyle w:val="Compact"/>
              <w:jc w:val="left"/>
            </w:pPr>
            <w:r>
              <w:t xml:space="preserve">Yes (body-based)</w:t>
            </w:r>
          </w:p>
        </w:tc>
        <w:tc>
          <w:tcPr/>
          <w:p>
            <w:pPr>
              <w:pStyle w:val="Compact"/>
              <w:jc w:val="left"/>
            </w:pPr>
            <w:r>
              <w:t xml:space="preserve">HRV integration, clinical evidence, Apple Watch, B2B pivot</w:t>
            </w:r>
          </w:p>
        </w:tc>
        <w:tc>
          <w:tcPr/>
          <w:p>
            <w:pPr>
              <w:pStyle w:val="Compact"/>
              <w:jc w:val="left"/>
            </w:pPr>
            <w:r>
              <w:t xml:space="preserve">Not a practitioner platform, narrow feature set</w:t>
            </w:r>
          </w:p>
        </w:tc>
        <w:tc>
          <w:tcPr/>
          <w:p>
            <w:pPr>
              <w:pStyle w:val="Compact"/>
              <w:jc w:val="left"/>
            </w:pPr>
            <w:r>
              <w:t xml:space="preserve">Low-Moderate—B2C focused</w:t>
            </w:r>
          </w:p>
        </w:tc>
      </w:tr>
      <w:tr>
        <w:tc>
          <w:tcPr/>
          <w:p>
            <w:pPr>
              <w:pStyle w:val="Compact"/>
              <w:jc w:val="left"/>
            </w:pPr>
            <w:r>
              <w:rPr>
                <w:bCs/>
                <w:b/>
              </w:rPr>
              <w:t xml:space="preserve">The Embody Lab</w:t>
            </w:r>
          </w:p>
        </w:tc>
        <w:tc>
          <w:tcPr/>
          <w:p>
            <w:pPr>
              <w:pStyle w:val="Compact"/>
              <w:jc w:val="left"/>
            </w:pPr>
            <w:r>
              <w:t xml:space="preserve">Education + directory</w:t>
            </w:r>
          </w:p>
        </w:tc>
        <w:tc>
          <w:tcPr/>
          <w:p>
            <w:pPr>
              <w:pStyle w:val="Compact"/>
              <w:jc w:val="left"/>
            </w:pPr>
            <w:r>
              <w:t xml:space="preserve">“</w:t>
            </w:r>
            <w:r>
              <w:t xml:space="preserve">Hundreds of thousands</w:t>
            </w:r>
            <w:r>
              <w:t xml:space="preserve">”</w:t>
            </w:r>
            <w:r>
              <w:t xml:space="preserve"> </w:t>
            </w:r>
            <w:r>
              <w:t xml:space="preserve">of seekers</w:t>
            </w:r>
            <w:r>
              <w:t xml:space="preserve"> </w:t>
            </w:r>
            <w:fldSimple w:instr="NOTEREF _Ref_Footnote_226 \h \f">
              <w:r>
                <w:rPr>
                  <w:vertAlign w:val="superscript"/>
                </w:rPr>
                <w:t>226</w:t>
              </w:r>
            </w:fldSimple>
          </w:p>
        </w:tc>
        <w:tc>
          <w:tcPr/>
          <w:p>
            <w:pPr>
              <w:pStyle w:val="Compact"/>
              <w:jc w:val="left"/>
            </w:pPr>
            <w:r>
              <w:t xml:space="preserve">Yes (core)</w:t>
            </w:r>
          </w:p>
        </w:tc>
        <w:tc>
          <w:tcPr/>
          <w:p>
            <w:pPr>
              <w:pStyle w:val="Compact"/>
              <w:jc w:val="left"/>
            </w:pPr>
            <w:r>
              <w:t xml:space="preserve">Unmatched faculty, brand authority, SEO dominance, CE credits</w:t>
            </w:r>
          </w:p>
        </w:tc>
        <w:tc>
          <w:tcPr/>
          <w:p>
            <w:pPr>
              <w:pStyle w:val="Compact"/>
              <w:jc w:val="left"/>
            </w:pPr>
            <w:r>
              <w:t xml:space="preserve">No booking, no practice tools, no tech infrastructure</w:t>
            </w:r>
          </w:p>
        </w:tc>
        <w:tc>
          <w:tcPr/>
          <w:p>
            <w:pPr>
              <w:pStyle w:val="Compact"/>
              <w:jc w:val="left"/>
            </w:pPr>
            <w:r>
              <w:t xml:space="preserve">Moderate—could add booking</w:t>
            </w:r>
          </w:p>
        </w:tc>
      </w:tr>
      <w:tr>
        <w:tc>
          <w:tcPr/>
          <w:p>
            <w:pPr>
              <w:pStyle w:val="Compact"/>
              <w:jc w:val="left"/>
            </w:pPr>
            <w:r>
              <w:rPr>
                <w:bCs/>
                <w:b/>
              </w:rPr>
              <w:t xml:space="preserve">Headway</w:t>
            </w:r>
          </w:p>
        </w:tc>
        <w:tc>
          <w:tcPr/>
          <w:p>
            <w:pPr>
              <w:pStyle w:val="Compact"/>
              <w:jc w:val="left"/>
            </w:pPr>
            <w:r>
              <w:t xml:space="preserve">Insurance marketplace</w:t>
            </w:r>
          </w:p>
        </w:tc>
        <w:tc>
          <w:tcPr/>
          <w:p>
            <w:pPr>
              <w:pStyle w:val="Compact"/>
              <w:jc w:val="left"/>
            </w:pPr>
            <w:r>
              <w:t xml:space="preserve">$2.3B valuation, 60K providers</w:t>
            </w:r>
            <w:r>
              <w:t xml:space="preserve"> </w:t>
            </w:r>
            <w:fldSimple w:instr="NOTEREF _Ref_Footnote_8 \h \f">
              <w:r>
                <w:rPr>
                  <w:vertAlign w:val="superscript"/>
                </w:rPr>
                <w:t>8</w:t>
              </w:r>
            </w:fldSimple>
            <w:r>
              <w:t xml:space="preserve"> </w:t>
            </w:r>
            <w:fldSimple w:instr="NOTEREF _Ref_Footnote_235 \h \f">
              <w:r>
                <w:rPr>
                  <w:vertAlign w:val="superscript"/>
                </w:rPr>
                <w:t>235</w:t>
              </w:r>
            </w:fldSimple>
          </w:p>
        </w:tc>
        <w:tc>
          <w:tcPr/>
          <w:p>
            <w:pPr>
              <w:pStyle w:val="Compact"/>
              <w:jc w:val="left"/>
            </w:pPr>
            <w:r>
              <w:t xml:space="preserve">No</w:t>
            </w:r>
          </w:p>
        </w:tc>
        <w:tc>
          <w:tcPr/>
          <w:p>
            <w:pPr>
              <w:pStyle w:val="Compact"/>
              <w:jc w:val="left"/>
            </w:pPr>
            <w:r>
              <w:t xml:space="preserve">Insurance dominance, network effects, free for therapists</w:t>
            </w:r>
          </w:p>
        </w:tc>
        <w:tc>
          <w:tcPr/>
          <w:p>
            <w:pPr>
              <w:pStyle w:val="Compact"/>
              <w:jc w:val="left"/>
            </w:pPr>
            <w:r>
              <w:t xml:space="preserve">Talk-therapy only, weak EHR, no body-based features</w:t>
            </w:r>
          </w:p>
        </w:tc>
        <w:tc>
          <w:tcPr/>
          <w:p>
            <w:pPr>
              <w:pStyle w:val="Compact"/>
              <w:jc w:val="left"/>
            </w:pPr>
            <w:r>
              <w:t xml:space="preserve">Low—unlikely to prioritize somatic</w:t>
            </w:r>
          </w:p>
        </w:tc>
      </w:tr>
      <w:tr>
        <w:tc>
          <w:tcPr/>
          <w:p>
            <w:pPr>
              <w:pStyle w:val="Compact"/>
              <w:jc w:val="left"/>
            </w:pPr>
            <w:r>
              <w:rPr>
                <w:bCs/>
                <w:b/>
              </w:rPr>
              <w:t xml:space="preserve">Alma</w:t>
            </w:r>
          </w:p>
        </w:tc>
        <w:tc>
          <w:tcPr/>
          <w:p>
            <w:pPr>
              <w:pStyle w:val="Compact"/>
              <w:jc w:val="left"/>
            </w:pPr>
            <w:r>
              <w:t xml:space="preserve">Premium practice platform</w:t>
            </w:r>
          </w:p>
        </w:tc>
        <w:tc>
          <w:tcPr/>
          <w:p>
            <w:pPr>
              <w:pStyle w:val="Compact"/>
              <w:jc w:val="left"/>
            </w:pPr>
            <w:r>
              <w:t xml:space="preserve">$125/mo subscription</w:t>
            </w:r>
            <w:r>
              <w:t xml:space="preserve"> </w:t>
            </w:r>
            <w:fldSimple w:instr="NOTEREF _Ref_Footnote_233 \h \f">
              <w:r>
                <w:rPr>
                  <w:vertAlign w:val="superscript"/>
                </w:rPr>
                <w:t>233</w:t>
              </w:r>
            </w:fldSimple>
          </w:p>
        </w:tc>
        <w:tc>
          <w:tcPr/>
          <w:p>
            <w:pPr>
              <w:pStyle w:val="Compact"/>
              <w:jc w:val="left"/>
            </w:pPr>
            <w:r>
              <w:t xml:space="preserve">No</w:t>
            </w:r>
          </w:p>
        </w:tc>
        <w:tc>
          <w:tcPr/>
          <w:p>
            <w:pPr>
              <w:pStyle w:val="Compact"/>
              <w:jc w:val="left"/>
            </w:pPr>
            <w:r>
              <w:t xml:space="preserve">Higher reimbursement rates, CE community, robust EHR</w:t>
            </w:r>
          </w:p>
        </w:tc>
        <w:tc>
          <w:tcPr/>
          <w:p>
            <w:pPr>
              <w:pStyle w:val="Compact"/>
              <w:jc w:val="left"/>
            </w:pPr>
            <w:r>
              <w:t xml:space="preserve">Somatic-agnostic, no directory SEO</w:t>
            </w:r>
          </w:p>
        </w:tc>
        <w:tc>
          <w:tcPr/>
          <w:p>
            <w:pPr>
              <w:pStyle w:val="Compact"/>
              <w:jc w:val="left"/>
            </w:pPr>
            <w:r>
              <w:t xml:space="preserve">Low—different target segment</w:t>
            </w:r>
          </w:p>
        </w:tc>
      </w:tr>
      <w:tr>
        <w:tc>
          <w:tcPr/>
          <w:p>
            <w:pPr>
              <w:pStyle w:val="Compact"/>
              <w:jc w:val="left"/>
            </w:pPr>
            <w:r>
              <w:rPr>
                <w:bCs/>
                <w:b/>
              </w:rPr>
              <w:t xml:space="preserve">SimplePractice</w:t>
            </w:r>
          </w:p>
        </w:tc>
        <w:tc>
          <w:tcPr/>
          <w:p>
            <w:pPr>
              <w:pStyle w:val="Compact"/>
              <w:jc w:val="left"/>
            </w:pPr>
            <w:r>
              <w:t xml:space="preserve">EHR SaaS</w:t>
            </w:r>
          </w:p>
        </w:tc>
        <w:tc>
          <w:tcPr/>
          <w:p>
            <w:pPr>
              <w:pStyle w:val="Compact"/>
              <w:jc w:val="left"/>
            </w:pPr>
            <w:r>
              <w:t xml:space="preserve">Market leader in therapy EHR</w:t>
            </w:r>
            <w:r>
              <w:t xml:space="preserve"> </w:t>
            </w:r>
            <w:fldSimple w:instr="NOTEREF _Ref_Footnote_230 \h \f">
              <w:r>
                <w:rPr>
                  <w:vertAlign w:val="superscript"/>
                </w:rPr>
                <w:t>230</w:t>
              </w:r>
            </w:fldSimple>
          </w:p>
        </w:tc>
        <w:tc>
          <w:tcPr/>
          <w:p>
            <w:pPr>
              <w:pStyle w:val="Compact"/>
              <w:jc w:val="left"/>
            </w:pPr>
            <w:r>
              <w:t xml:space="preserve">No</w:t>
            </w:r>
          </w:p>
        </w:tc>
        <w:tc>
          <w:tcPr/>
          <w:p>
            <w:pPr>
              <w:pStyle w:val="Compact"/>
              <w:jc w:val="left"/>
            </w:pPr>
            <w:r>
              <w:t xml:space="preserve">Best-in-class documentation, scheduling, claims</w:t>
            </w:r>
          </w:p>
        </w:tc>
        <w:tc>
          <w:tcPr/>
          <w:p>
            <w:pPr>
              <w:pStyle w:val="Compact"/>
              <w:jc w:val="left"/>
            </w:pPr>
            <w:r>
              <w:t xml:space="preserve">Zero somatic features, no directory</w:t>
            </w:r>
          </w:p>
        </w:tc>
        <w:tc>
          <w:tcPr/>
          <w:p>
            <w:pPr>
              <w:pStyle w:val="Compact"/>
              <w:jc w:val="left"/>
            </w:pPr>
            <w:r>
              <w:t xml:space="preserve">Low—generalist by design</w:t>
            </w:r>
          </w:p>
        </w:tc>
      </w:tr>
    </w:tbl>
    <w:p>
      <w:pPr>
        <w:pStyle w:val="BodyText"/>
      </w:pPr>
      <w:r>
        <w:rPr>
          <w:bCs/>
          <w:b/>
        </w:rPr>
        <w:t xml:space="preserve">Defensibility Strategy.</w:t>
      </w:r>
      <w:r>
        <w:t xml:space="preserve"> </w:t>
      </w:r>
      <w:r>
        <w:t xml:space="preserve">A somatic therapy platform can build durable competitive moats through four mutually reinforcing mechanisms. First,</w:t>
      </w:r>
      <w:r>
        <w:t xml:space="preserve"> </w:t>
      </w:r>
      <w:r>
        <w:rPr>
          <w:bCs/>
          <w:b/>
        </w:rPr>
        <w:t xml:space="preserve">network effects</w:t>
      </w:r>
      <w:r>
        <w:t xml:space="preserve"> </w:t>
      </w:r>
      <w:r>
        <w:t xml:space="preserve">on the supply side: as more somatic practitioners list on the platform, the directory becomes more valuable to clients seeking specific modalities, which drives more client demand, which attracts more practitioners. Headway exemplified this dynamic—clinician density attracted payer partnerships which attracted patients</w:t>
      </w:r>
      <w:r>
        <w:t xml:space="preserve"> </w:t>
      </w:r>
      <w:r>
        <w:rPr>
          <w:vertAlign w:val="superscript"/>
        </w:rPr>
        <w:footnoteReference w:id="255"/>
      </w:r>
      <w:r>
        <w:t xml:space="preserve">. Second,</w:t>
      </w:r>
      <w:r>
        <w:t xml:space="preserve"> </w:t>
      </w:r>
      <w:r>
        <w:rPr>
          <w:bCs/>
          <w:b/>
        </w:rPr>
        <w:t xml:space="preserve">data moats</w:t>
      </w:r>
      <w:r>
        <w:t xml:space="preserve"> </w:t>
      </w:r>
      <w:r>
        <w:t xml:space="preserve">from HRV and movement tracking: platforms that collect pre-session, in-session, and between-session physiological data create proprietary datasets that improve matching algorithms and demonstrate objective outcomes. NEUROFIT’s Harvard-analyzed dataset of 17,000+ users provides a template for this approach</w:t>
      </w:r>
      <w:r>
        <w:t xml:space="preserve"> </w:t>
      </w:r>
      <w:fldSimple w:instr="NOTEREF _Ref_Footnote_252 \h \f">
        <w:r>
          <w:rPr>
            <w:vertAlign w:val="superscript"/>
          </w:rPr>
          <w:t>252</w:t>
        </w:r>
      </w:fldSimple>
      <w:r>
        <w:t xml:space="preserve">. Third,</w:t>
      </w:r>
      <w:r>
        <w:t xml:space="preserve"> </w:t>
      </w:r>
      <w:r>
        <w:rPr>
          <w:bCs/>
          <w:b/>
        </w:rPr>
        <w:t xml:space="preserve">switching costs</w:t>
      </w:r>
      <w:r>
        <w:t xml:space="preserve"> </w:t>
      </w:r>
      <w:r>
        <w:t xml:space="preserve">through EHR integration: as practitioners build client records, insurance credentials, booking histories, and CE tracking on the platform, the cost of migration increases. SimplePractice’s entrenched position in therapist workflows demonstrates the power of this moat</w:t>
      </w:r>
      <w:r>
        <w:t xml:space="preserve"> </w:t>
      </w:r>
      <w:r>
        <w:rPr>
          <w:vertAlign w:val="superscript"/>
        </w:rPr>
        <w:footnoteReference w:id="256"/>
      </w:r>
      <w:r>
        <w:t xml:space="preserve">. Fourth,</w:t>
      </w:r>
      <w:r>
        <w:t xml:space="preserve"> </w:t>
      </w:r>
      <w:r>
        <w:rPr>
          <w:bCs/>
          <w:b/>
        </w:rPr>
        <w:t xml:space="preserve">regulatory moats</w:t>
      </w:r>
      <w:r>
        <w:t xml:space="preserve"> </w:t>
      </w:r>
      <w:r>
        <w:t xml:space="preserve">through insurance enablement: solving the out-of-network reimbursement problem for somatic therapists creates a barrier to entry that protects market position. Headway’s $2.3 billion valuation was built on this single pain point—70% of therapists do not accept insurance primarily due to administrative burden</w:t>
      </w:r>
      <w:r>
        <w:t xml:space="preserve"> </w:t>
      </w:r>
      <w:fldSimple w:instr="NOTEREF _Ref_Footnote_236 \h \f">
        <w:r>
          <w:rPr>
            <w:vertAlign w:val="superscript"/>
          </w:rPr>
          <w:t>236</w:t>
        </w:r>
      </w:fldSimple>
      <w:r>
        <w:t xml:space="preserve">.</w:t>
      </w:r>
    </w:p>
    <w:bookmarkEnd w:id="130"/>
    <w:bookmarkStart w:id="134" w:name="platform-feature-roadmap"/>
    <w:p>
      <w:pPr>
        <w:pStyle w:val="Heading3"/>
      </w:pPr>
      <w:r>
        <w:t xml:space="preserve">5.4 Platform Feature Roadmap</w:t>
      </w:r>
    </w:p>
    <w:p>
      <w:pPr>
        <w:pStyle w:val="FirstParagraph"/>
      </w:pPr>
      <w:r>
        <w:t xml:space="preserve">The platform evolution follows a phased rollout designed to maximize network effects at each stage while minimizing technical risk. The sequencing principle is supply-side-first: attract practitioners with free, high-value tools before investing heavily in client acquisition infrastructure.</w:t>
      </w:r>
    </w:p>
    <w:p>
      <w:pPr>
        <w:pStyle w:val="CaptionedFigure"/>
      </w:pPr>
      <w:r>
        <w:drawing>
          <wp:inline>
            <wp:extent cx="5334000" cy="3320725"/>
            <wp:effectExtent b="0" l="0" r="0" t="0"/>
            <wp:docPr descr="Platform Evolution Roadmap" title="" id="132" name="Picture"/>
            <a:graphic>
              <a:graphicData uri="http://schemas.openxmlformats.org/drawingml/2006/picture">
                <pic:pic>
                  <pic:nvPicPr>
                    <pic:cNvPr descr="/mnt/agents/output/platform_evolution_roadmap.png" id="133" name="Picture"/>
                    <pic:cNvPicPr>
                      <a:picLocks noChangeArrowheads="1" noChangeAspect="1"/>
                    </pic:cNvPicPr>
                  </pic:nvPicPr>
                  <pic:blipFill>
                    <a:blip r:embed="rId131"/>
                    <a:stretch>
                      <a:fillRect/>
                    </a:stretch>
                  </pic:blipFill>
                  <pic:spPr bwMode="auto">
                    <a:xfrm>
                      <a:off x="0" y="0"/>
                      <a:ext cx="5334000" cy="3320725"/>
                    </a:xfrm>
                    <a:prstGeom prst="rect">
                      <a:avLst/>
                    </a:prstGeom>
                    <a:noFill/>
                    <a:ln w="9525">
                      <a:noFill/>
                      <a:headEnd/>
                      <a:tailEnd/>
                    </a:ln>
                  </pic:spPr>
                </pic:pic>
              </a:graphicData>
            </a:graphic>
          </wp:inline>
        </w:drawing>
      </w:r>
    </w:p>
    <w:p>
      <w:pPr>
        <w:pStyle w:val="ImageCaption"/>
      </w:pPr>
      <w:r>
        <w:t xml:space="preserve">Platform Evolution Roadmap</w:t>
      </w:r>
    </w:p>
    <w:p>
      <w:pPr>
        <w:pStyle w:val="BodyText"/>
      </w:pPr>
      <w:r>
        <w:rPr>
          <w:bCs/>
          <w:b/>
        </w:rPr>
        <w:t xml:space="preserve">Phase 1 — MVP: Verified Directory + Booking + Full-Body Video Telehealth (Months 1–12).</w:t>
      </w:r>
      <w:r>
        <w:t xml:space="preserve"> </w:t>
      </w:r>
      <w:r>
        <w:t xml:space="preserve">The minimum viable product targets the lowest-risk, fastest-network-effect combination. A somatic-specific practitioner directory with modality-verified profiles (SE, Hakomi, Sensorimotor, DMT, TRE, Feldenkrais, etc.), certification-level filtering analogous to SPI’s training-level taxonomy</w:t>
      </w:r>
      <w:r>
        <w:t xml:space="preserve"> </w:t>
      </w:r>
      <w:fldSimple w:instr="NOTEREF _Ref_Footnote_200 \h \f">
        <w:r>
          <w:rPr>
            <w:vertAlign w:val="superscript"/>
          </w:rPr>
          <w:t>200</w:t>
        </w:r>
      </w:fldSimple>
      <w:r>
        <w:t xml:space="preserve">, and identity-affirming indicators (BIPOC, LGBTQ+, sliding scale, insurance acceptance) addresses the core discovery problem. Booking and scheduling with integrated payment processing (Square with BAA for HIPAA compliance)</w:t>
      </w:r>
      <w:r>
        <w:t xml:space="preserve"> </w:t>
      </w:r>
      <w:r>
        <w:rPr>
          <w:vertAlign w:val="superscript"/>
        </w:rPr>
        <w:footnoteReference w:id="257"/>
      </w:r>
      <w:r>
        <w:t xml:space="preserve">solves the transaction gap. Most critically, the full-body video telehealth component represents the core technical differentiator: a WebRTC-based custom video pipeline</w:t>
      </w:r>
      <w:r>
        <w:t xml:space="preserve"> </w:t>
      </w:r>
      <w:r>
        <w:rPr>
          <w:vertAlign w:val="superscript"/>
        </w:rPr>
        <w:footnoteReference w:id="258"/>
      </w:r>
      <w:r>
        <w:t xml:space="preserve">optimized for wide-angle camera support, multi-camera client feeds (front + back camera simultaneously), body-presence auto-detection, and session recording at full resolution for movement review. The target for Year 1 is 1,000 verified practitioner profiles and 500 active monthly bookings. Development cost is estimated at $150,000–250,000 over 4–6 months</w:t>
      </w:r>
      <w:r>
        <w:t xml:space="preserve"> </w:t>
      </w:r>
      <w:r>
        <w:rPr>
          <w:vertAlign w:val="superscript"/>
        </w:rPr>
        <w:footnoteReference w:id="259"/>
      </w:r>
      <w:r>
        <w:t xml:space="preserve">.</w:t>
      </w:r>
    </w:p>
    <w:p>
      <w:pPr>
        <w:pStyle w:val="BodyText"/>
      </w:pPr>
      <w:r>
        <w:rPr>
          <w:bCs/>
          <w:b/>
        </w:rPr>
        <w:t xml:space="preserve">Phase 2 — Practice Management + Wearable Integration (Months 12–24).</w:t>
      </w:r>
      <w:r>
        <w:t xml:space="preserve"> </w:t>
      </w:r>
      <w:r>
        <w:t xml:space="preserve">With practitioner density established, the platform adds somatic-specific practice management tools: movement-based session note templates with body map annotation, interoception homework assignment and compliance tracking through a mobile client portal, HRV/wearable data integration via Open Wearables or Terra API</w:t>
      </w:r>
      <w:r>
        <w:t xml:space="preserve"> </w:t>
      </w:r>
      <w:r>
        <w:rPr>
          <w:vertAlign w:val="superscript"/>
        </w:rPr>
        <w:footnoteReference w:id="260"/>
      </w:r>
      <w:r>
        <w:t xml:space="preserve"> </w:t>
      </w:r>
      <w:r>
        <w:rPr>
          <w:vertAlign w:val="superscript"/>
        </w:rPr>
        <w:footnoteReference w:id="261"/>
      </w:r>
      <w:r>
        <w:t xml:space="preserve">, and CE credit tracking that partners with training organizations (The Embody Lab, SEI, SPI, PESI) to automatically log completed courses. The wearable integration is particularly defensible: smartphone apps are the most commonly used technology for mental health support, with 78% of participants using them either alone (40%) or in combination (38%)</w:t>
      </w:r>
      <w:r>
        <w:t xml:space="preserve"> </w:t>
      </w:r>
      <w:r>
        <w:rPr>
          <w:vertAlign w:val="superscript"/>
        </w:rPr>
        <w:footnoteReference w:id="262"/>
      </w:r>
      <w:r>
        <w:t xml:space="preserve">, and a native iOS app is required for Apple HealthKit access</w:t>
      </w:r>
      <w:r>
        <w:t xml:space="preserve"> </w:t>
      </w:r>
      <w:r>
        <w:rPr>
          <w:vertAlign w:val="superscript"/>
        </w:rPr>
        <w:footnoteReference w:id="263"/>
      </w:r>
      <w:r>
        <w:t xml:space="preserve">. This phase increases switching costs substantially—as practitioners migrate client records, scheduling history, and CE tracking to the platform, migration becomes progressively more costly. The mobile-first imperative is reinforced by demographic data: the primary somatic therapy demographic—women aged 25–45, often urban or suburban, health-conscious—shows high iPhone penetration and moderate tech comfort that demands intuitive design</w:t>
      </w:r>
      <w:r>
        <w:t xml:space="preserve"> </w:t>
      </w:r>
      <w:fldSimple w:instr="NOTEREF _Ref_Footnote_259 \h \f">
        <w:r>
          <w:rPr>
            <w:vertAlign w:val="superscript"/>
          </w:rPr>
          <w:t>259</w:t>
        </w:r>
      </w:fldSimple>
      <w:r>
        <w:t xml:space="preserve"> </w:t>
      </w:r>
      <w:fldSimple w:instr="NOTEREF _Ref_Footnote_262 \h \f">
        <w:r>
          <w:rPr>
            <w:vertAlign w:val="superscript"/>
          </w:rPr>
          <w:t>262</w:t>
        </w:r>
      </w:fldSimple>
      <w:r>
        <w:t xml:space="preserve">. Target: 5,000+ practitioner profiles, 3,000+ active monthly bookings, 15% premium conversion rate. Development cost: $200,000–350,000 over 6–9 additional months.</w:t>
      </w:r>
    </w:p>
    <w:p>
      <w:pPr>
        <w:pStyle w:val="BodyText"/>
      </w:pPr>
      <w:r>
        <w:rPr>
          <w:bCs/>
          <w:b/>
        </w:rPr>
        <w:t xml:space="preserve">Phase 3 — Client Acquisition Tools + Out-of-Network Insurance Automation (Months 24–36).</w:t>
      </w:r>
      <w:r>
        <w:t xml:space="preserve"> </w:t>
      </w:r>
      <w:r>
        <w:t xml:space="preserve">With a critical mass of practitioners and robust practice management, the platform shifts toward demand generation and revenue optimization. Client acquisition tools include practitioner SEO optimization, social media content templates, and automated matching algorithms based on trauma type, somatic modality, and practitioner specialization. The insurance automation component targets the single biggest barrier to market expansion: 85–88% of somatic therapists operate out-of-network</w:t>
      </w:r>
      <w:r>
        <w:t xml:space="preserve"> </w:t>
      </w:r>
      <w:fldSimple w:instr="NOTEREF _Ref_Footnote_32 \h \f">
        <w:r>
          <w:rPr>
            <w:vertAlign w:val="superscript"/>
          </w:rPr>
          <w:t>32</w:t>
        </w:r>
      </w:fldSimple>
      <w:r>
        <w:t xml:space="preserve">, and the OON billing workflow (client pays upfront, therapist generates superbill, client submits to insurance, insurance processes claim, client receives reimbursement) remains entirely manual on all existing platforms. Integration with Thrizer for automated claim filing</w:t>
      </w:r>
      <w:r>
        <w:t xml:space="preserve"> </w:t>
      </w:r>
      <w:r>
        <w:rPr>
          <w:vertAlign w:val="superscript"/>
        </w:rPr>
        <w:footnoteReference w:id="264"/>
      </w:r>
      <w:r>
        <w:t xml:space="preserve">, native superbill generation with auto-populated CMS-1500 forms, and HSA/FSA card acceptance directly at checkout would make the platform the only somatic-focused solution addressing insurance friction. Target: 10,000+ practitioner profiles, 10,000+ active monthly bookings, $500,000 monthly revenue. Development cost: $300,000–500,000 over 12 months.</w:t>
      </w:r>
    </w:p>
    <w:p>
      <w:pPr>
        <w:pStyle w:val="BodyText"/>
      </w:pPr>
      <w:r>
        <w:rPr>
          <w:bCs/>
          <w:b/>
        </w:rPr>
        <w:t xml:space="preserve">Phase 4 — Community + Peer Support + B2B Corporate Wellness (Months 36–48).</w:t>
      </w:r>
      <w:r>
        <w:t xml:space="preserve"> </w:t>
      </w:r>
      <w:r>
        <w:t xml:space="preserve">The final phase builds ecosystem lock-in through community features (peer consultation groups modeled on Alma’s CE community</w:t>
      </w:r>
      <w:r>
        <w:t xml:space="preserve"> </w:t>
      </w:r>
      <w:fldSimple w:instr="NOTEREF _Ref_Footnote_233 \h \f">
        <w:r>
          <w:rPr>
            <w:vertAlign w:val="superscript"/>
          </w:rPr>
          <w:t>233</w:t>
        </w:r>
      </w:fldSimple>
      <w:r>
        <w:t xml:space="preserve">, practitioner forums, case consultation) and expands into the B2B corporate wellness channel. Market research indicates that</w:t>
      </w:r>
      <w:r>
        <w:t xml:space="preserve"> </w:t>
      </w:r>
      <w:r>
        <w:t xml:space="preserve">“</w:t>
      </w:r>
      <w:r>
        <w:t xml:space="preserve">global firms like Google, Deloitte, and SAP have recently launched trauma-informed employee wellness programs</w:t>
      </w:r>
      <w:r>
        <w:t xml:space="preserve">”</w:t>
      </w:r>
      <w:r>
        <w:t xml:space="preserve"> </w:t>
      </w:r>
      <w:r>
        <w:t xml:space="preserve">and</w:t>
      </w:r>
      <w:r>
        <w:t xml:space="preserve"> </w:t>
      </w:r>
      <w:r>
        <w:t xml:space="preserve">“</w:t>
      </w:r>
      <w:r>
        <w:t xml:space="preserve">somatic coaches and therapists are being hired as corporate wellness consultants, opening B2B revenue streams</w:t>
      </w:r>
      <w:r>
        <w:t xml:space="preserve">”</w:t>
      </w:r>
      <w:r>
        <w:t xml:space="preserve"> </w:t>
      </w:r>
      <w:fldSimple w:instr="NOTEREF _Ref_Footnote_3 \h \f">
        <w:r>
          <w:rPr>
            <w:vertAlign w:val="superscript"/>
          </w:rPr>
          <w:t>3</w:t>
        </w:r>
      </w:fldSimple>
      <w:r>
        <w:t xml:space="preserve">. A B2B offering at $10–15 per employee per month (PEPM) providing nervous system regulation workshops, group somatic sessions, access to vetted practitioners via telehealth, and HR dashboards with stress-reduction metrics could generate $500,000–$2 million in annual recurring revenue from a single Fortune 500 client. This phase also encompasses professional certification programs (the NEUROFIT model at scale</w:t>
      </w:r>
      <w:r>
        <w:t xml:space="preserve"> </w:t>
      </w:r>
      <w:fldSimple w:instr="NOTEREF _Ref_Footnote_248 \h \f">
        <w:r>
          <w:rPr>
            <w:vertAlign w:val="superscript"/>
          </w:rPr>
          <w:t>248</w:t>
        </w:r>
      </w:fldSimple>
      <w:r>
        <w:t xml:space="preserve">) and international expansion leveraging the practitioner networks that SEI (46 countries) and SPI (25+ countries) have already established</w:t>
      </w:r>
      <w:r>
        <w:t xml:space="preserve"> </w:t>
      </w:r>
      <w:fldSimple w:instr="NOTEREF _Ref_Footnote_224 \h \f">
        <w:r>
          <w:rPr>
            <w:vertAlign w:val="superscript"/>
          </w:rPr>
          <w:t>224</w:t>
        </w:r>
      </w:fldSimple>
      <w:r>
        <w:t xml:space="preserve"> </w:t>
      </w:r>
      <w:fldSimple w:instr="NOTEREF _Ref_Footnote_200 \h \f">
        <w:r>
          <w:rPr>
            <w:vertAlign w:val="superscript"/>
          </w:rPr>
          <w:t>200</w:t>
        </w:r>
      </w:fldSimple>
      <w:r>
        <w:t xml:space="preserve">. Target: 25,000+ practitioner profiles across 30+ countries, B2B contracts with 10+ enterprise clients. Development cost: $300,000–500,000.</w:t>
      </w:r>
    </w:p>
    <w:p>
      <w:pPr>
        <w:pStyle w:val="BodyText"/>
      </w:pPr>
      <w:r>
        <w:t xml:space="preserve">The total estimated investment over 48 months is $950,000–$1.6 million to reach a fully integrated platform. By comparison, Headway raised $325.5 million to achieve its $2.3 billion valuation by solving a narrower problem—insurance billing for talk therapy—across 60,000 providers</w:t>
      </w:r>
      <w:r>
        <w:t xml:space="preserve"> </w:t>
      </w:r>
      <w:fldSimple w:instr="NOTEREF _Ref_Footnote_47 \h \f">
        <w:r>
          <w:rPr>
            <w:vertAlign w:val="superscript"/>
          </w:rPr>
          <w:t>47</w:t>
        </w:r>
      </w:fldSimple>
      <w:r>
        <w:t xml:space="preserve"> </w:t>
      </w:r>
      <w:fldSimple w:instr="NOTEREF _Ref_Footnote_8 \h \f">
        <w:r>
          <w:rPr>
            <w:vertAlign w:val="superscript"/>
          </w:rPr>
          <w:t>8</w:t>
        </w:r>
      </w:fldSimple>
      <w:r>
        <w:t xml:space="preserve">. The somatic therapy platform addresses a similarly acute pain point across a modality set that is growing faster (17.5% CAGR)</w:t>
      </w:r>
      <w:r>
        <w:t xml:space="preserve"> </w:t>
      </w:r>
      <w:fldSimple w:instr="NOTEREF _Ref_Footnote_3 \h \f">
        <w:r>
          <w:rPr>
            <w:vertAlign w:val="superscript"/>
          </w:rPr>
          <w:t>3</w:t>
        </w:r>
      </w:fldSimple>
      <w:r>
        <w:t xml:space="preserve">than the overall mental health market, with the added defensibility of body-specific technology that incumbent platforms cannot easily replicate. The phased approach ensures that each stage generates revenue and network effects before the next stage is funded, reducing capital risk while building compounding competitive advantages at each step.</w:t>
      </w:r>
    </w:p>
    <w:p>
      <w:r>
        <w:pict>
          <v:rect style="width:0;height:1.5pt" o:hralign="center" o:hrstd="t" o:hr="t"/>
        </w:pict>
      </w:r>
    </w:p>
    <w:bookmarkEnd w:id="134"/>
    <w:bookmarkEnd w:id="135"/>
    <w:bookmarkStart w:id="153" w:name="practitioner-ecosystem-consumer-demand"/>
    <w:p>
      <w:pPr>
        <w:pStyle w:val="Heading2"/>
      </w:pPr>
      <w:r>
        <w:t xml:space="preserve">6. Practitioner Ecosystem &amp; Consumer Demand</w:t>
      </w:r>
    </w:p>
    <w:p>
      <w:pPr>
        <w:pStyle w:val="FirstParagraph"/>
      </w:pPr>
      <w:r>
        <w:t xml:space="preserve">A two-sided marketplace lives or dies by its value proposition to both supply and demand. For a somatic therapy platform, this means solving quantifiable problems for practitioners while smoothing the fragmented path clients travel from first symptom to first session. This chapter maps both sides — the practitioner burden and the consumer journey — to identify where platform intervention creates the most leverage.</w:t>
      </w:r>
    </w:p>
    <w:bookmarkStart w:id="140" w:name="practitioner-pain-points"/>
    <w:p>
      <w:pPr>
        <w:pStyle w:val="Heading3"/>
      </w:pPr>
      <w:r>
        <w:t xml:space="preserve">6.1 Practitioner Pain Points</w:t>
      </w:r>
    </w:p>
    <w:bookmarkStart w:id="136" w:name="X666e48691334642b04d992bcda9dd7a6dada66f"/>
    <w:p>
      <w:pPr>
        <w:pStyle w:val="Heading4"/>
      </w:pPr>
      <w:r>
        <w:t xml:space="preserve">6.1.1 Client Acquisition: Marketing as the Defining Challenge</w:t>
      </w:r>
    </w:p>
    <w:p>
      <w:pPr>
        <w:pStyle w:val="FirstParagraph"/>
      </w:pPr>
      <w:r>
        <w:t xml:space="preserve">Across every research dimension, one pain point rises above all others: finding clients.</w:t>
      </w:r>
      <w:r>
        <w:t xml:space="preserve"> </w:t>
      </w:r>
      <w:r>
        <w:t xml:space="preserve">“</w:t>
      </w:r>
      <w:r>
        <w:t xml:space="preserve">Getting clients (marketing and visibility) is hands-down the most common challenge</w:t>
      </w:r>
      <w:r>
        <w:t xml:space="preserve">”</w:t>
      </w:r>
      <w:r>
        <w:t xml:space="preserve"> </w:t>
      </w:r>
      <w:r>
        <w:t xml:space="preserve">reported by somatic practitioners, according to aggregated industry surveys</w:t>
      </w:r>
      <w:r>
        <w:t xml:space="preserve"> </w:t>
      </w:r>
      <w:fldSimple w:instr="NOTEREF _Ref_Footnote_115 \h \f">
        <w:r>
          <w:rPr>
            <w:vertAlign w:val="superscript"/>
          </w:rPr>
          <w:t>115</w:t>
        </w:r>
      </w:fldSimple>
      <w:r>
        <w:t xml:space="preserve">. The root cause is structural — somatic therapy occupies a narrow niche within an already specialized field. As one practitioner noted,</w:t>
      </w:r>
      <w:r>
        <w:t xml:space="preserve"> </w:t>
      </w:r>
      <w:r>
        <w:t xml:space="preserve">“</w:t>
      </w:r>
      <w:r>
        <w:t xml:space="preserve">somatic therapy is yet to go mainstream so many people do not understand the subtlety and benefits of this body of work</w:t>
      </w:r>
      <w:r>
        <w:t xml:space="preserve">”</w:t>
      </w:r>
      <w:r>
        <w:t xml:space="preserve"> </w:t>
      </w:r>
      <w:r>
        <w:rPr>
          <w:vertAlign w:val="superscript"/>
        </w:rPr>
        <w:footnoteReference w:id="265"/>
      </w:r>
      <w:r>
        <w:t xml:space="preserve">.</w:t>
      </w:r>
    </w:p>
    <w:p>
      <w:pPr>
        <w:pStyle w:val="BodyText"/>
      </w:pPr>
      <w:r>
        <w:t xml:space="preserve">This awareness gap creates a marketing vocabulary problem. Terms like</w:t>
      </w:r>
      <w:r>
        <w:t xml:space="preserve"> </w:t>
      </w:r>
      <w:r>
        <w:t xml:space="preserve">“</w:t>
      </w:r>
      <w:r>
        <w:t xml:space="preserve">sensorimotor psychotherapy,</w:t>
      </w:r>
      <w:r>
        <w:t xml:space="preserve">”</w:t>
      </w:r>
      <w:r>
        <w:t xml:space="preserve"> </w:t>
      </w:r>
      <w:r>
        <w:t xml:space="preserve">“</w:t>
      </w:r>
      <w:r>
        <w:t xml:space="preserve">somatic experiencing,</w:t>
      </w:r>
      <w:r>
        <w:t xml:space="preserve">”</w:t>
      </w:r>
      <w:r>
        <w:t xml:space="preserve"> </w:t>
      </w:r>
      <w:r>
        <w:t xml:space="preserve">or</w:t>
      </w:r>
      <w:r>
        <w:t xml:space="preserve"> </w:t>
      </w:r>
      <w:r>
        <w:t xml:space="preserve">“</w:t>
      </w:r>
      <w:r>
        <w:t xml:space="preserve">dorsal vagal regulation</w:t>
      </w:r>
      <w:r>
        <w:t xml:space="preserve">”</w:t>
      </w:r>
      <w:r>
        <w:t xml:space="preserve"> </w:t>
      </w:r>
      <w:r>
        <w:t xml:space="preserve">mean little to prospective clients who have not yet encountered the modality</w:t>
      </w:r>
      <w:r>
        <w:t xml:space="preserve"> </w:t>
      </w:r>
      <w:r>
        <w:rPr>
          <w:vertAlign w:val="superscript"/>
        </w:rPr>
        <w:footnoteReference w:id="266"/>
      </w:r>
      <w:r>
        <w:t xml:space="preserve">. Therapists who niche down to concrete problem-solution formulations — for example,</w:t>
      </w:r>
      <w:r>
        <w:t xml:space="preserve"> </w:t>
      </w:r>
      <w:r>
        <w:t xml:space="preserve">“</w:t>
      </w:r>
      <w:r>
        <w:t xml:space="preserve">I help anxious professionals release work-related tension stored in the body</w:t>
      </w:r>
      <w:r>
        <w:t xml:space="preserve">”</w:t>
      </w:r>
      <w:r>
        <w:t xml:space="preserve"> </w:t>
      </w:r>
      <w:r>
        <w:t xml:space="preserve">— see measurably better outcomes than those who lead with modality names</w:t>
      </w:r>
      <w:r>
        <w:t xml:space="preserve"> </w:t>
      </w:r>
      <w:fldSimple w:instr="NOTEREF _Ref_Footnote_266 \h \f">
        <w:r>
          <w:rPr>
            <w:vertAlign w:val="superscript"/>
          </w:rPr>
          <w:t>266</w:t>
        </w:r>
      </w:fldSimple>
      <w:r>
        <w:t xml:space="preserve"> </w:t>
      </w:r>
      <w:fldSimple w:instr="NOTEREF _Ref_Footnote_260 \h \f">
        <w:r>
          <w:rPr>
            <w:vertAlign w:val="superscript"/>
          </w:rPr>
          <w:t>260</w:t>
        </w:r>
      </w:fldSimple>
      <w:r>
        <w:t xml:space="preserve">. Yet graduate programs provide virtually no training in business development, leaving practitioners to self-educate across SEO, social media, paid advertising, and conversion optimization</w:t>
      </w:r>
      <w:r>
        <w:t xml:space="preserve"> </w:t>
      </w:r>
      <w:r>
        <w:rPr>
          <w:vertAlign w:val="superscript"/>
        </w:rPr>
        <w:footnoteReference w:id="267"/>
      </w:r>
      <w:r>
        <w:t xml:space="preserve">.</w:t>
      </w:r>
    </w:p>
    <w:p>
      <w:pPr>
        <w:pStyle w:val="BodyText"/>
      </w:pPr>
      <w:r>
        <w:t xml:space="preserve">The emotional toll compounds the practical one. Marketing triggers trauma responses — fight, flight, freeze, fawn — in therapists who have absorbed an</w:t>
      </w:r>
      <w:r>
        <w:t xml:space="preserve"> </w:t>
      </w:r>
      <w:r>
        <w:t xml:space="preserve">“</w:t>
      </w:r>
      <w:r>
        <w:t xml:space="preserve">unspoken message that good therapists don’t talk about themselves in public</w:t>
      </w:r>
      <w:r>
        <w:t xml:space="preserve">”</w:t>
      </w:r>
      <w:r>
        <w:t xml:space="preserve"> </w:t>
      </w:r>
      <w:r>
        <w:rPr>
          <w:vertAlign w:val="superscript"/>
        </w:rPr>
        <w:footnoteReference w:id="268"/>
      </w:r>
      <w:r>
        <w:t xml:space="preserve"> </w:t>
      </w:r>
      <w:r>
        <w:rPr>
          <w:vertAlign w:val="superscript"/>
        </w:rPr>
        <w:footnoteReference w:id="269"/>
      </w:r>
      <w:r>
        <w:t xml:space="preserve">. Imposter syndrome, discomfort with visibility, and the uniquely felt challenge of conveying embodied work through disembodied digital channels all depress practitioner marketing activity</w:t>
      </w:r>
      <w:r>
        <w:t xml:space="preserve"> </w:t>
      </w:r>
      <w:r>
        <w:rPr>
          <w:vertAlign w:val="superscript"/>
        </w:rPr>
        <w:footnoteReference w:id="270"/>
      </w:r>
      <w:r>
        <w:t xml:space="preserve"> </w:t>
      </w:r>
      <w:fldSimple w:instr="NOTEREF _Ref_Footnote_267 \h \f">
        <w:r>
          <w:rPr>
            <w:vertAlign w:val="superscript"/>
          </w:rPr>
          <w:t>267</w:t>
        </w:r>
      </w:fldSimple>
      <w:r>
        <w:t xml:space="preserve">. Group practices that offer</w:t>
      </w:r>
      <w:r>
        <w:t xml:space="preserve"> </w:t>
      </w:r>
      <w:r>
        <w:t xml:space="preserve">“</w:t>
      </w:r>
      <w:r>
        <w:t xml:space="preserve">marketing done for you</w:t>
      </w:r>
      <w:r>
        <w:t xml:space="preserve">”</w:t>
      </w:r>
      <w:r>
        <w:t xml:space="preserve"> </w:t>
      </w:r>
      <w:r>
        <w:t xml:space="preserve">report strong applicant interest precisely because they eliminate this burden</w:t>
      </w:r>
      <w:r>
        <w:t xml:space="preserve"> </w:t>
      </w:r>
      <w:r>
        <w:rPr>
          <w:vertAlign w:val="superscript"/>
        </w:rPr>
        <w:footnoteReference w:id="271"/>
      </w:r>
      <w:r>
        <w:t xml:space="preserve">.</w:t>
      </w:r>
    </w:p>
    <w:p>
      <w:pPr>
        <w:pStyle w:val="BodyText"/>
      </w:pPr>
      <w:r>
        <w:t xml:space="preserve">Professional isolation amplifies the acquisition struggle. Solo practitioners describe ending days</w:t>
      </w:r>
      <w:r>
        <w:t xml:space="preserve"> </w:t>
      </w:r>
      <w:r>
        <w:t xml:space="preserve">“</w:t>
      </w:r>
      <w:r>
        <w:t xml:space="preserve">feeling emotionally drained and completely alone,</w:t>
      </w:r>
      <w:r>
        <w:t xml:space="preserve">”</w:t>
      </w:r>
      <w:r>
        <w:t xml:space="preserve"> </w:t>
      </w:r>
      <w:r>
        <w:t xml:space="preserve">with isolation characterized as</w:t>
      </w:r>
      <w:r>
        <w:t xml:space="preserve"> </w:t>
      </w:r>
      <w:r>
        <w:t xml:space="preserve">“</w:t>
      </w:r>
      <w:r>
        <w:t xml:space="preserve">the quiet, slow leak in our energy that nobody warns you about in grad school</w:t>
      </w:r>
      <w:r>
        <w:t xml:space="preserve">”</w:t>
      </w:r>
      <w:r>
        <w:t xml:space="preserve"> </w:t>
      </w:r>
      <w:fldSimple w:instr="NOTEREF _Ref_Footnote_267 \h \f">
        <w:r>
          <w:rPr>
            <w:vertAlign w:val="superscript"/>
          </w:rPr>
          <w:t>267</w:t>
        </w:r>
      </w:fldSimple>
      <w:r>
        <w:t xml:space="preserve">. Working without colleagues removes the peer referral network that group-practice therapists rely upon for client flow and chips away at confidence over time</w:t>
      </w:r>
      <w:r>
        <w:t xml:space="preserve"> </w:t>
      </w:r>
      <w:fldSimple w:instr="NOTEREF _Ref_Footnote_267 \h \f">
        <w:r>
          <w:rPr>
            <w:vertAlign w:val="superscript"/>
          </w:rPr>
          <w:t>267</w:t>
        </w:r>
      </w:fldSimple>
      <w:r>
        <w:t xml:space="preserve">.</w:t>
      </w:r>
    </w:p>
    <w:bookmarkEnd w:id="136"/>
    <w:bookmarkStart w:id="137" w:name="X50f209e3c15dc2eb0212a78044852f0c153a259"/>
    <w:p>
      <w:pPr>
        <w:pStyle w:val="Heading4"/>
      </w:pPr>
      <w:r>
        <w:t xml:space="preserve">6.1.2 Administrative Burden: The $400-$600 Monthly Tech Stack Tax</w:t>
      </w:r>
    </w:p>
    <w:p>
      <w:pPr>
        <w:pStyle w:val="FirstParagraph"/>
      </w:pPr>
      <w:r>
        <w:t xml:space="preserve">Solo somatic therapists function as</w:t>
      </w:r>
      <w:r>
        <w:t xml:space="preserve"> </w:t>
      </w:r>
      <w:r>
        <w:t xml:space="preserve">“</w:t>
      </w:r>
      <w:r>
        <w:t xml:space="preserve">the therapist, scheduler, biller, marketer, janitor, and IT department</w:t>
      </w:r>
      <w:r>
        <w:t xml:space="preserve">”</w:t>
      </w:r>
      <w:r>
        <w:t xml:space="preserve"> </w:t>
      </w:r>
      <w:r>
        <w:t xml:space="preserve">all at once</w:t>
      </w:r>
      <w:r>
        <w:t xml:space="preserve"> </w:t>
      </w:r>
      <w:r>
        <w:rPr>
          <w:vertAlign w:val="superscript"/>
        </w:rPr>
        <w:footnoteReference w:id="272"/>
      </w:r>
      <w:r>
        <w:t xml:space="preserve">. Therapists spend unpaid hours on</w:t>
      </w:r>
      <w:r>
        <w:t xml:space="preserve"> </w:t>
      </w:r>
      <w:r>
        <w:t xml:space="preserve">“</w:t>
      </w:r>
      <w:r>
        <w:t xml:space="preserve">preparing for sessions, treatment planning, spending time on hold with insurance companies, accounting, marketing</w:t>
      </w:r>
      <w:r>
        <w:t xml:space="preserve">”</w:t>
      </w:r>
      <w:r>
        <w:t xml:space="preserve"> </w:t>
      </w:r>
      <w:fldSimple w:instr="NOTEREF _Ref_Footnote_250 \h \f">
        <w:r>
          <w:rPr>
            <w:vertAlign w:val="superscript"/>
          </w:rPr>
          <w:t>250</w:t>
        </w:r>
      </w:fldSimple>
      <w:r>
        <w:t xml:space="preserve">— compressing time for self-care and clinical preparation.</w:t>
      </w:r>
    </w:p>
    <w:p>
      <w:pPr>
        <w:pStyle w:val="BodyText"/>
      </w:pPr>
      <w:r>
        <w:t xml:space="preserve">The financial cost has grown sharply. Solo practitioners now spend $400-$600 per month on technology: EHR software ($39-$99), AI note-taking ($35-$90), telehealth add-ons ($10-$15), directory listings (~$30), and malpractice insurance ($25-$80)</w:t>
      </w:r>
      <w:r>
        <w:t xml:space="preserve"> </w:t>
      </w:r>
      <w:fldSimple w:instr="NOTEREF _Ref_Footnote_10 \h \f">
        <w:r>
          <w:rPr>
            <w:vertAlign w:val="superscript"/>
          </w:rPr>
          <w:t>10</w:t>
        </w:r>
      </w:fldSimple>
      <w:r>
        <w:t xml:space="preserve"> </w:t>
      </w:r>
      <w:r>
        <w:rPr>
          <w:vertAlign w:val="superscript"/>
        </w:rPr>
        <w:footnoteReference w:id="273"/>
      </w:r>
      <w:r>
        <w:t xml:space="preserve">. SimplePractice raised its Essential plan by 69% in March 2025 — from ~$49 to $79 per month — hitting solo therapists hardest</w:t>
      </w:r>
      <w:r>
        <w:t xml:space="preserve"> </w:t>
      </w:r>
      <w:r>
        <w:rPr>
          <w:vertAlign w:val="superscript"/>
        </w:rPr>
        <w:footnoteReference w:id="274"/>
      </w:r>
      <w:r>
        <w:t xml:space="preserve">. The result is</w:t>
      </w:r>
      <w:r>
        <w:t xml:space="preserve"> </w:t>
      </w:r>
      <w:r>
        <w:t xml:space="preserve">“</w:t>
      </w:r>
      <w:r>
        <w:t xml:space="preserve">subscription creep</w:t>
      </w:r>
      <w:r>
        <w:t xml:space="preserve">”</w:t>
      </w:r>
      <w:r>
        <w:t xml:space="preserve"> </w:t>
      </w:r>
      <w:r>
        <w:t xml:space="preserve">where therapists feel like</w:t>
      </w:r>
      <w:r>
        <w:t xml:space="preserve"> </w:t>
      </w:r>
      <w:r>
        <w:t xml:space="preserve">“</w:t>
      </w:r>
      <w:r>
        <w:t xml:space="preserve">part-time IT managers</w:t>
      </w:r>
      <w:r>
        <w:t xml:space="preserve">”</w:t>
      </w:r>
      <w:r>
        <w:t xml:space="preserve"> </w:t>
      </w:r>
      <w:fldSimple w:instr="NOTEREF _Ref_Footnote_10 \h \f">
        <w:r>
          <w:rPr>
            <w:vertAlign w:val="superscript"/>
          </w:rPr>
          <w:t>10</w:t>
        </w:r>
      </w:fldSimple>
      <w:r>
        <w:t xml:space="preserve">.</w:t>
      </w:r>
    </w:p>
    <w:bookmarkEnd w:id="137"/>
    <w:bookmarkStart w:id="138" w:name="X503d6e922c534b82a7642ca2646a0bc805af3ca"/>
    <w:p>
      <w:pPr>
        <w:pStyle w:val="Heading4"/>
      </w:pPr>
      <w:r>
        <w:t xml:space="preserve">6.1.3 Insurance Complexity: The 85-88% Out-of-Network Reality</w:t>
      </w:r>
    </w:p>
    <w:p>
      <w:pPr>
        <w:pStyle w:val="FirstParagraph"/>
      </w:pPr>
      <w:r>
        <w:t xml:space="preserve">The vast majority of somatic therapists — 85-88% — operate as out-of-network (OON) providers</w:t>
      </w:r>
      <w:r>
        <w:t xml:space="preserve"> </w:t>
      </w:r>
      <w:fldSimple w:instr="NOTEREF _Ref_Footnote_31 \h \f">
        <w:r>
          <w:rPr>
            <w:vertAlign w:val="superscript"/>
          </w:rPr>
          <w:t>31</w:t>
        </w:r>
      </w:fldSimple>
      <w:r>
        <w:t xml:space="preserve">. Only 12-15% participate in major insurance networks, and the proportion is declining: 82% of psychologists cite insufficient reimbursement rates as the reason they are not in-network</w:t>
      </w:r>
      <w:r>
        <w:t xml:space="preserve"> </w:t>
      </w:r>
      <w:r>
        <w:rPr>
          <w:vertAlign w:val="superscript"/>
        </w:rPr>
        <w:footnoteReference w:id="275"/>
      </w:r>
      <w:r>
        <w:t xml:space="preserve">. Medicare reimbursement rates for mental health services decreased approximately 14% in 2025, further widening the gap between what insurers pay and what practitioners need to earn</w:t>
      </w:r>
      <w:r>
        <w:t xml:space="preserve"> </w:t>
      </w:r>
      <w:fldSimple w:instr="NOTEREF _Ref_Footnote_275 \h \f">
        <w:r>
          <w:rPr>
            <w:vertAlign w:val="superscript"/>
          </w:rPr>
          <w:t>275</w:t>
        </w:r>
      </w:fldSimple>
      <w:r>
        <w:t xml:space="preserve">. The consequence is a 36% premium for private-pay sessions: the 2025 Heard Report found private-pay rates averaging $159 per session versus $111 for insurance reimbursement</w:t>
      </w:r>
      <w:r>
        <w:t xml:space="preserve"> </w:t>
      </w:r>
      <w:r>
        <w:rPr>
          <w:vertAlign w:val="superscript"/>
        </w:rPr>
        <w:footnoteReference w:id="276"/>
      </w:r>
      <w:r>
        <w:t xml:space="preserve">.</w:t>
      </w:r>
    </w:p>
    <w:p>
      <w:pPr>
        <w:pStyle w:val="BodyText"/>
      </w:pPr>
      <w:r>
        <w:t xml:space="preserve">For clients, the OON model creates substantial friction. Annual out-of-network deductibles typically range from $2,000-$5,000</w:t>
      </w:r>
      <w:r>
        <w:t xml:space="preserve"> </w:t>
      </w:r>
      <w:r>
        <w:rPr>
          <w:vertAlign w:val="superscript"/>
        </w:rPr>
        <w:footnoteReference w:id="277"/>
      </w:r>
      <w:r>
        <w:t xml:space="preserve">. The superbill system — through which clients seek reimbursement after paying upfront — requires therapists to generate detailed itemized receipts with ICD-10 diagnosis codes, CPT procedure codes, and complete encounter documentation</w:t>
      </w:r>
      <w:r>
        <w:t xml:space="preserve"> </w:t>
      </w:r>
      <w:r>
        <w:rPr>
          <w:vertAlign w:val="superscript"/>
        </w:rPr>
        <w:footnoteReference w:id="278"/>
      </w:r>
      <w:r>
        <w:t xml:space="preserve"> </w:t>
      </w:r>
      <w:r>
        <w:rPr>
          <w:vertAlign w:val="superscript"/>
        </w:rPr>
        <w:footnoteReference w:id="279"/>
      </w:r>
      <w:r>
        <w:t xml:space="preserve">. Clients then submit claims via member portals, wait 2-4 weeks for processing, and often receive only 50-80% of the insurer’s</w:t>
      </w:r>
      <w:r>
        <w:t xml:space="preserve"> </w:t>
      </w:r>
      <w:r>
        <w:t xml:space="preserve">“</w:t>
      </w:r>
      <w:r>
        <w:t xml:space="preserve">allowed amount</w:t>
      </w:r>
      <w:r>
        <w:t xml:space="preserve">”</w:t>
      </w:r>
      <w:r>
        <w:t xml:space="preserve"> </w:t>
      </w:r>
      <w:fldSimple w:instr="NOTEREF _Ref_Footnote_278 \h \f">
        <w:r>
          <w:rPr>
            <w:vertAlign w:val="superscript"/>
          </w:rPr>
          <w:t>278</w:t>
        </w:r>
      </w:fldSimple>
      <w:r>
        <w:t xml:space="preserve">. Only 35% of insurance plans explicitly cover</w:t>
      </w:r>
      <w:r>
        <w:t xml:space="preserve"> </w:t>
      </w:r>
      <w:r>
        <w:t xml:space="preserve">“</w:t>
      </w:r>
      <w:r>
        <w:t xml:space="preserve">alternative or complementary therapeutic approaches</w:t>
      </w:r>
      <w:r>
        <w:t xml:space="preserve">”</w:t>
      </w:r>
      <w:r>
        <w:t xml:space="preserve"> </w:t>
      </w:r>
      <w:r>
        <w:t xml:space="preserve">like somatic therapy</w:t>
      </w:r>
      <w:r>
        <w:t xml:space="preserve"> </w:t>
      </w:r>
      <w:fldSimple w:instr="NOTEREF _Ref_Footnote_277 \h \f">
        <w:r>
          <w:rPr>
            <w:vertAlign w:val="superscript"/>
          </w:rPr>
          <w:t>277</w:t>
        </w:r>
      </w:fldSimple>
      <w:r>
        <w:t xml:space="preserve">, leaving both practitioners and clients to navigate a reimbursement maze that discourages engagement on both sides.</w:t>
      </w:r>
    </w:p>
    <w:bookmarkEnd w:id="138"/>
    <w:bookmarkStart w:id="139" w:name="burnout-secondary-traumatic-stress-at-70"/>
    <w:p>
      <w:pPr>
        <w:pStyle w:val="Heading4"/>
      </w:pPr>
      <w:r>
        <w:t xml:space="preserve">6.1.4 Burnout: Secondary Traumatic Stress at 70%</w:t>
      </w:r>
    </w:p>
    <w:p>
      <w:pPr>
        <w:pStyle w:val="FirstParagraph"/>
      </w:pPr>
      <w:r>
        <w:t xml:space="preserve">Burnout and compassion fatigue are not abstract concerns for somatic practitioners — they are endemic. Among UK therapists, 25.8% score in the high-risk category for burnout</w:t>
      </w:r>
      <w:r>
        <w:t xml:space="preserve"> </w:t>
      </w:r>
      <w:fldSimple w:instr="NOTEREF _Ref_Footnote_34 \h \f">
        <w:r>
          <w:rPr>
            <w:vertAlign w:val="superscript"/>
          </w:rPr>
          <w:t>34</w:t>
        </w:r>
      </w:fldSimple>
      <w:r>
        <w:t xml:space="preserve">. The figure rises to 70% for secondary traumatic stress among trauma-specialist therapists</w:t>
      </w:r>
      <w:r>
        <w:t xml:space="preserve"> </w:t>
      </w:r>
      <w:fldSimple w:instr="NOTEREF _Ref_Footnote_34 \h \f">
        <w:r>
          <w:rPr>
            <w:vertAlign w:val="superscript"/>
          </w:rPr>
          <w:t>34</w:t>
        </w:r>
      </w:fldSimple>
      <w:r>
        <w:t xml:space="preserve">. Across mental health professionals broadly, 21-61% report burnout at some point in their career</w:t>
      </w:r>
      <w:r>
        <w:t xml:space="preserve"> </w:t>
      </w:r>
      <w:r>
        <w:rPr>
          <w:vertAlign w:val="superscript"/>
        </w:rPr>
        <w:footnoteReference w:id="280"/>
      </w:r>
      <w:r>
        <w:t xml:space="preserve">, and up to 70% of social workers experience compassion fatigue</w:t>
      </w:r>
      <w:r>
        <w:t xml:space="preserve"> </w:t>
      </w:r>
      <w:fldSimple w:instr="NOTEREF _Ref_Footnote_280 \h \f">
        <w:r>
          <w:rPr>
            <w:vertAlign w:val="superscript"/>
          </w:rPr>
          <w:t>280</w:t>
        </w:r>
      </w:fldSimple>
      <w:r>
        <w:t xml:space="preserve">.</w:t>
      </w:r>
    </w:p>
    <w:p>
      <w:pPr>
        <w:pStyle w:val="BodyText"/>
      </w:pPr>
      <w:r>
        <w:t xml:space="preserve">Research identifies clear protective factors. Strong management support is the strongest negative predictor of burnout (beta = -0.328), followed by supervision support (beta = -0.249), time for self-care (beta = -0.173), and peer support (beta = -0.155)</w:t>
      </w:r>
      <w:r>
        <w:t xml:space="preserve"> </w:t>
      </w:r>
      <w:fldSimple w:instr="NOTEREF _Ref_Footnote_34 \h \f">
        <w:r>
          <w:rPr>
            <w:vertAlign w:val="superscript"/>
          </w:rPr>
          <w:t>34</w:t>
        </w:r>
      </w:fldSimple>
      <w:r>
        <w:t xml:space="preserve">. Critically, early-career practitioners are most vulnerable: those under 35 report the highest burnout and lowest compassion satisfaction</w:t>
      </w:r>
      <w:r>
        <w:t xml:space="preserve"> </w:t>
      </w:r>
      <w:r>
        <w:rPr>
          <w:vertAlign w:val="superscript"/>
        </w:rPr>
        <w:footnoteReference w:id="281"/>
      </w:r>
      <w:r>
        <w:t xml:space="preserve">. For new somatic practitioners, this creates a</w:t>
      </w:r>
      <w:r>
        <w:t xml:space="preserve"> </w:t>
      </w:r>
      <w:r>
        <w:t xml:space="preserve">“</w:t>
      </w:r>
      <w:r>
        <w:t xml:space="preserve">perfect storm</w:t>
      </w:r>
      <w:r>
        <w:t xml:space="preserve">”</w:t>
      </w:r>
      <w:r>
        <w:t xml:space="preserve"> </w:t>
      </w:r>
      <w:r>
        <w:t xml:space="preserve">— student loan debt from training programs costing $5,000-$13,000+, credential requirements spanning 3-6 years, the emotional intensity of body-based trauma work, and professional isolation that removes the very peer support that research shows is most protective.</w:t>
      </w:r>
    </w:p>
    <w:bookmarkEnd w:id="139"/>
    <w:bookmarkEnd w:id="140"/>
    <w:bookmarkStart w:id="145" w:name="consumer-journey-demand"/>
    <w:p>
      <w:pPr>
        <w:pStyle w:val="Heading3"/>
      </w:pPr>
      <w:r>
        <w:t xml:space="preserve">6.2 Consumer Journey &amp; Demand</w:t>
      </w:r>
    </w:p>
    <w:bookmarkStart w:id="141" w:name="X0d1cad5381e1181a291ac2c253fb27d29175602"/>
    <w:p>
      <w:pPr>
        <w:pStyle w:val="Heading4"/>
      </w:pPr>
      <w:r>
        <w:t xml:space="preserve">6.2.1 Discovery Channels: From Google to TikTok to AI</w:t>
      </w:r>
    </w:p>
    <w:p>
      <w:pPr>
        <w:pStyle w:val="FirstParagraph"/>
      </w:pPr>
      <w:r>
        <w:t xml:space="preserve">The client journey begins long before a booking is made. According to Reframe Practice’s 2026 visibility data, five channels dominate therapist discovery: Google Search (550,000 monthly US searches for</w:t>
      </w:r>
      <w:r>
        <w:t xml:space="preserve"> </w:t>
      </w:r>
      <w:r>
        <w:t xml:space="preserve">“</w:t>
      </w:r>
      <w:r>
        <w:t xml:space="preserve">therapist near me</w:t>
      </w:r>
      <w:r>
        <w:t xml:space="preserve">”</w:t>
      </w:r>
      <w:r>
        <w:t xml:space="preserve"> </w:t>
      </w:r>
      <w:r>
        <w:t xml:space="preserve">alone), AI tools like ChatGPT (527% year-over-year growth in AI-referred traffic), insurance portals (Alma, Headway, Rula), therapist directories, and word-of-mouth referrals</w:t>
      </w:r>
      <w:r>
        <w:t xml:space="preserve"> </w:t>
      </w:r>
      <w:fldSimple w:instr="NOTEREF _Ref_Footnote_247 \h \f">
        <w:r>
          <w:rPr>
            <w:vertAlign w:val="superscript"/>
          </w:rPr>
          <w:t>247</w:t>
        </w:r>
      </w:fldSimple>
      <w:r>
        <w:t xml:space="preserve"> </w:t>
      </w:r>
      <w:fldSimple w:instr="NOTEREF _Ref_Footnote_271 \h \f">
        <w:r>
          <w:rPr>
            <w:vertAlign w:val="superscript"/>
          </w:rPr>
          <w:t>271</w:t>
        </w:r>
      </w:fldSimple>
      <w:r>
        <w:t xml:space="preserve">.</w:t>
      </w:r>
    </w:p>
    <w:p>
      <w:pPr>
        <w:pStyle w:val="BodyText"/>
      </w:pPr>
      <w:r>
        <w:t xml:space="preserve">Google remains the largest single channel, but its mechanics are shifting radically. Sixty-five percent of Google searches now end without a click, as AI Overviews, featured snippets, and local map packs answer queries directly</w:t>
      </w:r>
      <w:r>
        <w:t xml:space="preserve"> </w:t>
      </w:r>
      <w:fldSimple w:instr="NOTEREF _Ref_Footnote_247 \h \f">
        <w:r>
          <w:rPr>
            <w:vertAlign w:val="superscript"/>
          </w:rPr>
          <w:t>247</w:t>
        </w:r>
      </w:fldSimple>
      <w:r>
        <w:t xml:space="preserve">. For therapists, this means that an optimized Google Business Profile and structured website content matter more than traditional directory placement — yet only approximately 30% of mental health professionals have claimed and fully optimized their profiles</w:t>
      </w:r>
      <w:r>
        <w:t xml:space="preserve"> </w:t>
      </w:r>
      <w:r>
        <w:rPr>
          <w:vertAlign w:val="superscript"/>
        </w:rPr>
        <w:footnoteReference w:id="282"/>
      </w:r>
      <w:r>
        <w:t xml:space="preserve">. On mobile devices, which account for over 60% of therapy-related searches, the map pack (top 3 local results) consumes most of the screen before any organic links appear</w:t>
      </w:r>
      <w:r>
        <w:t xml:space="preserve"> </w:t>
      </w:r>
      <w:r>
        <w:rPr>
          <w:vertAlign w:val="superscript"/>
        </w:rPr>
        <w:footnoteReference w:id="283"/>
      </w:r>
      <w:r>
        <w:t xml:space="preserve">.</w:t>
      </w:r>
    </w:p>
    <w:p>
      <w:pPr>
        <w:pStyle w:val="BodyText"/>
      </w:pPr>
      <w:r>
        <w:t xml:space="preserve">Social media functions as a top-of-funnel awareness engine, particularly for younger demographics. TikTok’s #somatictherapy has generated 112.9 million views</w:t>
      </w:r>
      <w:r>
        <w:t xml:space="preserve"> </w:t>
      </w:r>
      <w:r>
        <w:rPr>
          <w:vertAlign w:val="superscript"/>
        </w:rPr>
        <w:footnoteReference w:id="284"/>
      </w:r>
      <w:r>
        <w:t xml:space="preserve">, while #nervoussystemregulation has crossed 300 million views</w:t>
      </w:r>
      <w:r>
        <w:t xml:space="preserve"> </w:t>
      </w:r>
      <w:fldSimple w:instr="NOTEREF _Ref_Footnote_249 \h \f">
        <w:r>
          <w:rPr>
            <w:vertAlign w:val="superscript"/>
          </w:rPr>
          <w:t>249</w:t>
        </w:r>
      </w:fldSimple>
      <w:r>
        <w:t xml:space="preserve">. A single somatic grounding video received over 7 million views</w:t>
      </w:r>
      <w:r>
        <w:t xml:space="preserve"> </w:t>
      </w:r>
      <w:fldSimple w:instr="NOTEREF _Ref_Footnote_284 \h \f">
        <w:r>
          <w:rPr>
            <w:vertAlign w:val="superscript"/>
          </w:rPr>
          <w:t>284</w:t>
        </w:r>
      </w:fldSimple>
      <w:r>
        <w:t xml:space="preserve">. However, the critical insight for platform design is that social media builds awareness but rarely drives direct bookings:</w:t>
      </w:r>
      <w:r>
        <w:t xml:space="preserve"> </w:t>
      </w:r>
      <w:r>
        <w:t xml:space="preserve">“</w:t>
      </w:r>
      <w:r>
        <w:t xml:space="preserve">Therapy clients search with intent (</w:t>
      </w:r>
      <w:r>
        <w:t xml:space="preserve">‘</w:t>
      </w:r>
      <w:r>
        <w:t xml:space="preserve">I need a therapist now</w:t>
      </w:r>
      <w:r>
        <w:t xml:space="preserve">’</w:t>
      </w:r>
      <w:r>
        <w:t xml:space="preserve">). They do not scroll Instagram looking for one</w:t>
      </w:r>
      <w:r>
        <w:t xml:space="preserve">”</w:t>
      </w:r>
      <w:r>
        <w:t xml:space="preserve"> </w:t>
      </w:r>
      <w:fldSimple w:instr="NOTEREF _Ref_Footnote_271 \h \f">
        <w:r>
          <w:rPr>
            <w:vertAlign w:val="superscript"/>
          </w:rPr>
          <w:t>271</w:t>
        </w:r>
      </w:fldSimple>
      <w:r>
        <w:t xml:space="preserve">.</w:t>
      </w:r>
    </w:p>
    <w:p>
      <w:pPr>
        <w:pStyle w:val="BodyText"/>
      </w:pPr>
      <w:r>
        <w:t xml:space="preserve">AI search is the fastest-growing discovery channel. When users ask ChatGPT for therapist recommendations, the system suggests 3-4 specific providers rather than a list of 200</w:t>
      </w:r>
      <w:r>
        <w:t xml:space="preserve"> </w:t>
      </w:r>
      <w:fldSimple w:instr="NOTEREF _Ref_Footnote_247 \h \f">
        <w:r>
          <w:rPr>
            <w:vertAlign w:val="superscript"/>
          </w:rPr>
          <w:t>247</w:t>
        </w:r>
      </w:fldSimple>
      <w:r>
        <w:t xml:space="preserve">. List mentions (41%), reviews (16%), and brand mentions (11%) are the key factors influencing AI recommendations</w:t>
      </w:r>
      <w:r>
        <w:t xml:space="preserve"> </w:t>
      </w:r>
      <w:fldSimple w:instr="NOTEREF _Ref_Footnote_271 \h \f">
        <w:r>
          <w:rPr>
            <w:vertAlign w:val="superscript"/>
          </w:rPr>
          <w:t>271</w:t>
        </w:r>
      </w:fldSimple>
      <w:r>
        <w:t xml:space="preserve">, making AI optimization a strategic imperative for platform discoverability.</w:t>
      </w:r>
    </w:p>
    <w:bookmarkEnd w:id="141"/>
    <w:bookmarkStart w:id="142" w:name="X7f72d1f833cef5ea0c5e0d6c8dac7a1e248b765"/>
    <w:p>
      <w:pPr>
        <w:pStyle w:val="Heading4"/>
      </w:pPr>
      <w:r>
        <w:t xml:space="preserve">6.2.2 Decision Factors: What Clients Evaluate Before Booking</w:t>
      </w:r>
    </w:p>
    <w:p>
      <w:pPr>
        <w:pStyle w:val="FirstParagraph"/>
      </w:pPr>
      <w:r>
        <w:t xml:space="preserve">During evaluation, patients build a shortlist of 2-4 therapists before making contact</w:t>
      </w:r>
      <w:r>
        <w:t xml:space="preserve"> </w:t>
      </w:r>
      <w:fldSimple w:instr="NOTEREF _Ref_Footnote_247 \h \f">
        <w:r>
          <w:rPr>
            <w:vertAlign w:val="superscript"/>
          </w:rPr>
          <w:t>247</w:t>
        </w:r>
      </w:fldSimple>
      <w:r>
        <w:t xml:space="preserve">. Five criteria dominate selection:</w:t>
      </w:r>
      <w:r>
        <w:t xml:space="preserve"> </w:t>
      </w:r>
      <w:r>
        <w:rPr>
          <w:bCs/>
          <w:b/>
        </w:rPr>
        <w:t xml:space="preserve">modality match</w:t>
      </w:r>
      <w:r>
        <w:t xml:space="preserve"> </w:t>
      </w:r>
      <w:r>
        <w:t xml:space="preserve">(clients seek therapists who specifically mention body-based approaches</w:t>
      </w:r>
      <w:r>
        <w:t xml:space="preserve"> </w:t>
      </w:r>
      <w:r>
        <w:rPr>
          <w:vertAlign w:val="superscript"/>
        </w:rPr>
        <w:footnoteReference w:id="285"/>
      </w:r>
      <w:r>
        <w:t xml:space="preserve">);</w:t>
      </w:r>
      <w:r>
        <w:t xml:space="preserve"> </w:t>
      </w:r>
      <w:r>
        <w:rPr>
          <w:bCs/>
          <w:b/>
        </w:rPr>
        <w:t xml:space="preserve">credential verification</w:t>
      </w:r>
      <w:r>
        <w:t xml:space="preserve"> </w:t>
      </w:r>
      <w:r>
        <w:t xml:space="preserve">(SEP, LCSW, LMFT, or specialized training signal legitimacy</w:t>
      </w:r>
      <w:r>
        <w:t xml:space="preserve"> </w:t>
      </w:r>
      <w:fldSimple w:instr="NOTEREF _Ref_Footnote_54 \h \f">
        <w:r>
          <w:rPr>
            <w:vertAlign w:val="superscript"/>
          </w:rPr>
          <w:t>54</w:t>
        </w:r>
      </w:fldSimple>
      <w:r>
        <w:t xml:space="preserve">);</w:t>
      </w:r>
      <w:r>
        <w:t xml:space="preserve"> </w:t>
      </w:r>
      <w:r>
        <w:rPr>
          <w:bCs/>
          <w:b/>
        </w:rPr>
        <w:t xml:space="preserve">cost transparency</w:t>
      </w:r>
      <w:r>
        <w:t xml:space="preserve"> </w:t>
      </w:r>
      <w:r>
        <w:t xml:space="preserve">(clear fees and insurance options are among the most requested information</w:t>
      </w:r>
      <w:r>
        <w:t xml:space="preserve"> </w:t>
      </w:r>
      <w:r>
        <w:rPr>
          <w:vertAlign w:val="superscript"/>
        </w:rPr>
        <w:footnoteReference w:id="286"/>
      </w:r>
      <w:r>
        <w:t xml:space="preserve">);</w:t>
      </w:r>
      <w:r>
        <w:t xml:space="preserve"> </w:t>
      </w:r>
      <w:r>
        <w:rPr>
          <w:bCs/>
          <w:b/>
        </w:rPr>
        <w:t xml:space="preserve">availability</w:t>
      </w:r>
      <w:r>
        <w:t xml:space="preserve"> </w:t>
      </w:r>
      <w:r>
        <w:t xml:space="preserve">(the average client visits 3-5 websites and requires seven touchpoints before booking</w:t>
      </w:r>
      <w:r>
        <w:t xml:space="preserve"> </w:t>
      </w:r>
      <w:fldSimple w:instr="NOTEREF _Ref_Footnote_282 \h \f">
        <w:r>
          <w:rPr>
            <w:vertAlign w:val="superscript"/>
          </w:rPr>
          <w:t>282</w:t>
        </w:r>
      </w:fldSimple>
      <w:r>
        <w:t xml:space="preserve"> </w:t>
      </w:r>
      <w:fldSimple w:instr="NOTEREF _Ref_Footnote_273 \h \f">
        <w:r>
          <w:rPr>
            <w:vertAlign w:val="superscript"/>
          </w:rPr>
          <w:t>273</w:t>
        </w:r>
      </w:fldSimple>
      <w:r>
        <w:t xml:space="preserve">); and</w:t>
      </w:r>
      <w:r>
        <w:t xml:space="preserve"> </w:t>
      </w:r>
      <w:r>
        <w:rPr>
          <w:bCs/>
          <w:b/>
        </w:rPr>
        <w:t xml:space="preserve">cultural fit</w:t>
      </w:r>
      <w:r>
        <w:t xml:space="preserve"> </w:t>
      </w:r>
      <w:r>
        <w:t xml:space="preserve">(shared identity and values alignment increasingly matter).</w:t>
      </w:r>
    </w:p>
    <w:p>
      <w:pPr>
        <w:pStyle w:val="BodyText"/>
      </w:pPr>
      <w:r>
        <w:t xml:space="preserve">The booking stage is where most drop-off occurs. Healthcare website conversion rates average 1.5-3%, with optimized therapy practices reaching 4% and top performers achieving 12-14%</w:t>
      </w:r>
      <w:r>
        <w:t xml:space="preserve"> </w:t>
      </w:r>
      <w:r>
        <w:rPr>
          <w:vertAlign w:val="superscript"/>
        </w:rPr>
        <w:footnoteReference w:id="287"/>
      </w:r>
      <w:r>
        <w:t xml:space="preserve"> </w:t>
      </w:r>
      <w:r>
        <w:rPr>
          <w:vertAlign w:val="superscript"/>
        </w:rPr>
        <w:footnoteReference w:id="288"/>
      </w:r>
      <w:r>
        <w:t xml:space="preserve">. Easy online booking, transparent pricing, and immediate scheduling options materially improve conversion</w:t>
      </w:r>
      <w:r>
        <w:t xml:space="preserve"> </w:t>
      </w:r>
      <w:fldSimple w:instr="NOTEREF _Ref_Footnote_288 \h \f">
        <w:r>
          <w:rPr>
            <w:vertAlign w:val="superscript"/>
          </w:rPr>
          <w:t>288</w:t>
        </w:r>
      </w:fldSimple>
      <w:r>
        <w:t xml:space="preserve"> </w:t>
      </w:r>
      <w:fldSimple w:instr="NOTEREF _Ref_Footnote_273 \h \f">
        <w:r>
          <w:rPr>
            <w:vertAlign w:val="superscript"/>
          </w:rPr>
          <w:t>273</w:t>
        </w:r>
      </w:fldSimple>
      <w:r>
        <w:t xml:space="preserve">.</w:t>
      </w:r>
    </w:p>
    <w:bookmarkEnd w:id="142"/>
    <w:bookmarkStart w:id="143" w:name="Xb160c074aa22ebe71d3b75261967a5d06a6cf25"/>
    <w:p>
      <w:pPr>
        <w:pStyle w:val="Heading4"/>
      </w:pPr>
      <w:r>
        <w:t xml:space="preserve">6.2.3 Barriers to Access: Cost, Awareness, and Stigma</w:t>
      </w:r>
    </w:p>
    <w:p>
      <w:pPr>
        <w:pStyle w:val="FirstParagraph"/>
      </w:pPr>
      <w:r>
        <w:t xml:space="preserve">Cost remains the single largest barrier: 42% of Americans cite affordability as the primary reason for not seeking therapy</w:t>
      </w:r>
      <w:r>
        <w:t xml:space="preserve"> </w:t>
      </w:r>
      <w:fldSimple w:instr="NOTEREF _Ref_Footnote_35 \h \f">
        <w:r>
          <w:rPr>
            <w:vertAlign w:val="superscript"/>
          </w:rPr>
          <w:t>35</w:t>
        </w:r>
      </w:fldSimple>
      <w:r>
        <w:t xml:space="preserve">. Somatic therapy sessions range from $90-$250 per session</w:t>
      </w:r>
      <w:r>
        <w:t xml:space="preserve"> </w:t>
      </w:r>
      <w:fldSimple w:instr="NOTEREF _Ref_Footnote_196 \h \f">
        <w:r>
          <w:rPr>
            <w:vertAlign w:val="superscript"/>
          </w:rPr>
          <w:t>196</w:t>
        </w:r>
      </w:fldSimple>
      <w:r>
        <w:t xml:space="preserve"> </w:t>
      </w:r>
      <w:r>
        <w:rPr>
          <w:vertAlign w:val="superscript"/>
        </w:rPr>
        <w:footnoteReference w:id="289"/>
      </w:r>
      <w:r>
        <w:t xml:space="preserve">, and because 85-88% of practitioners operate OON, clients face annual deductibles of $2,000-$5,000 before reimbursement kicks in</w:t>
      </w:r>
      <w:r>
        <w:t xml:space="preserve"> </w:t>
      </w:r>
      <w:fldSimple w:instr="NOTEREF _Ref_Footnote_277 \h \f">
        <w:r>
          <w:rPr>
            <w:vertAlign w:val="superscript"/>
          </w:rPr>
          <w:t>277</w:t>
        </w:r>
      </w:fldSimple>
      <w:r>
        <w:t xml:space="preserve">.</w:t>
      </w:r>
    </w:p>
    <w:p>
      <w:pPr>
        <w:pStyle w:val="BodyText"/>
      </w:pPr>
      <w:r>
        <w:t xml:space="preserve">Awareness barriers compound cost. Prospective clients often discover somatic therapy only after talk therapy fails —</w:t>
      </w:r>
      <w:r>
        <w:t xml:space="preserve"> </w:t>
      </w:r>
      <w:r>
        <w:t xml:space="preserve">“</w:t>
      </w:r>
      <w:r>
        <w:t xml:space="preserve">many people come to somatic therapy after trying to</w:t>
      </w:r>
      <w:r>
        <w:t xml:space="preserve"> </w:t>
      </w:r>
      <w:r>
        <w:t xml:space="preserve">‘</w:t>
      </w:r>
      <w:r>
        <w:t xml:space="preserve">think</w:t>
      </w:r>
      <w:r>
        <w:t xml:space="preserve">’</w:t>
      </w:r>
      <w:r>
        <w:t xml:space="preserve"> </w:t>
      </w:r>
      <w:r>
        <w:t xml:space="preserve">their way through stress, anxiety, or emotional pain, only to find that insight alone isn’t enough</w:t>
      </w:r>
      <w:r>
        <w:t xml:space="preserve">”</w:t>
      </w:r>
      <w:r>
        <w:t xml:space="preserve"> </w:t>
      </w:r>
      <w:r>
        <w:rPr>
          <w:vertAlign w:val="superscript"/>
        </w:rPr>
        <w:footnoteReference w:id="290"/>
      </w:r>
      <w:r>
        <w:t xml:space="preserve">. Geographic disparities leave many communities without accessible practitioners</w:t>
      </w:r>
      <w:r>
        <w:t xml:space="preserve"> </w:t>
      </w:r>
      <w:fldSimple w:instr="NOTEREF _Ref_Footnote_197 \h \f">
        <w:r>
          <w:rPr>
            <w:vertAlign w:val="superscript"/>
          </w:rPr>
          <w:t>197</w:t>
        </w:r>
      </w:fldSimple>
      <w:r>
        <w:t xml:space="preserve">, and cultural stigma disproportionately affects minority communities where mental health problems are often framed as personal weakness</w:t>
      </w:r>
      <w:r>
        <w:t xml:space="preserve"> </w:t>
      </w:r>
      <w:fldSimple w:instr="NOTEREF _Ref_Footnote_197 \h \f">
        <w:r>
          <w:rPr>
            <w:vertAlign w:val="superscript"/>
          </w:rPr>
          <w:t>197</w:t>
        </w:r>
      </w:fldSimple>
      <w:r>
        <w:t xml:space="preserve">.</w:t>
      </w:r>
    </w:p>
    <w:bookmarkEnd w:id="143"/>
    <w:bookmarkStart w:id="144" w:name="X0d388579ffb65a57ab2c95d56a4a7e8410117d2"/>
    <w:p>
      <w:pPr>
        <w:pStyle w:val="Heading4"/>
      </w:pPr>
      <w:r>
        <w:t xml:space="preserve">6.2.4 Gen Z Preferences: The Generational Demand Wave</w:t>
      </w:r>
    </w:p>
    <w:p>
      <w:pPr>
        <w:pStyle w:val="FirstParagraph"/>
      </w:pPr>
      <w:r>
        <w:t xml:space="preserve">Generation Z (born 1997-2012, ~68 million in the United States) is driving a structural shift in mental health demand. Forty-two percent of Gen Z now attends therapy, representing a 22% increase since 2022</w:t>
      </w:r>
      <w:r>
        <w:t xml:space="preserve"> </w:t>
      </w:r>
      <w:fldSimple w:instr="NOTEREF _Ref_Footnote_36 \h \f">
        <w:r>
          <w:rPr>
            <w:vertAlign w:val="superscript"/>
          </w:rPr>
          <w:t>36</w:t>
        </w:r>
      </w:fldSimple>
      <w:r>
        <w:t xml:space="preserve">. Sixty-one percent have been medically diagnosed with anxiety, 46% with depression, and 87% report feeling comfortable discussing mental health</w:t>
      </w:r>
      <w:r>
        <w:t xml:space="preserve"> </w:t>
      </w:r>
      <w:fldSimple w:instr="NOTEREF _Ref_Footnote_36 \h \f">
        <w:r>
          <w:rPr>
            <w:vertAlign w:val="superscript"/>
          </w:rPr>
          <w:t>36</w:t>
        </w:r>
      </w:fldSimple>
      <w:r>
        <w:t xml:space="preserve">. Gen Z represents 32% of people currently in therapy, second only to Millennials at 48%</w:t>
      </w:r>
      <w:r>
        <w:t xml:space="preserve"> </w:t>
      </w:r>
      <w:fldSimple w:instr="NOTEREF _Ref_Footnote_38 \h \f">
        <w:r>
          <w:rPr>
            <w:vertAlign w:val="superscript"/>
          </w:rPr>
          <w:t>38</w:t>
        </w:r>
      </w:fldSimple>
      <w:r>
        <w:t xml:space="preserve">.</w:t>
      </w:r>
    </w:p>
    <w:p>
      <w:pPr>
        <w:pStyle w:val="BodyText"/>
      </w:pPr>
      <w:r>
        <w:t xml:space="preserve">What distinguishes Gen Z is not just volume but vocabulary. This cohort arrives</w:t>
      </w:r>
      <w:r>
        <w:t xml:space="preserve"> </w:t>
      </w:r>
      <w:r>
        <w:t xml:space="preserve">“</w:t>
      </w:r>
      <w:r>
        <w:t xml:space="preserve">already fluent in clinical terminology, armed with self-diagnoses derived from sixty-second videos, speaking a hybrid language of neuroscience and internet slang</w:t>
      </w:r>
      <w:r>
        <w:t xml:space="preserve">”</w:t>
      </w:r>
      <w:r>
        <w:t xml:space="preserve"> </w:t>
      </w:r>
      <w:fldSimple w:instr="NOTEREF _Ref_Footnote_36 \h \f">
        <w:r>
          <w:rPr>
            <w:vertAlign w:val="superscript"/>
          </w:rPr>
          <w:t>36</w:t>
        </w:r>
      </w:fldSimple>
      <w:r>
        <w:t xml:space="preserve">. They ask about</w:t>
      </w:r>
      <w:r>
        <w:t xml:space="preserve"> </w:t>
      </w:r>
      <w:r>
        <w:t xml:space="preserve">“</w:t>
      </w:r>
      <w:r>
        <w:t xml:space="preserve">nervous system regulation</w:t>
      </w:r>
      <w:r>
        <w:t xml:space="preserve">”</w:t>
      </w:r>
      <w:r>
        <w:t xml:space="preserve"> </w:t>
      </w:r>
      <w:r>
        <w:t xml:space="preserve">and</w:t>
      </w:r>
      <w:r>
        <w:t xml:space="preserve"> </w:t>
      </w:r>
      <w:r>
        <w:t xml:space="preserve">“</w:t>
      </w:r>
      <w:r>
        <w:t xml:space="preserve">dorsal vagal shutdown,</w:t>
      </w:r>
      <w:r>
        <w:t xml:space="preserve">”</w:t>
      </w:r>
      <w:r>
        <w:t xml:space="preserve"> </w:t>
      </w:r>
      <w:r>
        <w:t xml:space="preserve">and describe their experience as</w:t>
      </w:r>
      <w:r>
        <w:t xml:space="preserve"> </w:t>
      </w:r>
      <w:r>
        <w:t xml:space="preserve">“</w:t>
      </w:r>
      <w:r>
        <w:t xml:space="preserve">functional freeze</w:t>
      </w:r>
      <w:r>
        <w:t xml:space="preserve">”</w:t>
      </w:r>
      <w:r>
        <w:t xml:space="preserve"> </w:t>
      </w:r>
      <w:fldSimple w:instr="NOTEREF _Ref_Footnote_36 \h \f">
        <w:r>
          <w:rPr>
            <w:vertAlign w:val="superscript"/>
          </w:rPr>
          <w:t>36</w:t>
        </w:r>
      </w:fldSimple>
      <w:r>
        <w:t xml:space="preserve">. The era of the</w:t>
      </w:r>
      <w:r>
        <w:t xml:space="preserve"> </w:t>
      </w:r>
      <w:r>
        <w:t xml:space="preserve">“</w:t>
      </w:r>
      <w:r>
        <w:t xml:space="preserve">talking cure</w:t>
      </w:r>
      <w:r>
        <w:t xml:space="preserve">”</w:t>
      </w:r>
      <w:r>
        <w:t xml:space="preserve"> </w:t>
      </w:r>
      <w:r>
        <w:t xml:space="preserve">as the default modality is ending for this generation: they intuitively understand that</w:t>
      </w:r>
      <w:r>
        <w:t xml:space="preserve"> </w:t>
      </w:r>
      <w:r>
        <w:t xml:space="preserve">“</w:t>
      </w:r>
      <w:r>
        <w:t xml:space="preserve">trauma lives in the body, and the body must be involved in healing</w:t>
      </w:r>
      <w:r>
        <w:t xml:space="preserve">”</w:t>
      </w:r>
      <w:r>
        <w:t xml:space="preserve"> </w:t>
      </w:r>
      <w:fldSimple w:instr="NOTEREF _Ref_Footnote_36 \h \f">
        <w:r>
          <w:rPr>
            <w:vertAlign w:val="superscript"/>
          </w:rPr>
          <w:t>36</w:t>
        </w:r>
      </w:fldSimple>
      <w:r>
        <w:t xml:space="preserve">.</w:t>
      </w:r>
    </w:p>
    <w:p>
      <w:pPr>
        <w:pStyle w:val="BodyText"/>
      </w:pPr>
      <w:r>
        <w:t xml:space="preserve">Platform preferences reflect these values. Seventy percent prefer digital tools over traditional therapy settings</w:t>
      </w:r>
      <w:r>
        <w:t xml:space="preserve"> </w:t>
      </w:r>
      <w:fldSimple w:instr="NOTEREF _Ref_Footnote_37 \h \f">
        <w:r>
          <w:rPr>
            <w:vertAlign w:val="superscript"/>
          </w:rPr>
          <w:t>37</w:t>
        </w:r>
      </w:fldSimple>
      <w:r>
        <w:t xml:space="preserve">. Mobile applications dominate with 69.45% share of delivery mode</w:t>
      </w:r>
      <w:r>
        <w:t xml:space="preserve"> </w:t>
      </w:r>
      <w:fldSimple w:instr="NOTEREF _Ref_Footnote_37 \h \f">
        <w:r>
          <w:rPr>
            <w:vertAlign w:val="superscript"/>
          </w:rPr>
          <w:t>37</w:t>
        </w:r>
      </w:fldSimple>
      <w:r>
        <w:t xml:space="preserve">. Sixty percent used virtual care in the past 12 months, and one-third accessed it via texting — the highest proportion of any generation</w:t>
      </w:r>
      <w:r>
        <w:t xml:space="preserve"> </w:t>
      </w:r>
      <w:fldSimple w:instr="NOTEREF _Ref_Footnote_258 \h \f">
        <w:r>
          <w:rPr>
            <w:vertAlign w:val="superscript"/>
          </w:rPr>
          <w:t>258</w:t>
        </w:r>
      </w:fldSimple>
      <w:r>
        <w:t xml:space="preserve">. TikTok (43%), YouTube (39%), and Instagram (38%) are the primary platforms Gen Z uses for mental health support online</w:t>
      </w:r>
      <w:r>
        <w:t xml:space="preserve"> </w:t>
      </w:r>
      <w:fldSimple w:instr="NOTEREF _Ref_Footnote_38 \h \f">
        <w:r>
          <w:rPr>
            <w:vertAlign w:val="superscript"/>
          </w:rPr>
          <w:t>38</w:t>
        </w:r>
      </w:fldSimple>
      <w:r>
        <w:t xml:space="preserve">.</w:t>
      </w:r>
    </w:p>
    <w:p>
      <w:pPr>
        <w:pStyle w:val="BodyText"/>
      </w:pPr>
      <w:r>
        <w:t xml:space="preserve">The following table synthesizes the five-stage consumer journey, identifying the key touchpoints, decision criteria, and platform intervention opportunities at each stage:</w:t>
      </w:r>
    </w:p>
    <w:p>
      <w:pPr>
        <w:pStyle w:val="BodyText"/>
      </w:pPr>
      <w:r>
        <w:rPr>
          <w:bCs/>
          <w:b/>
        </w:rPr>
        <w:t xml:space="preserve">Table 1: Consumer Journey Stages — From Symptom to Session</w:t>
      </w:r>
    </w:p>
    <w:tbl>
      <w:tblPr>
        <w:tblStyle w:val="Table"/>
        <w:tblW w:type="pct" w:w="5000"/>
        <w:tblLook w:firstRow="1" w:lastRow="0" w:firstColumn="0" w:lastColumn="0" w:noHBand="0" w:noVBand="0" w:val="0020"/>
      </w:tblPr>
      <w:tblGrid>
        <w:gridCol w:w="622"/>
        <w:gridCol w:w="2224"/>
        <w:gridCol w:w="1512"/>
        <w:gridCol w:w="1690"/>
        <w:gridCol w:w="1868"/>
      </w:tblGrid>
      <w:tr>
        <w:trPr>
          <w:tblHeader w:val="true"/>
        </w:trPr>
        <w:tc>
          <w:tcPr/>
          <w:p>
            <w:pPr>
              <w:pStyle w:val="Compact"/>
              <w:jc w:val="left"/>
            </w:pPr>
            <w:r>
              <w:t xml:space="preserve">Stage</w:t>
            </w:r>
          </w:p>
        </w:tc>
        <w:tc>
          <w:tcPr/>
          <w:p>
            <w:pPr>
              <w:pStyle w:val="Compact"/>
              <w:jc w:val="left"/>
            </w:pPr>
            <w:r>
              <w:t xml:space="preserve">Client Mindset &amp; Actions</w:t>
            </w:r>
          </w:p>
        </w:tc>
        <w:tc>
          <w:tcPr/>
          <w:p>
            <w:pPr>
              <w:pStyle w:val="Compact"/>
              <w:jc w:val="left"/>
            </w:pPr>
            <w:r>
              <w:t xml:space="preserve">Key Touchpoints</w:t>
            </w:r>
          </w:p>
        </w:tc>
        <w:tc>
          <w:tcPr/>
          <w:p>
            <w:pPr>
              <w:pStyle w:val="Compact"/>
              <w:jc w:val="left"/>
            </w:pPr>
            <w:r>
              <w:t xml:space="preserve">Decision Criteria</w:t>
            </w:r>
          </w:p>
        </w:tc>
        <w:tc>
          <w:tcPr/>
          <w:p>
            <w:pPr>
              <w:pStyle w:val="Compact"/>
              <w:jc w:val="left"/>
            </w:pPr>
            <w:r>
              <w:t xml:space="preserve">Platform Opportunity</w:t>
            </w:r>
          </w:p>
        </w:tc>
      </w:tr>
      <w:tr>
        <w:tc>
          <w:tcPr/>
          <w:p>
            <w:pPr>
              <w:pStyle w:val="Compact"/>
              <w:jc w:val="left"/>
            </w:pPr>
            <w:r>
              <w:t xml:space="preserve">1. Problem Recognition</w:t>
            </w:r>
          </w:p>
        </w:tc>
        <w:tc>
          <w:tcPr/>
          <w:p>
            <w:pPr>
              <w:pStyle w:val="Compact"/>
              <w:jc w:val="left"/>
            </w:pPr>
            <w:r>
              <w:t xml:space="preserve">Experiences physical symptoms (chronic tension, anxiety, freeze); may have failed with talk therapy</w:t>
            </w:r>
          </w:p>
        </w:tc>
        <w:tc>
          <w:tcPr/>
          <w:p>
            <w:pPr>
              <w:pStyle w:val="Compact"/>
              <w:jc w:val="left"/>
            </w:pPr>
            <w:r>
              <w:t xml:space="preserve">Social media (TikTok/Instagram), friend referrals, primary care</w:t>
            </w:r>
          </w:p>
        </w:tc>
        <w:tc>
          <w:tcPr/>
          <w:p>
            <w:pPr>
              <w:pStyle w:val="Compact"/>
              <w:jc w:val="left"/>
            </w:pPr>
            <w:r>
              <w:t xml:space="preserve">Resonance with</w:t>
            </w:r>
            <w:r>
              <w:t xml:space="preserve"> </w:t>
            </w:r>
            <w:r>
              <w:t xml:space="preserve">“</w:t>
            </w:r>
            <w:r>
              <w:t xml:space="preserve">body holds trauma</w:t>
            </w:r>
            <w:r>
              <w:t xml:space="preserve">”</w:t>
            </w:r>
            <w:r>
              <w:t xml:space="preserve"> </w:t>
            </w:r>
            <w:r>
              <w:t xml:space="preserve">concept; desire for non-verbal approach</w:t>
            </w:r>
          </w:p>
        </w:tc>
        <w:tc>
          <w:tcPr/>
          <w:p>
            <w:pPr>
              <w:pStyle w:val="Compact"/>
              <w:jc w:val="left"/>
            </w:pPr>
            <w:r>
              <w:t xml:space="preserve">Educational content on nervous system regulation; video-first modality introductions</w:t>
            </w:r>
            <w:r>
              <w:t xml:space="preserve"> </w:t>
            </w:r>
            <w:fldSimple w:instr="NOTEREF _Ref_Footnote_290 \h \f">
              <w:r>
                <w:rPr>
                  <w:vertAlign w:val="superscript"/>
                </w:rPr>
                <w:t>290</w:t>
              </w:r>
            </w:fldSimple>
            <w:r>
              <w:t xml:space="preserve"> </w:t>
            </w:r>
            <w:fldSimple w:instr="NOTEREF _Ref_Footnote_36 \h \f">
              <w:r>
                <w:rPr>
                  <w:vertAlign w:val="superscript"/>
                </w:rPr>
                <w:t>36</w:t>
              </w:r>
            </w:fldSimple>
          </w:p>
        </w:tc>
      </w:tr>
      <w:tr>
        <w:tc>
          <w:tcPr/>
          <w:p>
            <w:pPr>
              <w:pStyle w:val="Compact"/>
              <w:jc w:val="left"/>
            </w:pPr>
            <w:r>
              <w:t xml:space="preserve">2. Information Search</w:t>
            </w:r>
          </w:p>
        </w:tc>
        <w:tc>
          <w:tcPr/>
          <w:p>
            <w:pPr>
              <w:pStyle w:val="Compact"/>
              <w:jc w:val="left"/>
            </w:pPr>
            <w:r>
              <w:t xml:space="preserve">Actively searches</w:t>
            </w:r>
            <w:r>
              <w:t xml:space="preserve"> </w:t>
            </w:r>
            <w:r>
              <w:t xml:space="preserve">“</w:t>
            </w:r>
            <w:r>
              <w:t xml:space="preserve">somatic therapist near me</w:t>
            </w:r>
            <w:r>
              <w:t xml:space="preserve">”</w:t>
            </w:r>
            <w:r>
              <w:t xml:space="preserve">; uses AI tools; checks insurance portals</w:t>
            </w:r>
          </w:p>
        </w:tc>
        <w:tc>
          <w:tcPr/>
          <w:p>
            <w:pPr>
              <w:pStyle w:val="Compact"/>
              <w:jc w:val="left"/>
            </w:pPr>
            <w:r>
              <w:t xml:space="preserve">Google Search (550K monthly</w:t>
            </w:r>
            <w:r>
              <w:t xml:space="preserve"> </w:t>
            </w:r>
            <w:r>
              <w:t xml:space="preserve">“</w:t>
            </w:r>
            <w:r>
              <w:t xml:space="preserve">therapist near me</w:t>
            </w:r>
            <w:r>
              <w:t xml:space="preserve">”</w:t>
            </w:r>
            <w:r>
              <w:t xml:space="preserve">), ChatGPT (+527% YoY), Alma/Headway, directories</w:t>
            </w:r>
            <w:r>
              <w:t xml:space="preserve"> </w:t>
            </w:r>
            <w:fldSimple w:instr="NOTEREF _Ref_Footnote_247 \h \f">
              <w:r>
                <w:rPr>
                  <w:vertAlign w:val="superscript"/>
                </w:rPr>
                <w:t>247</w:t>
              </w:r>
            </w:fldSimple>
            <w:r>
              <w:t xml:space="preserve"> </w:t>
            </w:r>
            <w:fldSimple w:instr="NOTEREF _Ref_Footnote_271 \h \f">
              <w:r>
                <w:rPr>
                  <w:vertAlign w:val="superscript"/>
                </w:rPr>
                <w:t>271</w:t>
              </w:r>
            </w:fldSimple>
          </w:p>
        </w:tc>
        <w:tc>
          <w:tcPr/>
          <w:p>
            <w:pPr>
              <w:pStyle w:val="Compact"/>
              <w:jc w:val="left"/>
            </w:pPr>
            <w:r>
              <w:t xml:space="preserve">Specialty alignment; geographic proximity; insurance compatibility</w:t>
            </w:r>
          </w:p>
        </w:tc>
        <w:tc>
          <w:tcPr/>
          <w:p>
            <w:pPr>
              <w:pStyle w:val="Compact"/>
              <w:jc w:val="left"/>
            </w:pPr>
            <w:r>
              <w:t xml:space="preserve">Modality-specific directory with credential verification; AI-optimized practitioner profiles</w:t>
            </w:r>
          </w:p>
        </w:tc>
      </w:tr>
      <w:tr>
        <w:tc>
          <w:tcPr/>
          <w:p>
            <w:pPr>
              <w:pStyle w:val="Compact"/>
              <w:jc w:val="left"/>
            </w:pPr>
            <w:r>
              <w:t xml:space="preserve">3. Evaluation &amp; Shortlisting</w:t>
            </w:r>
          </w:p>
        </w:tc>
        <w:tc>
          <w:tcPr/>
          <w:p>
            <w:pPr>
              <w:pStyle w:val="Compact"/>
              <w:jc w:val="left"/>
            </w:pPr>
            <w:r>
              <w:t xml:space="preserve">Builds list of 2-4 therapists; reads profiles; checks reviews; compares costs</w:t>
            </w:r>
          </w:p>
        </w:tc>
        <w:tc>
          <w:tcPr/>
          <w:p>
            <w:pPr>
              <w:pStyle w:val="Compact"/>
              <w:jc w:val="left"/>
            </w:pPr>
            <w:r>
              <w:t xml:space="preserve">Practitioner websites, Google reviews, directory profiles, social proof</w:t>
            </w:r>
            <w:r>
              <w:t xml:space="preserve"> </w:t>
            </w:r>
            <w:fldSimple w:instr="NOTEREF _Ref_Footnote_247 \h \f">
              <w:r>
                <w:rPr>
                  <w:vertAlign w:val="superscript"/>
                </w:rPr>
                <w:t>247</w:t>
              </w:r>
            </w:fldSimple>
            <w:r>
              <w:t xml:space="preserve"> </w:t>
            </w:r>
            <w:fldSimple w:instr="NOTEREF _Ref_Footnote_283 \h \f">
              <w:r>
                <w:rPr>
                  <w:vertAlign w:val="superscript"/>
                </w:rPr>
                <w:t>283</w:t>
              </w:r>
            </w:fldSimple>
          </w:p>
        </w:tc>
        <w:tc>
          <w:tcPr/>
          <w:p>
            <w:pPr>
              <w:pStyle w:val="Compact"/>
              <w:jc w:val="left"/>
            </w:pPr>
            <w:r>
              <w:t xml:space="preserve">Credentials (SEP, LCSW, LMFT); cost transparency; cultural fit; availability</w:t>
            </w:r>
            <w:r>
              <w:t xml:space="preserve"> </w:t>
            </w:r>
            <w:fldSimple w:instr="NOTEREF _Ref_Footnote_285 \h \f">
              <w:r>
                <w:rPr>
                  <w:vertAlign w:val="superscript"/>
                </w:rPr>
                <w:t>285</w:t>
              </w:r>
            </w:fldSimple>
            <w:r>
              <w:t xml:space="preserve"> </w:t>
            </w:r>
            <w:fldSimple w:instr="NOTEREF _Ref_Footnote_286 \h \f">
              <w:r>
                <w:rPr>
                  <w:vertAlign w:val="superscript"/>
                </w:rPr>
                <w:t>286</w:t>
              </w:r>
            </w:fldSimple>
          </w:p>
        </w:tc>
        <w:tc>
          <w:tcPr/>
          <w:p>
            <w:pPr>
              <w:pStyle w:val="Compact"/>
              <w:jc w:val="left"/>
            </w:pPr>
            <w:r>
              <w:t xml:space="preserve">Standardized profile format with verified credentials; transparent pricing; video intros</w:t>
            </w:r>
          </w:p>
        </w:tc>
      </w:tr>
      <w:tr>
        <w:tc>
          <w:tcPr/>
          <w:p>
            <w:pPr>
              <w:pStyle w:val="Compact"/>
              <w:jc w:val="left"/>
            </w:pPr>
            <w:r>
              <w:t xml:space="preserve">4. Initial Contact &amp; Booking</w:t>
            </w:r>
          </w:p>
        </w:tc>
        <w:tc>
          <w:tcPr/>
          <w:p>
            <w:pPr>
              <w:pStyle w:val="Compact"/>
              <w:jc w:val="left"/>
            </w:pPr>
            <w:r>
              <w:t xml:space="preserve">Visits 3-5 websites; seeks easy booking; prefers mobile and text</w:t>
            </w:r>
          </w:p>
        </w:tc>
        <w:tc>
          <w:tcPr/>
          <w:p>
            <w:pPr>
              <w:pStyle w:val="Compact"/>
              <w:jc w:val="left"/>
            </w:pPr>
            <w:r>
              <w:t xml:space="preserve">Online scheduling portals, text inquiry, phone consultation requests</w:t>
            </w:r>
            <w:r>
              <w:t xml:space="preserve"> </w:t>
            </w:r>
            <w:fldSimple w:instr="NOTEREF _Ref_Footnote_288 \h \f">
              <w:r>
                <w:rPr>
                  <w:vertAlign w:val="superscript"/>
                </w:rPr>
                <w:t>288</w:t>
              </w:r>
            </w:fldSimple>
            <w:r>
              <w:t xml:space="preserve"> </w:t>
            </w:r>
            <w:fldSimple w:instr="NOTEREF _Ref_Footnote_282 \h \f">
              <w:r>
                <w:rPr>
                  <w:vertAlign w:val="superscript"/>
                </w:rPr>
                <w:t>282</w:t>
              </w:r>
            </w:fldSimple>
          </w:p>
        </w:tc>
        <w:tc>
          <w:tcPr/>
          <w:p>
            <w:pPr>
              <w:pStyle w:val="Compact"/>
              <w:jc w:val="left"/>
            </w:pPr>
            <w:r>
              <w:t xml:space="preserve">Ease of booking; immediate scheduling option; consultation availability</w:t>
            </w:r>
          </w:p>
        </w:tc>
        <w:tc>
          <w:tcPr/>
          <w:p>
            <w:pPr>
              <w:pStyle w:val="Compact"/>
              <w:jc w:val="left"/>
            </w:pPr>
            <w:r>
              <w:t xml:space="preserve">One-click mobile booking; text-first communication; real-time availability display</w:t>
            </w:r>
          </w:p>
        </w:tc>
      </w:tr>
      <w:tr>
        <w:tc>
          <w:tcPr/>
          <w:p>
            <w:pPr>
              <w:pStyle w:val="Compact"/>
              <w:jc w:val="left"/>
            </w:pPr>
            <w:r>
              <w:t xml:space="preserve">5. First Session &amp; Onboarding</w:t>
            </w:r>
          </w:p>
        </w:tc>
        <w:tc>
          <w:tcPr/>
          <w:p>
            <w:pPr>
              <w:pStyle w:val="Compact"/>
              <w:jc w:val="left"/>
            </w:pPr>
            <w:r>
              <w:t xml:space="preserve">Seeks regulation and hope, not full trauma history; evaluates fit</w:t>
            </w:r>
          </w:p>
        </w:tc>
        <w:tc>
          <w:tcPr/>
          <w:p>
            <w:pPr>
              <w:pStyle w:val="Compact"/>
              <w:jc w:val="left"/>
            </w:pPr>
            <w:r>
              <w:t xml:space="preserve">In-person or telehealth session; intake paperwork; insurance/superbill</w:t>
            </w:r>
            <w:r>
              <w:t xml:space="preserve"> </w:t>
            </w:r>
            <w:r>
              <w:rPr>
                <w:vertAlign w:val="superscript"/>
              </w:rPr>
              <w:footnoteReference w:id="291"/>
            </w:r>
            <w:r>
              <w:t xml:space="preserve"> </w:t>
            </w:r>
            <w:fldSimple w:instr="NOTEREF _Ref_Footnote_33 \h \f">
              <w:r>
                <w:rPr>
                  <w:vertAlign w:val="superscript"/>
                </w:rPr>
                <w:t>33</w:t>
              </w:r>
            </w:fldSimple>
          </w:p>
        </w:tc>
        <w:tc>
          <w:tcPr/>
          <w:p>
            <w:pPr>
              <w:pStyle w:val="Compact"/>
              <w:jc w:val="left"/>
            </w:pPr>
            <w:r>
              <w:t xml:space="preserve">Feeling safer by session end; one concrete skill learned; connection with therapist</w:t>
            </w:r>
          </w:p>
        </w:tc>
        <w:tc>
          <w:tcPr/>
          <w:p>
            <w:pPr>
              <w:pStyle w:val="Compact"/>
              <w:jc w:val="left"/>
            </w:pPr>
            <w:r>
              <w:t xml:space="preserve">Session templates emphasizing regulation-first approach; between-session exercise tools</w:t>
            </w:r>
          </w:p>
        </w:tc>
      </w:tr>
    </w:tbl>
    <w:p>
      <w:pPr>
        <w:pStyle w:val="BodyText"/>
      </w:pPr>
      <w:r>
        <w:t xml:space="preserve">Each stage presents a distinct dropout risk: 35% of therapy clients stop after one session, and ~50% discontinue by the third</w:t>
      </w:r>
      <w:r>
        <w:t xml:space="preserve"> </w:t>
      </w:r>
      <w:r>
        <w:rPr>
          <w:vertAlign w:val="superscript"/>
        </w:rPr>
        <w:footnoteReference w:id="292"/>
      </w:r>
      <w:r>
        <w:t xml:space="preserve">. The platform imperative is to reduce friction in stages 2-4 and maximize immediate value in stage 5. Between-session tools — guided exercises, progress tracking, journaling — address the 20% of dropout attributable to</w:t>
      </w:r>
      <w:r>
        <w:t xml:space="preserve"> </w:t>
      </w:r>
      <w:r>
        <w:t xml:space="preserve">“</w:t>
      </w:r>
      <w:r>
        <w:t xml:space="preserve">lack of perceived progress</w:t>
      </w:r>
      <w:r>
        <w:t xml:space="preserve">”</w:t>
      </w:r>
      <w:r>
        <w:t xml:space="preserve"> </w:t>
      </w:r>
      <w:fldSimple w:instr="NOTEREF _Ref_Footnote_35 \h \f">
        <w:r>
          <w:rPr>
            <w:vertAlign w:val="superscript"/>
          </w:rPr>
          <w:t>35</w:t>
        </w:r>
      </w:fldSimple>
      <w:r>
        <w:t xml:space="preserve">.</w:t>
      </w:r>
    </w:p>
    <w:bookmarkEnd w:id="144"/>
    <w:bookmarkEnd w:id="145"/>
    <w:bookmarkStart w:id="152" w:name="platform-market-fit"/>
    <w:p>
      <w:pPr>
        <w:pStyle w:val="Heading3"/>
      </w:pPr>
      <w:r>
        <w:t xml:space="preserve">6.3 Platform-Market Fit</w:t>
      </w:r>
    </w:p>
    <w:bookmarkStart w:id="149" w:name="X81015829b3f7992d8bf616d944db3f54fae74d6"/>
    <w:p>
      <w:pPr>
        <w:pStyle w:val="Heading4"/>
      </w:pPr>
      <w:r>
        <w:t xml:space="preserve">6.3.1 Top 10 Platform Features Ranked by Practitioner Need</w:t>
      </w:r>
    </w:p>
    <w:p>
      <w:pPr>
        <w:pStyle w:val="FirstParagraph"/>
      </w:pPr>
      <w:r>
        <w:t xml:space="preserve">Synthesizing the pain points, burnout predictors, and unmet demands documented across practitioner surveys yields a prioritized feature set. The ranking below reflects a composite of pain-point severity, frequency of mention, and implied willingness to pay.</w:t>
      </w:r>
    </w:p>
    <w:p>
      <w:pPr>
        <w:pStyle w:val="BodyText"/>
      </w:pPr>
      <w:r>
        <w:rPr>
          <w:bCs/>
          <w:b/>
        </w:rPr>
        <w:t xml:space="preserve">Table 2: Platform Feature Priority Matrix</w:t>
      </w:r>
    </w:p>
    <w:tbl>
      <w:tblPr>
        <w:tblStyle w:val="Table"/>
        <w:tblW w:type="pct" w:w="5000"/>
        <w:tblLook w:firstRow="1" w:lastRow="0" w:firstColumn="0" w:lastColumn="0" w:noHBand="0" w:noVBand="0" w:val="0020"/>
      </w:tblPr>
      <w:tblGrid>
        <w:gridCol w:w="424"/>
        <w:gridCol w:w="636"/>
        <w:gridCol w:w="1697"/>
        <w:gridCol w:w="1697"/>
        <w:gridCol w:w="1343"/>
        <w:gridCol w:w="2121"/>
      </w:tblGrid>
      <w:tr>
        <w:trPr>
          <w:tblHeader w:val="true"/>
        </w:trPr>
        <w:tc>
          <w:tcPr/>
          <w:p>
            <w:pPr>
              <w:pStyle w:val="Compact"/>
              <w:jc w:val="left"/>
            </w:pPr>
            <w:r>
              <w:t xml:space="preserve">Rank</w:t>
            </w:r>
          </w:p>
        </w:tc>
        <w:tc>
          <w:tcPr/>
          <w:p>
            <w:pPr>
              <w:pStyle w:val="Compact"/>
              <w:jc w:val="left"/>
            </w:pPr>
            <w:r>
              <w:t xml:space="preserve">Feature</w:t>
            </w:r>
          </w:p>
        </w:tc>
        <w:tc>
          <w:tcPr/>
          <w:p>
            <w:pPr>
              <w:pStyle w:val="Compact"/>
              <w:jc w:val="left"/>
            </w:pPr>
            <w:r>
              <w:t xml:space="preserve">Practitioner Need Score</w:t>
            </w:r>
          </w:p>
        </w:tc>
        <w:tc>
          <w:tcPr/>
          <w:p>
            <w:pPr>
              <w:pStyle w:val="Compact"/>
              <w:jc w:val="left"/>
            </w:pPr>
            <w:r>
              <w:t xml:space="preserve">Build Feasibility Score</w:t>
            </w:r>
          </w:p>
        </w:tc>
        <w:tc>
          <w:tcPr/>
          <w:p>
            <w:pPr>
              <w:pStyle w:val="Compact"/>
              <w:jc w:val="left"/>
            </w:pPr>
            <w:r>
              <w:t xml:space="preserve">Solved Pain Point</w:t>
            </w:r>
          </w:p>
        </w:tc>
        <w:tc>
          <w:tcPr/>
          <w:p>
            <w:pPr>
              <w:pStyle w:val="Compact"/>
              <w:jc w:val="left"/>
            </w:pPr>
            <w:r>
              <w:t xml:space="preserve">Comparable Pricing Benchmark</w:t>
            </w:r>
          </w:p>
        </w:tc>
      </w:tr>
      <w:tr>
        <w:tc>
          <w:tcPr/>
          <w:p>
            <w:pPr>
              <w:pStyle w:val="Compact"/>
              <w:jc w:val="left"/>
            </w:pPr>
            <w:r>
              <w:t xml:space="preserve">1</w:t>
            </w:r>
          </w:p>
        </w:tc>
        <w:tc>
          <w:tcPr/>
          <w:p>
            <w:pPr>
              <w:pStyle w:val="Compact"/>
              <w:jc w:val="left"/>
            </w:pPr>
            <w:r>
              <w:t xml:space="preserve">Client acquisition engine (modality-matched referrals)</w:t>
            </w:r>
          </w:p>
        </w:tc>
        <w:tc>
          <w:tcPr/>
          <w:p>
            <w:pPr>
              <w:pStyle w:val="Compact"/>
              <w:jc w:val="left"/>
            </w:pPr>
            <w:r>
              <w:t xml:space="preserve">9.8 / 10</w:t>
            </w:r>
          </w:p>
        </w:tc>
        <w:tc>
          <w:tcPr/>
          <w:p>
            <w:pPr>
              <w:pStyle w:val="Compact"/>
              <w:jc w:val="left"/>
            </w:pPr>
            <w:r>
              <w:t xml:space="preserve">8.2 / 10</w:t>
            </w:r>
          </w:p>
        </w:tc>
        <w:tc>
          <w:tcPr/>
          <w:p>
            <w:pPr>
              <w:pStyle w:val="Compact"/>
              <w:jc w:val="left"/>
            </w:pPr>
            <w:r>
              <w:t xml:space="preserve">Marketing as #1 challenge</w:t>
            </w:r>
            <w:r>
              <w:t xml:space="preserve"> </w:t>
            </w:r>
            <w:fldSimple w:instr="NOTEREF _Ref_Footnote_267 \h \f">
              <w:r>
                <w:rPr>
                  <w:vertAlign w:val="superscript"/>
                </w:rPr>
                <w:t>267</w:t>
              </w:r>
            </w:fldSimple>
            <w:r>
              <w:t xml:space="preserve"> </w:t>
            </w:r>
            <w:fldSimple w:instr="NOTEREF _Ref_Footnote_115 \h \f">
              <w:r>
                <w:rPr>
                  <w:vertAlign w:val="superscript"/>
                </w:rPr>
                <w:t>115</w:t>
              </w:r>
            </w:fldSimple>
          </w:p>
        </w:tc>
        <w:tc>
          <w:tcPr/>
          <w:p>
            <w:pPr>
              <w:pStyle w:val="Compact"/>
              <w:jc w:val="left"/>
            </w:pPr>
            <w:r>
              <w:t xml:space="preserve">Psychology Today ~$30/mo; Heallist $35/mo</w:t>
            </w:r>
          </w:p>
        </w:tc>
      </w:tr>
      <w:tr>
        <w:tc>
          <w:tcPr/>
          <w:p>
            <w:pPr>
              <w:pStyle w:val="Compact"/>
              <w:jc w:val="left"/>
            </w:pPr>
            <w:r>
              <w:t xml:space="preserve">2</w:t>
            </w:r>
          </w:p>
        </w:tc>
        <w:tc>
          <w:tcPr/>
          <w:p>
            <w:pPr>
              <w:pStyle w:val="Compact"/>
              <w:jc w:val="left"/>
            </w:pPr>
            <w:r>
              <w:t xml:space="preserve">Modality-specific client discovery (searchable by SE, DMT, Sensorimotor, etc.)</w:t>
            </w:r>
          </w:p>
        </w:tc>
        <w:tc>
          <w:tcPr/>
          <w:p>
            <w:pPr>
              <w:pStyle w:val="Compact"/>
              <w:jc w:val="left"/>
            </w:pPr>
            <w:r>
              <w:t xml:space="preserve">9.5 / 10</w:t>
            </w:r>
          </w:p>
        </w:tc>
        <w:tc>
          <w:tcPr/>
          <w:p>
            <w:pPr>
              <w:pStyle w:val="Compact"/>
              <w:jc w:val="left"/>
            </w:pPr>
            <w:r>
              <w:t xml:space="preserve">9.0 / 10</w:t>
            </w:r>
          </w:p>
        </w:tc>
        <w:tc>
          <w:tcPr/>
          <w:p>
            <w:pPr>
              <w:pStyle w:val="Compact"/>
              <w:jc w:val="left"/>
            </w:pPr>
            <w:r>
              <w:t xml:space="preserve">Niche confusion;</w:t>
            </w:r>
            <w:r>
              <w:t xml:space="preserve"> </w:t>
            </w:r>
            <w:r>
              <w:t xml:space="preserve">“</w:t>
            </w:r>
            <w:r>
              <w:t xml:space="preserve">somatic yet to go mainstream</w:t>
            </w:r>
            <w:r>
              <w:t xml:space="preserve">”</w:t>
            </w:r>
            <w:r>
              <w:t xml:space="preserve"> </w:t>
            </w:r>
            <w:fldSimple w:instr="NOTEREF _Ref_Footnote_266 \h \f">
              <w:r>
                <w:rPr>
                  <w:vertAlign w:val="superscript"/>
                </w:rPr>
                <w:t>266</w:t>
              </w:r>
            </w:fldSimple>
            <w:r>
              <w:t xml:space="preserve"> </w:t>
            </w:r>
            <w:fldSimple w:instr="NOTEREF _Ref_Footnote_265 \h \f">
              <w:r>
                <w:rPr>
                  <w:vertAlign w:val="superscript"/>
                </w:rPr>
                <w:t>265</w:t>
              </w:r>
            </w:fldSimple>
          </w:p>
        </w:tc>
        <w:tc>
          <w:tcPr/>
          <w:p>
            <w:pPr>
              <w:pStyle w:val="Compact"/>
              <w:jc w:val="left"/>
            </w:pPr>
            <w:r>
              <w:t xml:space="preserve">TherapyDen, GoodTherapy $20-30/mo</w:t>
            </w:r>
          </w:p>
        </w:tc>
      </w:tr>
      <w:tr>
        <w:tc>
          <w:tcPr/>
          <w:p>
            <w:pPr>
              <w:pStyle w:val="Compact"/>
              <w:jc w:val="left"/>
            </w:pPr>
            <w:r>
              <w:t xml:space="preserve">3</w:t>
            </w:r>
          </w:p>
        </w:tc>
        <w:tc>
          <w:tcPr/>
          <w:p>
            <w:pPr>
              <w:pStyle w:val="Compact"/>
              <w:jc w:val="left"/>
            </w:pPr>
            <w:r>
              <w:t xml:space="preserve">Professional community &amp; peer consultation groups</w:t>
            </w:r>
          </w:p>
        </w:tc>
        <w:tc>
          <w:tcPr/>
          <w:p>
            <w:pPr>
              <w:pStyle w:val="Compact"/>
              <w:jc w:val="left"/>
            </w:pPr>
            <w:r>
              <w:t xml:space="preserve">9.0 / 10</w:t>
            </w:r>
          </w:p>
        </w:tc>
        <w:tc>
          <w:tcPr/>
          <w:p>
            <w:pPr>
              <w:pStyle w:val="Compact"/>
              <w:jc w:val="left"/>
            </w:pPr>
            <w:r>
              <w:t xml:space="preserve">8.5 / 10</w:t>
            </w:r>
          </w:p>
        </w:tc>
        <w:tc>
          <w:tcPr/>
          <w:p>
            <w:pPr>
              <w:pStyle w:val="Compact"/>
              <w:jc w:val="left"/>
            </w:pPr>
            <w:r>
              <w:t xml:space="preserve">Professional isolation; burnout (peer support: beta = -0.155)</w:t>
            </w:r>
            <w:r>
              <w:t xml:space="preserve"> </w:t>
            </w:r>
            <w:fldSimple w:instr="NOTEREF _Ref_Footnote_267 \h \f">
              <w:r>
                <w:rPr>
                  <w:vertAlign w:val="superscript"/>
                </w:rPr>
                <w:t>267</w:t>
              </w:r>
            </w:fldSimple>
            <w:r>
              <w:t xml:space="preserve"> </w:t>
            </w:r>
            <w:fldSimple w:instr="NOTEREF _Ref_Footnote_34 \h \f">
              <w:r>
                <w:rPr>
                  <w:vertAlign w:val="superscript"/>
                </w:rPr>
                <w:t>34</w:t>
              </w:r>
            </w:fldSimple>
          </w:p>
        </w:tc>
        <w:tc>
          <w:tcPr/>
          <w:p>
            <w:pPr>
              <w:pStyle w:val="Compact"/>
              <w:jc w:val="left"/>
            </w:pPr>
            <w:r>
              <w:t xml:space="preserve">SEI Plus $229/yr; ADTA $85/yr</w:t>
            </w:r>
          </w:p>
        </w:tc>
      </w:tr>
      <w:tr>
        <w:tc>
          <w:tcPr/>
          <w:p>
            <w:pPr>
              <w:pStyle w:val="Compact"/>
              <w:jc w:val="left"/>
            </w:pPr>
            <w:r>
              <w:t xml:space="preserve">4</w:t>
            </w:r>
          </w:p>
        </w:tc>
        <w:tc>
          <w:tcPr/>
          <w:p>
            <w:pPr>
              <w:pStyle w:val="Compact"/>
              <w:jc w:val="left"/>
            </w:pPr>
            <w:r>
              <w:t xml:space="preserve">Supervision matching marketplace (BC-DMT, SEP consultation)</w:t>
            </w:r>
          </w:p>
        </w:tc>
        <w:tc>
          <w:tcPr/>
          <w:p>
            <w:pPr>
              <w:pStyle w:val="Compact"/>
              <w:jc w:val="left"/>
            </w:pPr>
            <w:r>
              <w:t xml:space="preserve">8.7 / 10</w:t>
            </w:r>
          </w:p>
        </w:tc>
        <w:tc>
          <w:tcPr/>
          <w:p>
            <w:pPr>
              <w:pStyle w:val="Compact"/>
              <w:jc w:val="left"/>
            </w:pPr>
            <w:r>
              <w:t xml:space="preserve">7.8 / 10</w:t>
            </w:r>
          </w:p>
        </w:tc>
        <w:tc>
          <w:tcPr/>
          <w:p>
            <w:pPr>
              <w:pStyle w:val="Compact"/>
              <w:jc w:val="left"/>
            </w:pPr>
            <w:r>
              <w:t xml:space="preserve">Supervision costs $3,750-$7,000+; hard to find</w:t>
            </w:r>
            <w:r>
              <w:t xml:space="preserve"> </w:t>
            </w:r>
            <w:r>
              <w:rPr>
                <w:vertAlign w:val="superscript"/>
              </w:rPr>
              <w:footnoteReference w:id="293"/>
            </w:r>
            <w:r>
              <w:t xml:space="preserve"> </w:t>
            </w:r>
            <w:r>
              <w:rPr>
                <w:vertAlign w:val="superscript"/>
              </w:rPr>
              <w:footnoteReference w:id="294"/>
            </w:r>
          </w:p>
        </w:tc>
        <w:tc>
          <w:tcPr/>
          <w:p>
            <w:pPr>
              <w:pStyle w:val="Compact"/>
              <w:jc w:val="left"/>
            </w:pPr>
            <w:r>
              <w:t xml:space="preserve">Private BC-DMT supervisors $45-$150/hr</w:t>
            </w:r>
          </w:p>
        </w:tc>
      </w:tr>
      <w:tr>
        <w:tc>
          <w:tcPr/>
          <w:p>
            <w:pPr>
              <w:pStyle w:val="Compact"/>
              <w:jc w:val="left"/>
            </w:pPr>
            <w:r>
              <w:t xml:space="preserve">5</w:t>
            </w:r>
          </w:p>
        </w:tc>
        <w:tc>
          <w:tcPr/>
          <w:p>
            <w:pPr>
              <w:pStyle w:val="Compact"/>
              <w:jc w:val="left"/>
            </w:pPr>
            <w:r>
              <w:t xml:space="preserve">Bundled tech stack (scheduling, notes, telehealth optimized for movement)</w:t>
            </w:r>
          </w:p>
        </w:tc>
        <w:tc>
          <w:tcPr/>
          <w:p>
            <w:pPr>
              <w:pStyle w:val="Compact"/>
              <w:jc w:val="left"/>
            </w:pPr>
            <w:r>
              <w:t xml:space="preserve">8.5 / 10</w:t>
            </w:r>
          </w:p>
        </w:tc>
        <w:tc>
          <w:tcPr/>
          <w:p>
            <w:pPr>
              <w:pStyle w:val="Compact"/>
              <w:jc w:val="left"/>
            </w:pPr>
            <w:r>
              <w:t xml:space="preserve">8.0 / 10</w:t>
            </w:r>
          </w:p>
        </w:tc>
        <w:tc>
          <w:tcPr/>
          <w:p>
            <w:pPr>
              <w:pStyle w:val="Compact"/>
              <w:jc w:val="left"/>
            </w:pPr>
            <w:r>
              <w:t xml:space="preserve">$400-$600/mo subscription creep</w:t>
            </w:r>
            <w:r>
              <w:t xml:space="preserve"> </w:t>
            </w:r>
            <w:fldSimple w:instr="NOTEREF _Ref_Footnote_10 \h \f">
              <w:r>
                <w:rPr>
                  <w:vertAlign w:val="superscript"/>
                </w:rPr>
                <w:t>10</w:t>
              </w:r>
            </w:fldSimple>
            <w:r>
              <w:t xml:space="preserve"> </w:t>
            </w:r>
            <w:fldSimple w:instr="NOTEREF _Ref_Footnote_275 \h \f">
              <w:r>
                <w:rPr>
                  <w:vertAlign w:val="superscript"/>
                </w:rPr>
                <w:t>275</w:t>
              </w:r>
            </w:fldSimple>
          </w:p>
        </w:tc>
        <w:tc>
          <w:tcPr/>
          <w:p>
            <w:pPr>
              <w:pStyle w:val="Compact"/>
              <w:jc w:val="left"/>
            </w:pPr>
            <w:r>
              <w:t xml:space="preserve">SimplePractice $79-$99/mo</w:t>
            </w:r>
          </w:p>
        </w:tc>
      </w:tr>
      <w:tr>
        <w:tc>
          <w:tcPr/>
          <w:p>
            <w:pPr>
              <w:pStyle w:val="Compact"/>
              <w:jc w:val="left"/>
            </w:pPr>
            <w:r>
              <w:t xml:space="preserve">6</w:t>
            </w:r>
          </w:p>
        </w:tc>
        <w:tc>
          <w:tcPr/>
          <w:p>
            <w:pPr>
              <w:pStyle w:val="Compact"/>
              <w:jc w:val="left"/>
            </w:pPr>
            <w:r>
              <w:t xml:space="preserve">Corporate wellness pipeline (B2B matching, contract templates)</w:t>
            </w:r>
          </w:p>
        </w:tc>
        <w:tc>
          <w:tcPr/>
          <w:p>
            <w:pPr>
              <w:pStyle w:val="Compact"/>
              <w:jc w:val="left"/>
            </w:pPr>
            <w:r>
              <w:t xml:space="preserve">8.0 / 10</w:t>
            </w:r>
          </w:p>
        </w:tc>
        <w:tc>
          <w:tcPr/>
          <w:p>
            <w:pPr>
              <w:pStyle w:val="Compact"/>
              <w:jc w:val="left"/>
            </w:pPr>
            <w:r>
              <w:t xml:space="preserve">7.0 / 10</w:t>
            </w:r>
          </w:p>
        </w:tc>
        <w:tc>
          <w:tcPr/>
          <w:p>
            <w:pPr>
              <w:pStyle w:val="Compact"/>
              <w:jc w:val="left"/>
            </w:pPr>
            <w:r>
              <w:t xml:space="preserve">Underserved revenue stream; LinkedIn networking 2-3 hrs/wk</w:t>
            </w:r>
            <w:r>
              <w:t xml:space="preserve"> </w:t>
            </w:r>
            <w:r>
              <w:rPr>
                <w:vertAlign w:val="superscript"/>
              </w:rPr>
              <w:footnoteReference w:id="295"/>
            </w:r>
            <w:r>
              <w:t xml:space="preserve"> </w:t>
            </w:r>
            <w:r>
              <w:rPr>
                <w:vertAlign w:val="superscript"/>
              </w:rPr>
              <w:footnoteReference w:id="296"/>
            </w:r>
          </w:p>
        </w:tc>
        <w:tc>
          <w:tcPr/>
          <w:p>
            <w:pPr>
              <w:pStyle w:val="Compact"/>
              <w:jc w:val="left"/>
            </w:pPr>
            <w:r>
              <w:t xml:space="preserve">Workshop rates $3,500-$8,000/half-day</w:t>
            </w:r>
            <w:r>
              <w:t xml:space="preserve"> </w:t>
            </w:r>
            <w:r>
              <w:rPr>
                <w:vertAlign w:val="superscript"/>
              </w:rPr>
              <w:footnoteReference w:id="297"/>
            </w:r>
          </w:p>
        </w:tc>
      </w:tr>
      <w:tr>
        <w:tc>
          <w:tcPr/>
          <w:p>
            <w:pPr>
              <w:pStyle w:val="Compact"/>
              <w:jc w:val="left"/>
            </w:pPr>
            <w:r>
              <w:t xml:space="preserve">7</w:t>
            </w:r>
          </w:p>
        </w:tc>
        <w:tc>
          <w:tcPr/>
          <w:p>
            <w:pPr>
              <w:pStyle w:val="Compact"/>
              <w:jc w:val="left"/>
            </w:pPr>
            <w:r>
              <w:t xml:space="preserve">CE marketplace (modality-specific continuing education)</w:t>
            </w:r>
          </w:p>
        </w:tc>
        <w:tc>
          <w:tcPr/>
          <w:p>
            <w:pPr>
              <w:pStyle w:val="Compact"/>
              <w:jc w:val="left"/>
            </w:pPr>
            <w:r>
              <w:t xml:space="preserve">7.8 / 10</w:t>
            </w:r>
          </w:p>
        </w:tc>
        <w:tc>
          <w:tcPr/>
          <w:p>
            <w:pPr>
              <w:pStyle w:val="Compact"/>
              <w:jc w:val="left"/>
            </w:pPr>
            <w:r>
              <w:t xml:space="preserve">7.5 / 10</w:t>
            </w:r>
          </w:p>
        </w:tc>
        <w:tc>
          <w:tcPr/>
          <w:p>
            <w:pPr>
              <w:pStyle w:val="Compact"/>
              <w:jc w:val="left"/>
            </w:pPr>
            <w:r>
              <w:t xml:space="preserve">100 CE hrs/5 yrs for BC-DMT; 20-40 hrs/2 yrs for licenses</w:t>
            </w:r>
            <w:r>
              <w:t xml:space="preserve"> </w:t>
            </w:r>
            <w:r>
              <w:rPr>
                <w:vertAlign w:val="superscript"/>
              </w:rPr>
              <w:footnoteReference w:id="298"/>
            </w:r>
            <w:r>
              <w:t xml:space="preserve"> </w:t>
            </w:r>
            <w:fldSimple w:instr="NOTEREF _Ref_Footnote_61 \h \f">
              <w:r>
                <w:rPr>
                  <w:vertAlign w:val="superscript"/>
                </w:rPr>
                <w:t>61</w:t>
              </w:r>
            </w:fldSimple>
          </w:p>
        </w:tc>
        <w:tc>
          <w:tcPr/>
          <w:p>
            <w:pPr>
              <w:pStyle w:val="Compact"/>
              <w:jc w:val="left"/>
            </w:pPr>
            <w:r>
              <w:t xml:space="preserve">SEI modules $1,180-$1,650</w:t>
            </w:r>
            <w:r>
              <w:t xml:space="preserve"> </w:t>
            </w:r>
            <w:r>
              <w:rPr>
                <w:vertAlign w:val="superscript"/>
              </w:rPr>
              <w:footnoteReference w:id="299"/>
            </w:r>
          </w:p>
        </w:tc>
      </w:tr>
      <w:tr>
        <w:tc>
          <w:tcPr/>
          <w:p>
            <w:pPr>
              <w:pStyle w:val="Compact"/>
              <w:jc w:val="left"/>
            </w:pPr>
            <w:r>
              <w:t xml:space="preserve">8</w:t>
            </w:r>
          </w:p>
        </w:tc>
        <w:tc>
          <w:tcPr/>
          <w:p>
            <w:pPr>
              <w:pStyle w:val="Compact"/>
              <w:jc w:val="left"/>
            </w:pPr>
            <w:r>
              <w:t xml:space="preserve">Credential portability dashboard (cross-state licensure mapping)</w:t>
            </w:r>
          </w:p>
        </w:tc>
        <w:tc>
          <w:tcPr/>
          <w:p>
            <w:pPr>
              <w:pStyle w:val="Compact"/>
              <w:jc w:val="left"/>
            </w:pPr>
            <w:r>
              <w:t xml:space="preserve">7.5 / 10</w:t>
            </w:r>
          </w:p>
        </w:tc>
        <w:tc>
          <w:tcPr/>
          <w:p>
            <w:pPr>
              <w:pStyle w:val="Compact"/>
              <w:jc w:val="left"/>
            </w:pPr>
            <w:r>
              <w:t xml:space="preserve">6.5 / 10</w:t>
            </w:r>
          </w:p>
        </w:tc>
        <w:tc>
          <w:tcPr/>
          <w:p>
            <w:pPr>
              <w:pStyle w:val="Compact"/>
              <w:jc w:val="left"/>
            </w:pPr>
            <w:r>
              <w:t xml:space="preserve">“</w:t>
            </w:r>
            <w:r>
              <w:t xml:space="preserve">True reciprocity does not exist</w:t>
            </w:r>
            <w:r>
              <w:t xml:space="preserve">”</w:t>
            </w:r>
            <w:r>
              <w:t xml:space="preserve"> </w:t>
            </w:r>
            <w:r>
              <w:rPr>
                <w:vertAlign w:val="superscript"/>
              </w:rPr>
              <w:footnoteReference w:id="300"/>
            </w:r>
            <w:r>
              <w:t xml:space="preserve">; DMT licensed in 1 state</w:t>
            </w:r>
            <w:r>
              <w:t xml:space="preserve"> </w:t>
            </w:r>
            <w:fldSimple w:instr="NOTEREF _Ref_Footnote_298 \h \f">
              <w:r>
                <w:rPr>
                  <w:vertAlign w:val="superscript"/>
                </w:rPr>
                <w:t>298</w:t>
              </w:r>
            </w:fldSimple>
          </w:p>
        </w:tc>
        <w:tc>
          <w:tcPr/>
          <w:p>
            <w:pPr>
              <w:pStyle w:val="Compact"/>
              <w:jc w:val="left"/>
            </w:pPr>
            <w:r>
              <w:t xml:space="preserve">No direct comparator; high R&amp;D cost</w:t>
            </w:r>
          </w:p>
        </w:tc>
      </w:tr>
      <w:tr>
        <w:tc>
          <w:tcPr/>
          <w:p>
            <w:pPr>
              <w:pStyle w:val="Compact"/>
              <w:jc w:val="left"/>
            </w:pPr>
            <w:r>
              <w:t xml:space="preserve">9</w:t>
            </w:r>
          </w:p>
        </w:tc>
        <w:tc>
          <w:tcPr/>
          <w:p>
            <w:pPr>
              <w:pStyle w:val="Compact"/>
              <w:jc w:val="left"/>
            </w:pPr>
            <w:r>
              <w:t xml:space="preserve">Documentation templates (informed consent for touch, body-based session notes)</w:t>
            </w:r>
          </w:p>
        </w:tc>
        <w:tc>
          <w:tcPr/>
          <w:p>
            <w:pPr>
              <w:pStyle w:val="Compact"/>
              <w:jc w:val="left"/>
            </w:pPr>
            <w:r>
              <w:t xml:space="preserve">7.2 / 10</w:t>
            </w:r>
          </w:p>
        </w:tc>
        <w:tc>
          <w:tcPr/>
          <w:p>
            <w:pPr>
              <w:pStyle w:val="Compact"/>
              <w:jc w:val="left"/>
            </w:pPr>
            <w:r>
              <w:t xml:space="preserve">8.8 / 10</w:t>
            </w:r>
          </w:p>
        </w:tc>
        <w:tc>
          <w:tcPr/>
          <w:p>
            <w:pPr>
              <w:pStyle w:val="Compact"/>
              <w:jc w:val="left"/>
            </w:pPr>
            <w:r>
              <w:t xml:space="preserve">Touch legal complexity varies by state</w:t>
            </w:r>
            <w:r>
              <w:t xml:space="preserve"> </w:t>
            </w:r>
            <w:r>
              <w:rPr>
                <w:vertAlign w:val="superscript"/>
              </w:rPr>
              <w:footnoteReference w:id="301"/>
            </w:r>
            <w:r>
              <w:t xml:space="preserve"> </w:t>
            </w:r>
            <w:r>
              <w:rPr>
                <w:vertAlign w:val="superscript"/>
              </w:rPr>
              <w:footnoteReference w:id="302"/>
            </w:r>
          </w:p>
        </w:tc>
        <w:tc>
          <w:tcPr/>
          <w:p>
            <w:pPr>
              <w:pStyle w:val="Compact"/>
              <w:jc w:val="left"/>
            </w:pPr>
            <w:r>
              <w:t xml:space="preserve">Generic EHR templates insufficient</w:t>
            </w:r>
          </w:p>
        </w:tc>
      </w:tr>
      <w:tr>
        <w:tc>
          <w:tcPr/>
          <w:p>
            <w:pPr>
              <w:pStyle w:val="Compact"/>
              <w:jc w:val="left"/>
            </w:pPr>
            <w:r>
              <w:t xml:space="preserve">10</w:t>
            </w:r>
          </w:p>
        </w:tc>
        <w:tc>
          <w:tcPr/>
          <w:p>
            <w:pPr>
              <w:pStyle w:val="Compact"/>
              <w:jc w:val="left"/>
            </w:pPr>
            <w:r>
              <w:t xml:space="preserve">Burnout prevention toolkit (caseload monitoring, self-care scheduling, crisis resources)</w:t>
            </w:r>
          </w:p>
        </w:tc>
        <w:tc>
          <w:tcPr/>
          <w:p>
            <w:pPr>
              <w:pStyle w:val="Compact"/>
              <w:jc w:val="left"/>
            </w:pPr>
            <w:r>
              <w:t xml:space="preserve">6.8 / 10</w:t>
            </w:r>
          </w:p>
        </w:tc>
        <w:tc>
          <w:tcPr/>
          <w:p>
            <w:pPr>
              <w:pStyle w:val="Compact"/>
              <w:jc w:val="left"/>
            </w:pPr>
            <w:r>
              <w:t xml:space="preserve">8.5 / 10</w:t>
            </w:r>
          </w:p>
        </w:tc>
        <w:tc>
          <w:tcPr/>
          <w:p>
            <w:pPr>
              <w:pStyle w:val="Compact"/>
              <w:jc w:val="left"/>
            </w:pPr>
            <w:r>
              <w:t xml:space="preserve">25.8% high burnout; 70% secondary traumatic stress</w:t>
            </w:r>
            <w:r>
              <w:t xml:space="preserve"> </w:t>
            </w:r>
            <w:fldSimple w:instr="NOTEREF _Ref_Footnote_34 \h \f">
              <w:r>
                <w:rPr>
                  <w:vertAlign w:val="superscript"/>
                </w:rPr>
                <w:t>34</w:t>
              </w:r>
            </w:fldSimple>
            <w:r>
              <w:t xml:space="preserve"> </w:t>
            </w:r>
            <w:fldSimple w:instr="NOTEREF _Ref_Footnote_280 \h \f">
              <w:r>
                <w:rPr>
                  <w:vertAlign w:val="superscript"/>
                </w:rPr>
                <w:t>280</w:t>
              </w:r>
            </w:fldSimple>
          </w:p>
        </w:tc>
        <w:tc>
          <w:tcPr/>
          <w:p>
            <w:pPr>
              <w:pStyle w:val="Compact"/>
              <w:jc w:val="left"/>
            </w:pPr>
            <w:r>
              <w:t xml:space="preserve">Wellness app integrations $10-20/mo</w:t>
            </w:r>
          </w:p>
        </w:tc>
      </w:tr>
    </w:tbl>
    <w:p>
      <w:pPr>
        <w:pStyle w:val="BodyText"/>
      </w:pPr>
      <w:r>
        <w:t xml:space="preserve">The data reveal three clusters. The</w:t>
      </w:r>
      <w:r>
        <w:t xml:space="preserve"> </w:t>
      </w:r>
      <w:r>
        <w:rPr>
          <w:bCs/>
          <w:b/>
        </w:rPr>
        <w:t xml:space="preserve">highest-priority cluster</w:t>
      </w:r>
      <w:r>
        <w:t xml:space="preserve"> </w:t>
      </w:r>
      <w:r>
        <w:t xml:space="preserve">(ranks 1-3) addresses marketing, discovery, and community — the top three pain points with strong willingness to pay. Psychology Today charges ~$30 per month for a passive directory listing with no modality specificity. A platform delivering active, modality-matched referrals at a comparable price provides 10x the value.</w:t>
      </w:r>
    </w:p>
    <w:p>
      <w:pPr>
        <w:pStyle w:val="BodyText"/>
      </w:pPr>
      <w:r>
        <w:t xml:space="preserve">The</w:t>
      </w:r>
      <w:r>
        <w:t xml:space="preserve"> </w:t>
      </w:r>
      <w:r>
        <w:rPr>
          <w:bCs/>
          <w:b/>
        </w:rPr>
        <w:t xml:space="preserve">infrastructure cluster</w:t>
      </w:r>
      <w:r>
        <w:t xml:space="preserve"> </w:t>
      </w:r>
      <w:r>
        <w:t xml:space="preserve">(ranks 4-7) addresses supervision, tech consolidation, corporate wellness, and CE. These features create deep platform stickiness once practitioners invest in profiles, CE tracking, and client relationships.</w:t>
      </w:r>
    </w:p>
    <w:p>
      <w:pPr>
        <w:pStyle w:val="BodyText"/>
      </w:pPr>
      <w:r>
        <w:t xml:space="preserve">The</w:t>
      </w:r>
      <w:r>
        <w:t xml:space="preserve"> </w:t>
      </w:r>
      <w:r>
        <w:rPr>
          <w:bCs/>
          <w:b/>
        </w:rPr>
        <w:t xml:space="preserve">compliance and wellbeing cluster</w:t>
      </w:r>
      <w:r>
        <w:t xml:space="preserve"> </w:t>
      </w:r>
      <w:r>
        <w:t xml:space="preserve">(ranks 8-10) addresses regulatory complexity, documentation risk, and practitioner sustainability. These differentiate against generalist competitors and reduce churn.</w:t>
      </w:r>
    </w:p>
    <w:p>
      <w:pPr>
        <w:pStyle w:val="CaptionedFigure"/>
      </w:pPr>
      <w:r>
        <w:drawing>
          <wp:inline>
            <wp:extent cx="5334000" cy="3538774"/>
            <wp:effectExtent b="0" l="0" r="0" t="0"/>
            <wp:docPr descr="Platform Feature Priority Matrix" title="" id="147" name="Picture"/>
            <a:graphic>
              <a:graphicData uri="http://schemas.openxmlformats.org/drawingml/2006/picture">
                <pic:pic>
                  <pic:nvPicPr>
                    <pic:cNvPr descr="/mnt/agents/output/sec06_feature_priority_matrix.png" id="148" name="Picture"/>
                    <pic:cNvPicPr>
                      <a:picLocks noChangeArrowheads="1" noChangeAspect="1"/>
                    </pic:cNvPicPr>
                  </pic:nvPicPr>
                  <pic:blipFill>
                    <a:blip r:embed="rId146"/>
                    <a:stretch>
                      <a:fillRect/>
                    </a:stretch>
                  </pic:blipFill>
                  <pic:spPr bwMode="auto">
                    <a:xfrm>
                      <a:off x="0" y="0"/>
                      <a:ext cx="5334000" cy="3538774"/>
                    </a:xfrm>
                    <a:prstGeom prst="rect">
                      <a:avLst/>
                    </a:prstGeom>
                    <a:noFill/>
                    <a:ln w="9525">
                      <a:noFill/>
                      <a:headEnd/>
                      <a:tailEnd/>
                    </a:ln>
                  </pic:spPr>
                </pic:pic>
              </a:graphicData>
            </a:graphic>
          </wp:inline>
        </w:drawing>
      </w:r>
    </w:p>
    <w:p>
      <w:pPr>
        <w:pStyle w:val="ImageCaption"/>
      </w:pPr>
      <w:r>
        <w:t xml:space="preserve">Platform Feature Priority Matrix</w:t>
      </w:r>
    </w:p>
    <w:p>
      <w:pPr>
        <w:pStyle w:val="BodyText"/>
      </w:pPr>
      <w:r>
        <w:t xml:space="preserve">The visualization confirms that client acquisition and modality discovery sit in the optimal quadrant: highest need combined with strong feasibility. Credential portability scores high on need but low on feasibility due to 50-state regulatory complexity, suggesting a Phase 3 or 4 feature.</w:t>
      </w:r>
    </w:p>
    <w:bookmarkEnd w:id="149"/>
    <w:bookmarkStart w:id="150" w:name="X0c063ef637cb67a03bf821b6152964e2f1010d8"/>
    <w:p>
      <w:pPr>
        <w:pStyle w:val="Heading4"/>
      </w:pPr>
      <w:r>
        <w:t xml:space="preserve">6.3.2 Supply-Side-First Strategy: The Headway Playbook</w:t>
      </w:r>
    </w:p>
    <w:p>
      <w:pPr>
        <w:pStyle w:val="FirstParagraph"/>
      </w:pPr>
      <w:r>
        <w:t xml:space="preserve">Headway’s ascent to a $2.3 billion valuation offers a proven playbook for two-sided healthcare marketplaces: attract the supply side first with free directory listings and administrative relief, then use that supply to attract demand</w:t>
      </w:r>
      <w:r>
        <w:t xml:space="preserve"> </w:t>
      </w:r>
      <w:fldSimple w:instr="NOTEREF _Ref_Footnote_275 \h \f">
        <w:r>
          <w:rPr>
            <w:vertAlign w:val="superscript"/>
          </w:rPr>
          <w:t>275</w:t>
        </w:r>
      </w:fldSimple>
      <w:r>
        <w:t xml:space="preserve">. Headway and Alma both built their networks by solving the insurance problem for therapists — handling credentialing, claims submission, and payment collection — which attracted thousands of practitioners who then became the inventory that drew clients seeking in-network care.</w:t>
      </w:r>
    </w:p>
    <w:p>
      <w:pPr>
        <w:pStyle w:val="BodyText"/>
      </w:pPr>
      <w:r>
        <w:t xml:space="preserve">A somatic therapy platform can replicate this dynamic with a different anchor feature. Because 85-88% of somatic therapists operate OON</w:t>
      </w:r>
      <w:r>
        <w:t xml:space="preserve"> </w:t>
      </w:r>
      <w:fldSimple w:instr="NOTEREF _Ref_Footnote_31 \h \f">
        <w:r>
          <w:rPr>
            <w:vertAlign w:val="superscript"/>
          </w:rPr>
          <w:t>31</w:t>
        </w:r>
      </w:fldSimple>
      <w:r>
        <w:t xml:space="preserve">, insurance enablement is the parallel pain point. A platform that offers free directory listings with modality-specific search, then layers on OON billing automation (superbill generation, eligibility verification, claims filing), creates the same supply-side flywheel. Each practitioner who joins increases the platform’s inventory, making it more discoverable for clients. Each client who books reinforces the practitioner’s commitment to the platform.</w:t>
      </w:r>
    </w:p>
    <w:p>
      <w:pPr>
        <w:pStyle w:val="BodyText"/>
      </w:pPr>
      <w:r>
        <w:t xml:space="preserve">The data support this sequencing. Group practices that offer</w:t>
      </w:r>
      <w:r>
        <w:t xml:space="preserve"> </w:t>
      </w:r>
      <w:r>
        <w:t xml:space="preserve">“</w:t>
      </w:r>
      <w:r>
        <w:t xml:space="preserve">marketing done for you</w:t>
      </w:r>
      <w:r>
        <w:t xml:space="preserve">”</w:t>
      </w:r>
      <w:r>
        <w:t xml:space="preserve"> </w:t>
      </w:r>
      <w:r>
        <w:t xml:space="preserve">are heavily oversubscribed</w:t>
      </w:r>
      <w:r>
        <w:t xml:space="preserve"> </w:t>
      </w:r>
      <w:fldSimple w:instr="NOTEREF _Ref_Footnote_271 \h \f">
        <w:r>
          <w:rPr>
            <w:vertAlign w:val="superscript"/>
          </w:rPr>
          <w:t>271</w:t>
        </w:r>
      </w:fldSimple>
      <w:r>
        <w:t xml:space="preserve"> </w:t>
      </w:r>
      <w:r>
        <w:rPr>
          <w:vertAlign w:val="superscript"/>
        </w:rPr>
        <w:footnoteReference w:id="303"/>
      </w:r>
      <w:r>
        <w:t xml:space="preserve">, confirming that practitioners will trade earnings for reliable client flow. Be Seen Therapy offers $80-$120 per hour with marketing, supervision, and admin support included, and receives strong applicant interest</w:t>
      </w:r>
      <w:r>
        <w:t xml:space="preserve"> </w:t>
      </w:r>
      <w:fldSimple w:instr="NOTEREF _Ref_Footnote_271 \h \f">
        <w:r>
          <w:rPr>
            <w:vertAlign w:val="superscript"/>
          </w:rPr>
          <w:t>271</w:t>
        </w:r>
      </w:fldSimple>
      <w:r>
        <w:t xml:space="preserve">. Embodied Wellness, PLLC offers W2 employment at $71,760-$95,680 with health insurance, 401k matching, and</w:t>
      </w:r>
      <w:r>
        <w:t xml:space="preserve"> </w:t>
      </w:r>
      <w:r>
        <w:t xml:space="preserve">“</w:t>
      </w:r>
      <w:r>
        <w:t xml:space="preserve">100+ hours free training</w:t>
      </w:r>
      <w:r>
        <w:t xml:space="preserve">”</w:t>
      </w:r>
      <w:r>
        <w:t xml:space="preserve"> </w:t>
      </w:r>
      <w:fldSimple w:instr="NOTEREF _Ref_Footnote_303 \h \f">
        <w:r>
          <w:rPr>
            <w:vertAlign w:val="superscript"/>
          </w:rPr>
          <w:t>303</w:t>
        </w:r>
      </w:fldSimple>
      <w:r>
        <w:t xml:space="preserve">. These packages demonstrate that practitioners value guaranteed client flow at least as highly as raw earnings.</w:t>
      </w:r>
    </w:p>
    <w:bookmarkEnd w:id="150"/>
    <w:bookmarkStart w:id="151" w:name="X33171a2295ae822d3a2bfae2d967c03644192bc"/>
    <w:p>
      <w:pPr>
        <w:pStyle w:val="Heading4"/>
      </w:pPr>
      <w:r>
        <w:t xml:space="preserve">6.3.3 Willingness to Pay: Pricing Benchmarks and Revenue Model</w:t>
      </w:r>
    </w:p>
    <w:p>
      <w:pPr>
        <w:pStyle w:val="FirstParagraph"/>
      </w:pPr>
      <w:r>
        <w:t xml:space="preserve">Comparable platform pricing establishes clear willingness-to-pay anchors. Directories charge $20-$35 per month (Psychology Today, TherapyDen, Heallist). Practice management platforms charge $39-$99 per month (SimplePractice, TherapyNotes, TheraPlatform). Insurance automation tools add $50-$150 per month in value: Nirvana, Mentaya, and Thrizer all charge on this spectrum for OON reimbursement support</w:t>
      </w:r>
      <w:r>
        <w:t xml:space="preserve"> </w:t>
      </w:r>
      <w:r>
        <w:rPr>
          <w:vertAlign w:val="superscript"/>
        </w:rPr>
        <w:footnoteReference w:id="304"/>
      </w:r>
      <w:r>
        <w:t xml:space="preserve"> </w:t>
      </w:r>
      <w:r>
        <w:rPr>
          <w:vertAlign w:val="superscript"/>
        </w:rPr>
        <w:footnoteReference w:id="305"/>
      </w:r>
      <w:r>
        <w:t xml:space="preserve">. Professional association memberships range from $42.50 per year (ADTA student rate) to $229 per year (SEI Plus)</w:t>
      </w:r>
      <w:r>
        <w:t xml:space="preserve"> </w:t>
      </w:r>
      <w:r>
        <w:rPr>
          <w:vertAlign w:val="superscript"/>
        </w:rPr>
        <w:footnoteReference w:id="306"/>
      </w:r>
      <w:r>
        <w:t xml:space="preserve"> </w:t>
      </w:r>
      <w:r>
        <w:rPr>
          <w:vertAlign w:val="superscript"/>
        </w:rPr>
        <w:footnoteReference w:id="307"/>
      </w:r>
      <w:r>
        <w:t xml:space="preserve">, but these provide community and CE access rather than active client acquisition.</w:t>
      </w:r>
    </w:p>
    <w:p>
      <w:pPr>
        <w:pStyle w:val="BodyText"/>
      </w:pPr>
      <w:r>
        <w:t xml:space="preserve">A bundled platform combining directory discovery, practice management, and insurance automation at $49-$99 per month sits comfortably within the $400-$600 that solo practitioners already spend across disconnected tools</w:t>
      </w:r>
      <w:r>
        <w:t xml:space="preserve"> </w:t>
      </w:r>
      <w:fldSimple w:instr="NOTEREF _Ref_Footnote_10 \h \f">
        <w:r>
          <w:rPr>
            <w:vertAlign w:val="superscript"/>
          </w:rPr>
          <w:t>10</w:t>
        </w:r>
      </w:fldSimple>
      <w:r>
        <w:t xml:space="preserve">. The value proposition is capability integration: modality-specific discovery feeding into booking, generating structured documentation, producing insurance-ready superbills, and tracking CE requirements within a peer community.</w:t>
      </w:r>
    </w:p>
    <w:p>
      <w:pPr>
        <w:pStyle w:val="BodyText"/>
      </w:pPr>
      <w:r>
        <w:t xml:space="preserve">The insurance automation component carries the highest marginal value. Tools like Thrizer offer $0 upfront pricing and take a percentage of recovered claims, proving that transaction-based models work when they convert inaccessible insurance benefits into real dollars. This creates a natural revenue expansion path: SaaS subscription fees at $49-$99 per month, plus transaction revenue on each processed claim — a model that aligns platform success with practitioner financial outcomes.</w:t>
      </w:r>
    </w:p>
    <w:p>
      <w:pPr>
        <w:pStyle w:val="BodyText"/>
      </w:pPr>
      <w:r>
        <w:t xml:space="preserve">The practitioner ecosystem data point to one conclusion: a purpose-built somatic therapy platform addresses pain points that are simultaneously deep (affecting daily practice sustainability), widespread (touching 50,000+ practitioners globally), and poorly served by existing tools (fragmented across 8+ disconnected categories). The practitioner who spends $400-$600 per month on technology, struggles to find clients, navigates insurance alone, and faces burnout without peer support is not an edge case — they are the modal somatic therapist. A platform that measurably reduces any of these burdens creates durable economic value on the supply side of the marketplace.</w:t>
      </w:r>
    </w:p>
    <w:p>
      <w:r>
        <w:pict>
          <v:rect style="width:0;height:1.5pt" o:hralign="center" o:hrstd="t" o:hr="t"/>
        </w:pict>
      </w:r>
    </w:p>
    <w:bookmarkEnd w:id="151"/>
    <w:bookmarkEnd w:id="152"/>
    <w:bookmarkEnd w:id="153"/>
    <w:bookmarkStart w:id="174" w:name="X95112487738f06cb9b7cd01dc00d710ee726868"/>
    <w:p>
      <w:pPr>
        <w:pStyle w:val="Heading2"/>
      </w:pPr>
      <w:r>
        <w:t xml:space="preserve">7. Opportunity Assessment &amp; Strategic Recommendations</w:t>
      </w:r>
    </w:p>
    <w:p>
      <w:pPr>
        <w:pStyle w:val="FirstParagraph"/>
      </w:pPr>
      <w:r>
        <w:t xml:space="preserve">The preceding six chapters have mapped the somatic therapy landscape from multiple angles: the clinical modalities and their evidence bases, the Dance/Movement Therapy profession and its supply constraints, the $4.01–4.72 billion market trajectory, the fragmented competitive landscape, and the dual-sided practitioner-consumer ecosystem. This final chapter distills those findings into concrete, actionable strategy — quantifying the addressable opportunity, defining the platform’s strategic position, sequencing the go-to-market plan, and assessing the risks that could derail execution.</w:t>
      </w:r>
    </w:p>
    <w:bookmarkStart w:id="163" w:name="market-opportunity"/>
    <w:p>
      <w:pPr>
        <w:pStyle w:val="Heading3"/>
      </w:pPr>
      <w:r>
        <w:t xml:space="preserve">7.1 Market Opportunity</w:t>
      </w:r>
    </w:p>
    <w:bookmarkStart w:id="157" w:name="tam-sam-som"/>
    <w:p>
      <w:pPr>
        <w:pStyle w:val="Heading4"/>
      </w:pPr>
      <w:r>
        <w:t xml:space="preserve">7.1.1 TAM / SAM / SOM</w:t>
      </w:r>
    </w:p>
    <w:p>
      <w:pPr>
        <w:pStyle w:val="FirstParagraph"/>
      </w:pPr>
      <w:r>
        <w:t xml:space="preserve">The global somatic therapy market was valued at $4.01–4.72 billion in 2025 by independent research firms (Coherent Market Insights, Prophecy Market Insights, and Data Bridge Market Research), with consensus CAGR of 16.8–17.7% projecting expansion to $12.40–19.68 billion by 2032–2035</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This Total Addressable Market (TAM) encompasses all clinical somatic therapy services across all modalities and geographies — a ceiling figure against which narrower segments must be measured.</w:t>
      </w:r>
    </w:p>
    <w:p>
      <w:pPr>
        <w:pStyle w:val="BodyText"/>
      </w:pPr>
      <w:r>
        <w:t xml:space="preserve">The Serviceable Addressable Market (SAM) applies three filters relevant to platform planning. First, geography: English-speaking markets (North America at 36.7%, the UK, Canada, and Australia) capture approximately 60% of global spend. Second, modality focus: movement-based therapies — DMT, Sensorimotor Psychotherapy, and body-oriented trauma work — represent approximately 20–25% of the somatic therapy market. Third, technology openness: the practitioner demographic skews older (66.4% of body psychotherapists are over 50), and conservative adoption assumptions suggest 40–50% of movement-focused practitioners would engage with digital tools. Applying these filters ($4.01–4.72B × 60% × ~22.5% × ~45%) yields a SAM of $480 million to $710 million [^dim01^].</w:t>
      </w:r>
    </w:p>
    <w:p>
      <w:pPr>
        <w:pStyle w:val="BodyText"/>
      </w:pPr>
      <w:r>
        <w:t xml:space="preserve">The Serviceable Obtainable Market (SOM) represents realistic 3- to 5-year platform capture. Headway achieved $2.3 billion valuation by capturing roughly 5–7% of the insurance-enabled talk therapy market within four years; NEUROFIT reached $70,000 monthly revenue (approximately $840,000 ARR) as a bootstrapped consumer somatic app</w:t>
      </w:r>
      <w:r>
        <w:t xml:space="preserve"> </w:t>
      </w:r>
      <w:fldSimple w:instr="NOTEREF _Ref_Footnote_254 \h \f">
        <w:r>
          <w:rPr>
            <w:vertAlign w:val="superscript"/>
          </w:rPr>
          <w:t>254</w:t>
        </w:r>
      </w:fldSimple>
      <w:r>
        <w:t xml:space="preserve"> </w:t>
      </w:r>
      <w:fldSimple w:instr="NOTEREF _Ref_Footnote_252 \h \f">
        <w:r>
          <w:rPr>
            <w:vertAlign w:val="superscript"/>
          </w:rPr>
          <w:t>252</w:t>
        </w:r>
      </w:fldSimple>
      <w:r>
        <w:t xml:space="preserve">. At a 2–5% capture rate of SAM, the SOM projects to $10 million–$35 million in annual recurring revenue by year 3–5.</w:t>
      </w:r>
    </w:p>
    <w:p>
      <w:pPr>
        <w:pStyle w:val="CaptionedFigure"/>
      </w:pPr>
      <w:r>
        <w:drawing>
          <wp:inline>
            <wp:extent cx="5334000" cy="3144651"/>
            <wp:effectExtent b="0" l="0" r="0" t="0"/>
            <wp:docPr descr="TAM/SAM/SOM Market Sizing" title="" id="155" name="Picture"/>
            <a:graphic>
              <a:graphicData uri="http://schemas.openxmlformats.org/drawingml/2006/picture">
                <pic:pic>
                  <pic:nvPicPr>
                    <pic:cNvPr descr="ch07_tam_sam_som.png" id="156" name="Picture"/>
                    <pic:cNvPicPr>
                      <a:picLocks noChangeArrowheads="1" noChangeAspect="1"/>
                    </pic:cNvPicPr>
                  </pic:nvPicPr>
                  <pic:blipFill>
                    <a:blip r:embed="rId154"/>
                    <a:stretch>
                      <a:fillRect/>
                    </a:stretch>
                  </pic:blipFill>
                  <pic:spPr bwMode="auto">
                    <a:xfrm>
                      <a:off x="0" y="0"/>
                      <a:ext cx="5334000" cy="3144651"/>
                    </a:xfrm>
                    <a:prstGeom prst="rect">
                      <a:avLst/>
                    </a:prstGeom>
                    <a:noFill/>
                    <a:ln w="9525">
                      <a:noFill/>
                      <a:headEnd/>
                      <a:tailEnd/>
                    </a:ln>
                  </pic:spPr>
                </pic:pic>
              </a:graphicData>
            </a:graphic>
          </wp:inline>
        </w:drawing>
      </w:r>
    </w:p>
    <w:p>
      <w:pPr>
        <w:pStyle w:val="ImageCaption"/>
      </w:pPr>
      <w:r>
        <w:t xml:space="preserve">TAM/SAM/SOM Market Sizing</w:t>
      </w:r>
    </w:p>
    <w:p>
      <w:pPr>
        <w:pStyle w:val="BodyText"/>
      </w:pPr>
      <w:r>
        <w:rPr>
          <w:iCs/>
          <w:i/>
        </w:rPr>
        <w:t xml:space="preserve">Figure 7.1: TAM / SAM / SOM waterfall for the somatic therapy platform. The TAM of $4.01–4.72B is filtered by geography (English-speaking, ~60%), modality focus (movement-based, ~22.5%), and technology adoption (~45%) to arrive at SAM of $480M–$710M. SOM of $10M–$35M assumes 2–5% capture over 3–5 years, consistent with comparable platform benchmarks.</w:t>
      </w:r>
    </w:p>
    <w:p>
      <w:pPr>
        <w:pStyle w:val="BodyText"/>
      </w:pPr>
      <w:r>
        <w:t xml:space="preserve">An alternative bottom-up sizing via practitioner economics confirms this range. With an estimated 20,000–50,000 somatic practitioners globally and 2,000–5,000 DMT-specific practitioners</w:t>
      </w:r>
      <w:r>
        <w:t xml:space="preserve"> </w:t>
      </w:r>
      <w:fldSimple w:instr="NOTEREF _Ref_Footnote_155 \h \f">
        <w:r>
          <w:rPr>
            <w:vertAlign w:val="superscript"/>
          </w:rPr>
          <w:t>155</w:t>
        </w:r>
      </w:fldSimple>
      <w:r>
        <w:t xml:space="preserve"> </w:t>
      </w:r>
      <w:fldSimple w:instr="NOTEREF _Ref_Footnote_200 \h \f">
        <w:r>
          <w:rPr>
            <w:vertAlign w:val="superscript"/>
          </w:rPr>
          <w:t>200</w:t>
        </w:r>
      </w:fldSimple>
      <w:r>
        <w:t xml:space="preserve">, a SaaS subscription model at $49–$99 per month capturing 1,000 practitioners generates $600,000–$1.2 million annually. Adding transaction fees on 2–3% of session volume, insurance processing revenue, and B2B corporate wellness contracts at $10–15 per employee per month (PEPM) produces a total platform revenue estimate of $1.35 million–$2.45 million by year 3–5 from the practitioner side alone [^dim01^]. The upside case — accelerated practitioner adoption, successful insurance automation, and early B2B traction — pushes revenue toward the $10 million–$35 million SOM upper bound.</w:t>
      </w:r>
    </w:p>
    <w:bookmarkEnd w:id="157"/>
    <w:bookmarkStart w:id="161" w:name="revenue-model"/>
    <w:p>
      <w:pPr>
        <w:pStyle w:val="Heading4"/>
      </w:pPr>
      <w:r>
        <w:t xml:space="preserve">7.1.2 Revenue Model</w:t>
      </w:r>
    </w:p>
    <w:p>
      <w:pPr>
        <w:pStyle w:val="FirstParagraph"/>
      </w:pPr>
      <w:r>
        <w:t xml:space="preserve">The platform employs a hybrid revenue architecture combining five streams, each anchored to validated pricing from comparable platforms.</w:t>
      </w:r>
    </w:p>
    <w:p>
      <w:pPr>
        <w:pStyle w:val="BodyText"/>
      </w:pPr>
      <w:r>
        <w:rPr>
          <w:bCs/>
          <w:b/>
        </w:rPr>
        <w:t xml:space="preserve">SaaS Subscription ($49–$99/month):</w:t>
      </w:r>
      <w:r>
        <w:t xml:space="preserve"> </w:t>
      </w:r>
      <w:r>
        <w:t xml:space="preserve">The core practitioner subscription bundles directory listing, practice management, telehealth, and community features. SimplePractice charges $39–$99 per month for EHR functionality alone</w:t>
      </w:r>
      <w:r>
        <w:t xml:space="preserve"> </w:t>
      </w:r>
      <w:fldSimple w:instr="NOTEREF _Ref_Footnote_230 \h \f">
        <w:r>
          <w:rPr>
            <w:vertAlign w:val="superscript"/>
          </w:rPr>
          <w:t>230</w:t>
        </w:r>
      </w:fldSimple>
      <w:r>
        <w:t xml:space="preserve">; Alma charges $125 per month for premium practice management with insurance credentialing</w:t>
      </w:r>
      <w:r>
        <w:t xml:space="preserve"> </w:t>
      </w:r>
      <w:fldSimple w:instr="NOTEREF _Ref_Footnote_233 \h \f">
        <w:r>
          <w:rPr>
            <w:vertAlign w:val="superscript"/>
          </w:rPr>
          <w:t>233</w:t>
        </w:r>
      </w:fldSimple>
      <w:r>
        <w:t xml:space="preserve">. A $49–$99 price point for a modality-specific, all-in-one platform sits comfortably within the $400–$600 that solo practitioners currently spend across disconnected tools</w:t>
      </w:r>
      <w:r>
        <w:t xml:space="preserve"> </w:t>
      </w:r>
      <w:fldSimple w:instr="NOTEREF _Ref_Footnote_10 \h \f">
        <w:r>
          <w:rPr>
            <w:vertAlign w:val="superscript"/>
          </w:rPr>
          <w:t>10</w:t>
        </w:r>
      </w:fldSimple>
      <w:r>
        <w:t xml:space="preserve">.</w:t>
      </w:r>
    </w:p>
    <w:p>
      <w:pPr>
        <w:pStyle w:val="BodyText"/>
      </w:pPr>
      <w:r>
        <w:rPr>
          <w:bCs/>
          <w:b/>
        </w:rPr>
        <w:t xml:space="preserve">Booking Transaction Fees (2–3%):</w:t>
      </w:r>
      <w:r>
        <w:t xml:space="preserve"> </w:t>
      </w:r>
      <w:r>
        <w:t xml:space="preserve">Heallist charges 10% on its free tier</w:t>
      </w:r>
      <w:r>
        <w:t xml:space="preserve"> </w:t>
      </w:r>
      <w:fldSimple w:instr="NOTEREF _Ref_Footnote_253 \h \f">
        <w:r>
          <w:rPr>
            <w:vertAlign w:val="superscript"/>
          </w:rPr>
          <w:t>253</w:t>
        </w:r>
      </w:fldSimple>
      <w:r>
        <w:t xml:space="preserve">; Headway takes a percentage of insurance reimbursements processed through its platform</w:t>
      </w:r>
      <w:r>
        <w:t xml:space="preserve"> </w:t>
      </w:r>
      <w:fldSimple w:instr="NOTEREF _Ref_Footnote_8 \h \f">
        <w:r>
          <w:rPr>
            <w:vertAlign w:val="superscript"/>
          </w:rPr>
          <w:t>8</w:t>
        </w:r>
      </w:fldSimple>
      <w:r>
        <w:t xml:space="preserve">. A 2–3% transaction fee on bookings processed through the platform generates incremental revenue that scales with marketplace volume without burdening practitioners.</w:t>
      </w:r>
    </w:p>
    <w:p>
      <w:pPr>
        <w:pStyle w:val="BodyText"/>
      </w:pPr>
      <w:r>
        <w:rPr>
          <w:bCs/>
          <w:b/>
        </w:rPr>
        <w:t xml:space="preserve">Insurance Processing Revenue:</w:t>
      </w:r>
      <w:r>
        <w:t xml:space="preserve"> </w:t>
      </w:r>
      <w:r>
        <w:t xml:space="preserve">The highest-marginal-value stream. Tools like Thrizer, Mentaya, and Nirvana charge $50–$150 per month for out-of-network (OON) reimbursement automation</w:t>
      </w:r>
      <w:r>
        <w:t xml:space="preserve"> </w:t>
      </w:r>
      <w:fldSimple w:instr="NOTEREF _Ref_Footnote_304 \h \f">
        <w:r>
          <w:rPr>
            <w:vertAlign w:val="superscript"/>
          </w:rPr>
          <w:t>304</w:t>
        </w:r>
      </w:fldSimple>
      <w:r>
        <w:t xml:space="preserve"> </w:t>
      </w:r>
      <w:fldSimple w:instr="NOTEREF _Ref_Footnote_305 \h \f">
        <w:r>
          <w:rPr>
            <w:vertAlign w:val="superscript"/>
          </w:rPr>
          <w:t>305</w:t>
        </w:r>
      </w:fldSimple>
      <w:r>
        <w:t xml:space="preserve">. With 85–88% of somatic therapists operating OON</w:t>
      </w:r>
      <w:r>
        <w:t xml:space="preserve"> </w:t>
      </w:r>
      <w:fldSimple w:instr="NOTEREF _Ref_Footnote_32 \h \f">
        <w:r>
          <w:rPr>
            <w:vertAlign w:val="superscript"/>
          </w:rPr>
          <w:t>32</w:t>
        </w:r>
      </w:fldSimple>
      <w:r>
        <w:t xml:space="preserve">, automating superbill generation, eligibility verification, and claims filing captures value from both sides: practitioners save administrative hours, and clients recover previously inaccessible insurance benefits. A percentage-of-recovery model (similar to Thrizer’s $0 upfront, take-rate on recovered claims) aligns platform revenue with practitioner financial outcomes.</w:t>
      </w:r>
    </w:p>
    <w:p>
      <w:pPr>
        <w:pStyle w:val="BodyText"/>
      </w:pPr>
      <w:r>
        <w:rPr>
          <w:bCs/>
          <w:b/>
        </w:rPr>
        <w:t xml:space="preserve">B2B Corporate Wellness ($10–15 PEPM):</w:t>
      </w:r>
      <w:r>
        <w:t xml:space="preserve"> </w:t>
      </w:r>
      <w:r>
        <w:t xml:space="preserve">Corporate wellness platforms command $1–3 PEPM for basic wellness and $10–18 PEPM for clinical mental health offerings</w:t>
      </w:r>
      <w:r>
        <w:t xml:space="preserve"> </w:t>
      </w:r>
      <w:r>
        <w:rPr>
          <w:vertAlign w:val="superscript"/>
        </w:rPr>
        <w:footnoteReference w:id="308"/>
      </w:r>
      <w:r>
        <w:t xml:space="preserve"> </w:t>
      </w:r>
      <w:r>
        <w:rPr>
          <w:vertAlign w:val="superscript"/>
        </w:rPr>
        <w:footnoteReference w:id="309"/>
      </w:r>
      <w:r>
        <w:t xml:space="preserve">. With burnout affecting 55–82% of employees and costing $3,999–$20,683 per employee annually</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a somatic-specific corporate offering — nervous system regulation workshops, group somatic sessions, executive coaching — at $10–15 PEPM could generate $500,000–$2 million ARR from a single Fortune 500 client</w:t>
      </w:r>
      <w:r>
        <w:t xml:space="preserve"> </w:t>
      </w:r>
      <w:fldSimple w:instr="NOTEREF _Ref_Footnote_46 \h \f">
        <w:r>
          <w:rPr>
            <w:vertAlign w:val="superscript"/>
          </w:rPr>
          <w:t>46</w:t>
        </w:r>
      </w:fldSimple>
      <w:r>
        <w:t xml:space="preserve">.</w:t>
      </w:r>
    </w:p>
    <w:p>
      <w:pPr>
        <w:pStyle w:val="BodyText"/>
      </w:pPr>
      <w:r>
        <w:rPr>
          <w:bCs/>
          <w:b/>
        </w:rPr>
        <w:t xml:space="preserve">CE Marketplace Commission (15–20%):</w:t>
      </w:r>
      <w:r>
        <w:t xml:space="preserve"> </w:t>
      </w:r>
      <w:r>
        <w:t xml:space="preserve">The Embody Lab charges $1,487–$1,947 per certificate program</w:t>
      </w:r>
      <w:r>
        <w:t xml:space="preserve"> </w:t>
      </w:r>
      <w:fldSimple w:instr="NOTEREF _Ref_Footnote_237 \h \f">
        <w:r>
          <w:rPr>
            <w:vertAlign w:val="superscript"/>
          </w:rPr>
          <w:t>237</w:t>
        </w:r>
      </w:fldSimple>
      <w:r>
        <w:t xml:space="preserve">; SEI modules range from $1,180–$1,650</w:t>
      </w:r>
      <w:r>
        <w:t xml:space="preserve"> </w:t>
      </w:r>
      <w:fldSimple w:instr="NOTEREF _Ref_Footnote_299 \h \f">
        <w:r>
          <w:rPr>
            <w:vertAlign w:val="superscript"/>
          </w:rPr>
          <w:t>299</w:t>
        </w:r>
      </w:fldSimple>
      <w:r>
        <w:t xml:space="preserve">. A 15–20% commission on continuing education courses sold through the platform creates a high-margin revenue stream that deepens practitioner engagement. CE requirements are mandatory (50 hours per 5-year cycle for BC-DMT recertification</w:t>
      </w:r>
      <w:r>
        <w:t xml:space="preserve"> </w:t>
      </w:r>
      <w:fldSimple w:instr="NOTEREF _Ref_Footnote_48 \h \f">
        <w:r>
          <w:rPr>
            <w:vertAlign w:val="superscript"/>
          </w:rPr>
          <w:t>48</w:t>
        </w:r>
      </w:fldSimple>
      <w:r>
        <w:t xml:space="preserve"> </w:t>
      </w:r>
      <w:fldSimple w:instr="NOTEREF _Ref_Footnote_82 \h \f">
        <w:r>
          <w:rPr>
            <w:vertAlign w:val="superscript"/>
          </w:rPr>
          <w:t>82</w:t>
        </w:r>
      </w:fldSimple>
      <w:r>
        <w:t xml:space="preserve">), ensuring recurring demand.</w:t>
      </w:r>
    </w:p>
    <w:p>
      <w:pPr>
        <w:pStyle w:val="CaptionedFigure"/>
      </w:pPr>
      <w:r>
        <w:drawing>
          <wp:inline>
            <wp:extent cx="5334000" cy="2339296"/>
            <wp:effectExtent b="0" l="0" r="0" t="0"/>
            <wp:docPr descr="Revenue Model and Comparable Valuations" title="" id="159" name="Picture"/>
            <a:graphic>
              <a:graphicData uri="http://schemas.openxmlformats.org/drawingml/2006/picture">
                <pic:pic>
                  <pic:nvPicPr>
                    <pic:cNvPr descr="ch07_revenue_and_valuations.png" id="160" name="Picture"/>
                    <pic:cNvPicPr>
                      <a:picLocks noChangeArrowheads="1" noChangeAspect="1"/>
                    </pic:cNvPicPr>
                  </pic:nvPicPr>
                  <pic:blipFill>
                    <a:blip r:embed="rId158"/>
                    <a:stretch>
                      <a:fillRect/>
                    </a:stretch>
                  </pic:blipFill>
                  <pic:spPr bwMode="auto">
                    <a:xfrm>
                      <a:off x="0" y="0"/>
                      <a:ext cx="5334000" cy="2339296"/>
                    </a:xfrm>
                    <a:prstGeom prst="rect">
                      <a:avLst/>
                    </a:prstGeom>
                    <a:noFill/>
                    <a:ln w="9525">
                      <a:noFill/>
                      <a:headEnd/>
                      <a:tailEnd/>
                    </a:ln>
                  </pic:spPr>
                </pic:pic>
              </a:graphicData>
            </a:graphic>
          </wp:inline>
        </w:drawing>
      </w:r>
    </w:p>
    <w:p>
      <w:pPr>
        <w:pStyle w:val="ImageCaption"/>
      </w:pPr>
      <w:r>
        <w:t xml:space="preserve">Revenue Model and Comparable Valuations</w:t>
      </w:r>
    </w:p>
    <w:p>
      <w:pPr>
        <w:pStyle w:val="BodyText"/>
      </w:pPr>
      <w:r>
        <w:rPr>
          <w:iCs/>
          <w:i/>
        </w:rPr>
        <w:t xml:space="preserve">Figure 7.2: Left panel — projected Year 5 revenue mix showing SaaS subscription (35%) and insurance processing (25%) as the dominant streams, with B2B corporate wellness (20%) as the growth driver. Right panel — comparable platform valuations demonstrating that insurance enablement is the primary value driver in therapist marketplace economics.</w:t>
      </w:r>
    </w:p>
    <w:bookmarkEnd w:id="161"/>
    <w:bookmarkStart w:id="162" w:name="comparable-valuations"/>
    <w:p>
      <w:pPr>
        <w:pStyle w:val="Heading4"/>
      </w:pPr>
      <w:r>
        <w:t xml:space="preserve">7.1.3 Comparable Valuations</w:t>
      </w:r>
    </w:p>
    <w:p>
      <w:pPr>
        <w:pStyle w:val="FirstParagraph"/>
      </w:pPr>
      <w:r>
        <w:t xml:space="preserve">The platform’s ultimate valuation potential is best understood through comparable transaction benchmarks. Headway achieved a $2.3 billion valuation by solving insurance billing for 60,000+ talk therapists, processing $1 billion+ in annualized billings</w:t>
      </w:r>
      <w:r>
        <w:t xml:space="preserve"> </w:t>
      </w:r>
      <w:fldSimple w:instr="NOTEREF _Ref_Footnote_8 \h \f">
        <w:r>
          <w:rPr>
            <w:vertAlign w:val="superscript"/>
          </w:rPr>
          <w:t>8</w:t>
        </w:r>
      </w:fldSimple>
      <w:r>
        <w:t xml:space="preserve"> </w:t>
      </w:r>
      <w:fldSimple w:instr="NOTEREF _Ref_Footnote_235 \h \f">
        <w:r>
          <w:rPr>
            <w:vertAlign w:val="superscript"/>
          </w:rPr>
          <w:t>235</w:t>
        </w:r>
      </w:fldSimple>
      <w:r>
        <w:t xml:space="preserve">. Grow Therapy reached a $3 billion valuation with a similar insurance-first model</w:t>
      </w:r>
      <w:r>
        <w:t xml:space="preserve"> </w:t>
      </w:r>
      <w:fldSimple w:instr="NOTEREF _Ref_Footnote_9 \h \f">
        <w:r>
          <w:rPr>
            <w:vertAlign w:val="superscript"/>
          </w:rPr>
          <w:t>9</w:t>
        </w:r>
      </w:fldSimple>
      <w:r>
        <w:t xml:space="preserve">. These valuations demonstrate that insurance enablement — not directory features or telehealth infrastructure — is the dominant value driver in therapist marketplace economics. NEUROFIT, by contrast, bootstrapped its way to approximately $70,000 monthly revenue ($840,000 ARR) as a consumer-facing somatic app with 120,000+ users and 2,000+ certified health professionals</w:t>
      </w:r>
      <w:r>
        <w:t xml:space="preserve"> </w:t>
      </w:r>
      <w:fldSimple w:instr="NOTEREF _Ref_Footnote_254 \h \f">
        <w:r>
          <w:rPr>
            <w:vertAlign w:val="superscript"/>
          </w:rPr>
          <w:t>254</w:t>
        </w:r>
      </w:fldSimple>
      <w:r>
        <w:t xml:space="preserve"> </w:t>
      </w:r>
      <w:fldSimple w:instr="NOTEREF _Ref_Footnote_248 \h \f">
        <w:r>
          <w:rPr>
            <w:vertAlign w:val="superscript"/>
          </w:rPr>
          <w:t>248</w:t>
        </w:r>
      </w:fldSimple>
      <w:r>
        <w:t xml:space="preserve">— proving demand for body-based digital wellness but lacking the practitioner-side infrastructure that creates venture-scale outcomes.</w:t>
      </w:r>
    </w:p>
    <w:p>
      <w:pPr>
        <w:pStyle w:val="BodyText"/>
      </w:pPr>
      <w:r>
        <w:t xml:space="preserve">The strategic implication is unambiguous: the insurance automation module (Phase 3) is not merely a feature but the primary valuation lever. A platform that enables OON reimbursement for somatic therapists replicates Headway’s core value proposition in a faster-growing market segment (17.5% CAGR versus 5–7% for general mental health)</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with the added defensibility of body-specific technology that incumbent talk-therapy platforms cannot easily replicate.</w:t>
      </w:r>
    </w:p>
    <w:bookmarkEnd w:id="162"/>
    <w:bookmarkEnd w:id="163"/>
    <w:bookmarkStart w:id="168" w:name="strategic-positioning"/>
    <w:p>
      <w:pPr>
        <w:pStyle w:val="Heading3"/>
      </w:pPr>
      <w:r>
        <w:t xml:space="preserve">7.2 Strategic Positioning</w:t>
      </w:r>
    </w:p>
    <w:bookmarkStart w:id="164" w:name="X6c3f4d33ce938effc4de15475387c21524b2d8a"/>
    <w:p>
      <w:pPr>
        <w:pStyle w:val="Heading4"/>
      </w:pPr>
      <w:r>
        <w:t xml:space="preserve">7.2.1 Primary Positioning:</w:t>
      </w:r>
      <w:r>
        <w:t xml:space="preserve"> </w:t>
      </w:r>
      <w:r>
        <w:t xml:space="preserve">“</w:t>
      </w:r>
      <w:r>
        <w:t xml:space="preserve">The Somatic Therapy Operating System</w:t>
      </w:r>
      <w:r>
        <w:t xml:space="preserve">”</w:t>
      </w:r>
    </w:p>
    <w:p>
      <w:pPr>
        <w:pStyle w:val="FirstParagraph"/>
      </w:pPr>
      <w:r>
        <w:t xml:space="preserve">Cross-referencing all research dimensions converges on a single positioning: the platform is not a directory, not a telehealth tool, and not a practice management system — it is the operating system purpose-built for body-based mental health practice. No competitor currently offers more than two of the six core modules: (1) verified directory with modality-specific search, (2) booking and scheduling with full-body video, (3) practice management with somatic-specific templates, (4) client acquisition tools, (5) insurance navigation with OON automation, and (6) community and peer support [^dim12^]. The</w:t>
      </w:r>
      <w:r>
        <w:t xml:space="preserve"> </w:t>
      </w:r>
      <w:r>
        <w:t xml:space="preserve">“</w:t>
      </w:r>
      <w:r>
        <w:t xml:space="preserve">somatic therapy operating system</w:t>
      </w:r>
      <w:r>
        <w:t xml:space="preserve">”</w:t>
      </w:r>
      <w:r>
        <w:t xml:space="preserve"> </w:t>
      </w:r>
      <w:r>
        <w:t xml:space="preserve">framing communicates integration — one platform replacing the $400–$600 monthly stack of 5+ disconnected tools that practitioners currently cobble together</w:t>
      </w:r>
      <w:r>
        <w:t xml:space="preserve"> </w:t>
      </w:r>
      <w:fldSimple w:instr="NOTEREF _Ref_Footnote_10 \h \f">
        <w:r>
          <w:rPr>
            <w:vertAlign w:val="superscript"/>
          </w:rPr>
          <w:t>10</w:t>
        </w:r>
      </w:fldSimple>
      <w:r>
        <w:t xml:space="preserve">.</w:t>
      </w:r>
    </w:p>
    <w:bookmarkEnd w:id="164"/>
    <w:bookmarkStart w:id="165" w:name="Xac8c581e364eb5c806d9b862f15e972078eb1ca"/>
    <w:p>
      <w:pPr>
        <w:pStyle w:val="Heading4"/>
      </w:pPr>
      <w:r>
        <w:t xml:space="preserve">7.2.2 Differentiation: Solving the</w:t>
      </w:r>
      <w:r>
        <w:t xml:space="preserve"> </w:t>
      </w:r>
      <w:r>
        <w:t xml:space="preserve">“</w:t>
      </w:r>
      <w:r>
        <w:t xml:space="preserve">Body-Blind Telehealth</w:t>
      </w:r>
      <w:r>
        <w:t xml:space="preserve">”</w:t>
      </w:r>
      <w:r>
        <w:t xml:space="preserve"> </w:t>
      </w:r>
      <w:r>
        <w:t xml:space="preserve">Problem</w:t>
      </w:r>
    </w:p>
    <w:p>
      <w:pPr>
        <w:pStyle w:val="FirstParagraph"/>
      </w:pPr>
      <w:r>
        <w:t xml:space="preserve">The critical technology gap in the competitive landscape is what Chapter 5 termed</w:t>
      </w:r>
      <w:r>
        <w:t xml:space="preserve"> </w:t>
      </w:r>
      <w:r>
        <w:t xml:space="preserve">“</w:t>
      </w:r>
      <w:r>
        <w:t xml:space="preserve">body-blind telehealth</w:t>
      </w:r>
      <w:r>
        <w:t xml:space="preserve">”</w:t>
      </w:r>
      <w:r>
        <w:t xml:space="preserve"> </w:t>
      </w:r>
      <w:r>
        <w:t xml:space="preserve">[^dim02^]. Every major telehealth platform — BetterHelp, Talkspace, SimplePractice, Doxy.me — is architected for face-centric, conversation-based therapy</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None support full-body video framing, movement observation tools, or pose tracking. Clinical guidelines for tele-DMT specify minimum 6 feet clearance, chest-height camera placement, and full-body framing throughout the session to enable observation of the complete kinetic chain</w:t>
      </w:r>
      <w:r>
        <w:t xml:space="preserve"> </w:t>
      </w:r>
      <w:fldSimple w:instr="NOTEREF _Ref_Footnote_28 \h \f">
        <w:r>
          <w:rPr>
            <w:vertAlign w:val="superscript"/>
          </w:rPr>
          <w:t>28</w:t>
        </w:r>
      </w:fldSimple>
      <w:r>
        <w:t xml:space="preserve"> </w:t>
      </w:r>
      <w:fldSimple w:instr="NOTEREF _Ref_Footnote_242 \h \f">
        <w:r>
          <w:rPr>
            <w:vertAlign w:val="superscript"/>
          </w:rPr>
          <w:t>242</w:t>
        </w:r>
      </w:fldSimple>
      <w:r>
        <w:t xml:space="preserve">. A platform with full-body video optimization, optional AI pose estimation (MediaPipe achieves 97.2% keypoint accuracy with ICC = 0.94 versus physiotherapist assessment</w:t>
      </w:r>
      <w:r>
        <w:t xml:space="preserve"> </w:t>
      </w:r>
      <w:fldSimple w:instr="NOTEREF _Ref_Footnote_29 \h \f">
        <w:r>
          <w:rPr>
            <w:vertAlign w:val="superscript"/>
          </w:rPr>
          <w:t>29</w:t>
        </w:r>
      </w:fldSimple>
      <w:r>
        <w:t xml:space="preserve">), and multi-camera support would be the only telehealth solution designed for body-based therapy — a defendable technical moat and a clear differentiator for attracting both practitioners and clients seeking movement-based approaches.</w:t>
      </w:r>
    </w:p>
    <w:p>
      <w:pPr>
        <w:pStyle w:val="BodyText"/>
      </w:pPr>
      <w:r>
        <w:t xml:space="preserve">Beyond video, three additional differentiators compound competitive separation. Modality-specific discovery allows clients to search by Somatic Experiencing (SEP), Board Certified Dance/Movement Therapist (BC-DMT), Sensorimotor Psychotherapy (SP), Hakomi certification, and other credentials — rather than the generic</w:t>
      </w:r>
      <w:r>
        <w:t xml:space="preserve"> </w:t>
      </w:r>
      <w:r>
        <w:t xml:space="preserve">“</w:t>
      </w:r>
      <w:r>
        <w:t xml:space="preserve">somatic therapy</w:t>
      </w:r>
      <w:r>
        <w:t xml:space="preserve">”</w:t>
      </w:r>
      <w:r>
        <w:t xml:space="preserve"> </w:t>
      </w:r>
      <w:r>
        <w:t xml:space="preserve">keyword tag that Psychology Today offers</w:t>
      </w:r>
      <w:r>
        <w:t xml:space="preserve"> </w:t>
      </w:r>
      <w:fldSimple w:instr="NOTEREF _Ref_Footnote_222 \h \f">
        <w:r>
          <w:rPr>
            <w:vertAlign w:val="superscript"/>
          </w:rPr>
          <w:t>222</w:t>
        </w:r>
      </w:fldSimple>
      <w:r>
        <w:t xml:space="preserve">. Cultural dance integration, validated by the Chinese network meta-analysis finding DMT combined with culturally-specific dance ranked #1 for depression (SUCRA = 99.7%)</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enables practitioners to serve underserved communities while differentiating against generic wellness platforms. Wearable integration (HRV via Apple Watch/Oura, stress via Apollo Neuro) creates objective outcome measurement that talk therapy platforms cannot replicate</w:t>
      </w:r>
      <w:r>
        <w:t xml:space="preserve"> </w:t>
      </w:r>
      <w:fldSimple w:instr="NOTEREF _Ref_Footnote_248 \h \f">
        <w:r>
          <w:rPr>
            <w:vertAlign w:val="superscript"/>
          </w:rPr>
          <w:t>248</w:t>
        </w:r>
      </w:fldSimple>
      <w:r>
        <w:t xml:space="preserve">.</w:t>
      </w:r>
    </w:p>
    <w:bookmarkEnd w:id="165"/>
    <w:bookmarkStart w:id="166" w:name="target-practitioner"/>
    <w:p>
      <w:pPr>
        <w:pStyle w:val="Heading4"/>
      </w:pPr>
      <w:r>
        <w:t xml:space="preserve">7.2.3 Target Practitioner</w:t>
      </w:r>
    </w:p>
    <w:p>
      <w:pPr>
        <w:pStyle w:val="FirstParagraph"/>
      </w:pPr>
      <w:r>
        <w:t xml:space="preserve">The primary supply-side target is the licensed mental health professional with somatic certification: LCSW, LPC, LMFT, or psychologist who has completed SEP (216+ contact hours across three training levels</w:t>
      </w:r>
      <w:r>
        <w:t xml:space="preserve"> </w:t>
      </w:r>
      <w:fldSimple w:instr="NOTEREF _Ref_Footnote_61 \h \f">
        <w:r>
          <w:rPr>
            <w:vertAlign w:val="superscript"/>
          </w:rPr>
          <w:t>61</w:t>
        </w:r>
      </w:fldSimple>
      <w:r>
        <w:t xml:space="preserve"> </w:t>
      </w:r>
      <w:fldSimple w:instr="NOTEREF _Ref_Footnote_62 \h \f">
        <w:r>
          <w:rPr>
            <w:vertAlign w:val="superscript"/>
          </w:rPr>
          <w:t>62</w:t>
        </w:r>
      </w:fldSimple>
      <w:r>
        <w:t xml:space="preserve">), BC-DMT (master’s degree plus 700-hour internship</w:t>
      </w:r>
      <w:r>
        <w:t xml:space="preserve"> </w:t>
      </w:r>
      <w:fldSimple w:instr="NOTEREF _Ref_Footnote_86 \h \f">
        <w:r>
          <w:rPr>
            <w:vertAlign w:val="superscript"/>
          </w:rPr>
          <w:t>86</w:t>
        </w:r>
      </w:fldSimple>
      <w:r>
        <w:t xml:space="preserve"> </w:t>
      </w:r>
      <w:fldSimple w:instr="NOTEREF _Ref_Footnote_80 \h \f">
        <w:r>
          <w:rPr>
            <w:vertAlign w:val="superscript"/>
          </w:rPr>
          <w:t>80</w:t>
        </w:r>
      </w:fldSimple>
      <w:r>
        <w:t xml:space="preserve">), SP certification (4+ year training</w:t>
      </w:r>
      <w:r>
        <w:t xml:space="preserve"> </w:t>
      </w:r>
      <w:fldSimple w:instr="NOTEREF _Ref_Footnote_65 \h \f">
        <w:r>
          <w:rPr>
            <w:vertAlign w:val="superscript"/>
          </w:rPr>
          <w:t>65</w:t>
        </w:r>
      </w:fldSimple>
      <w:r>
        <w:t xml:space="preserve"> </w:t>
      </w:r>
      <w:fldSimple w:instr="NOTEREF _Ref_Footnote_66 \h \f">
        <w:r>
          <w:rPr>
            <w:vertAlign w:val="superscript"/>
          </w:rPr>
          <w:t>66</w:t>
        </w:r>
      </w:fldSimple>
      <w:r>
        <w:t xml:space="preserve">), or Hakomi training (2–3 years part-time at $7,000–$10,000</w:t>
      </w:r>
      <w:r>
        <w:t xml:space="preserve"> </w:t>
      </w:r>
      <w:fldSimple w:instr="NOTEREF _Ref_Footnote_74 \h \f">
        <w:r>
          <w:rPr>
            <w:vertAlign w:val="superscript"/>
          </w:rPr>
          <w:t>74</w:t>
        </w:r>
      </w:fldSimple>
      <w:r>
        <w:t xml:space="preserve">). This practitioner typically operates a solo private practice, spends $400–$600 per month on disconnected technology tools, identifies client acquisition as the number one challenge</w:t>
      </w:r>
      <w:r>
        <w:t xml:space="preserve"> </w:t>
      </w:r>
      <w:fldSimple w:instr="NOTEREF _Ref_Footnote_115 \h \f">
        <w:r>
          <w:rPr>
            <w:vertAlign w:val="superscript"/>
          </w:rPr>
          <w:t>115</w:t>
        </w:r>
      </w:fldSimple>
      <w:r>
        <w:t xml:space="preserve">, and operates out-of-network due to insurance administrative burden</w:t>
      </w:r>
      <w:r>
        <w:t xml:space="preserve"> </w:t>
      </w:r>
      <w:fldSimple w:instr="NOTEREF _Ref_Footnote_32 \h \f">
        <w:r>
          <w:rPr>
            <w:vertAlign w:val="superscript"/>
          </w:rPr>
          <w:t>32</w:t>
        </w:r>
      </w:fldSimple>
      <w:r>
        <w:t xml:space="preserve">.</w:t>
      </w:r>
    </w:p>
    <w:bookmarkEnd w:id="166"/>
    <w:bookmarkStart w:id="167" w:name="target-client"/>
    <w:p>
      <w:pPr>
        <w:pStyle w:val="Heading4"/>
      </w:pPr>
      <w:r>
        <w:t xml:space="preserve">7.2.4 Target Client</w:t>
      </w:r>
    </w:p>
    <w:p>
      <w:pPr>
        <w:pStyle w:val="FirstParagraph"/>
      </w:pPr>
      <w:r>
        <w:t xml:space="preserve">The primary demand-side target is adults aged 25–45 with anxiety, depression, or trauma histories who have tried talk therapy without satisfactory results and are seeking non-verbal, embodied approaches. This demographic overlaps strongly with the Gen Z and Millennial</w:t>
      </w:r>
      <w:r>
        <w:t xml:space="preserve"> </w:t>
      </w:r>
      <w:r>
        <w:t xml:space="preserve">“</w:t>
      </w:r>
      <w:r>
        <w:t xml:space="preserve">somatic turn</w:t>
      </w:r>
      <w:r>
        <w:t xml:space="preserve">”</w:t>
      </w:r>
      <w:r>
        <w:t xml:space="preserve">: 42% of Gen Z are in therapy (a 22% increase since 2022), 61% have been diagnosed with anxiety, and 87% report feeling comfortable discussing mental health</w:t>
      </w:r>
      <w:r>
        <w:t xml:space="preserve"> </w:t>
      </w:r>
      <w:fldSimple w:instr="NOTEREF _Ref_Footnote_36 \h \f">
        <w:r>
          <w:rPr>
            <w:vertAlign w:val="superscript"/>
          </w:rPr>
          <w:t>36</w:t>
        </w:r>
      </w:fldSimple>
      <w:r>
        <w:t xml:space="preserve">. Critically, this cohort arrives</w:t>
      </w:r>
      <w:r>
        <w:t xml:space="preserve"> </w:t>
      </w:r>
      <w:r>
        <w:t xml:space="preserve">“</w:t>
      </w:r>
      <w:r>
        <w:t xml:space="preserve">already fluent in clinical terminology, armed with self-diagnoses derived from sixty-second videos, speaking a hybrid language of neuroscience and internet slang</w:t>
      </w:r>
      <w:r>
        <w:t xml:space="preserve">”</w:t>
      </w:r>
      <w:r>
        <w:t xml:space="preserve"> </w:t>
      </w:r>
      <w:fldSimple w:instr="NOTEREF _Ref_Footnote_36 \h \f">
        <w:r>
          <w:rPr>
            <w:vertAlign w:val="superscript"/>
          </w:rPr>
          <w:t>36</w:t>
        </w:r>
      </w:fldSimple>
      <w:r>
        <w:t xml:space="preserve">— vocabulary that includes</w:t>
      </w:r>
      <w:r>
        <w:t xml:space="preserve"> </w:t>
      </w:r>
      <w:r>
        <w:t xml:space="preserve">“</w:t>
      </w:r>
      <w:r>
        <w:t xml:space="preserve">nervous system regulation,</w:t>
      </w:r>
      <w:r>
        <w:t xml:space="preserve">”</w:t>
      </w:r>
      <w:r>
        <w:t xml:space="preserve"> </w:t>
      </w:r>
      <w:r>
        <w:t xml:space="preserve">“</w:t>
      </w:r>
      <w:r>
        <w:t xml:space="preserve">dorsal vagal shutdown,</w:t>
      </w:r>
      <w:r>
        <w:t xml:space="preserve">”</w:t>
      </w:r>
      <w:r>
        <w:t xml:space="preserve"> </w:t>
      </w:r>
      <w:r>
        <w:t xml:space="preserve">and</w:t>
      </w:r>
      <w:r>
        <w:t xml:space="preserve"> </w:t>
      </w:r>
      <w:r>
        <w:t xml:space="preserve">“</w:t>
      </w:r>
      <w:r>
        <w:t xml:space="preserve">functional freeze.</w:t>
      </w:r>
      <w:r>
        <w:t xml:space="preserve">”</w:t>
      </w:r>
      <w:r>
        <w:t xml:space="preserve"> </w:t>
      </w:r>
      <w:r>
        <w:t xml:space="preserve">Platform design must be mobile-first, video-centric, and text-communication-ready to serve this demographic</w:t>
      </w:r>
      <w:r>
        <w:t xml:space="preserve"> </w:t>
      </w:r>
      <w:fldSimple w:instr="NOTEREF _Ref_Footnote_37 \h \f">
        <w:r>
          <w:rPr>
            <w:vertAlign w:val="superscript"/>
          </w:rPr>
          <w:t>37</w:t>
        </w:r>
      </w:fldSimple>
      <w:r>
        <w:t xml:space="preserve"> </w:t>
      </w:r>
      <w:fldSimple w:instr="NOTEREF _Ref_Footnote_38 \h \f">
        <w:r>
          <w:rPr>
            <w:vertAlign w:val="superscript"/>
          </w:rPr>
          <w:t>38</w:t>
        </w:r>
      </w:fldSimple>
      <w:r>
        <w:t xml:space="preserve">.</w:t>
      </w:r>
    </w:p>
    <w:bookmarkEnd w:id="167"/>
    <w:bookmarkEnd w:id="168"/>
    <w:bookmarkStart w:id="172" w:name="go-to-market-strategy"/>
    <w:p>
      <w:pPr>
        <w:pStyle w:val="Heading3"/>
      </w:pPr>
      <w:r>
        <w:t xml:space="preserve">7.3 Go-to-Market Strategy</w:t>
      </w:r>
    </w:p>
    <w:p>
      <w:pPr>
        <w:pStyle w:val="FirstParagraph"/>
      </w:pPr>
      <w:r>
        <w:t xml:space="preserve">The go-to-market plan follows a supply-side-first sequencing principle validated by Headway’s ascent: attract practitioners with free, high-value tools before investing heavily in client acquisition. Each phase generates revenue and network effects before the next phase is funded, reducing capital risk while building compounding competitive advantages. The total estimated investment over 24 months is $950,000–$1.6 million — compared to Headway’s $325.5 million raise, a capital-efficient path that reflects the narrower but faster-growing market segment</w:t>
      </w:r>
      <w:r>
        <w:t xml:space="preserve"> </w:t>
      </w:r>
      <w:fldSimple w:instr="NOTEREF _Ref_Footnote_47 \h \f">
        <w:r>
          <w:rPr>
            <w:vertAlign w:val="superscript"/>
          </w:rPr>
          <w:t>47</w:t>
        </w:r>
      </w:fldSimple>
      <w:r>
        <w:t xml:space="preserve"> </w:t>
      </w:r>
      <w:fldSimple w:instr="NOTEREF _Ref_Footnote_8 \h \f">
        <w:r>
          <w:rPr>
            <w:vertAlign w:val="superscript"/>
          </w:rPr>
          <w:t>8</w:t>
        </w:r>
      </w:fldSimple>
      <w:r>
        <w:t xml:space="preserve">.</w:t>
      </w:r>
    </w:p>
    <w:p>
      <w:pPr>
        <w:pStyle w:val="CaptionedFigure"/>
      </w:pPr>
      <w:r>
        <w:drawing>
          <wp:inline>
            <wp:extent cx="5334000" cy="2640080"/>
            <wp:effectExtent b="0" l="0" r="0" t="0"/>
            <wp:docPr descr="Go-to-Market Timeline" title="" id="170" name="Picture"/>
            <a:graphic>
              <a:graphicData uri="http://schemas.openxmlformats.org/drawingml/2006/picture">
                <pic:pic>
                  <pic:nvPicPr>
                    <pic:cNvPr descr="ch07_gtm_timeline.png" id="171" name="Picture"/>
                    <pic:cNvPicPr>
                      <a:picLocks noChangeArrowheads="1" noChangeAspect="1"/>
                    </pic:cNvPicPr>
                  </pic:nvPicPr>
                  <pic:blipFill>
                    <a:blip r:embed="rId169"/>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t xml:space="preserve">Go-to-Market Timeline</w:t>
      </w:r>
    </w:p>
    <w:p>
      <w:pPr>
        <w:pStyle w:val="BodyText"/>
      </w:pPr>
      <w:r>
        <w:rPr>
          <w:iCs/>
          <w:i/>
        </w:rPr>
        <w:t xml:space="preserve">Figure 7.3: 24-month phased rollout showing sequential investment, practitioner growth targets, and key milestones at each phase transition. Total estimated investment: $950K–$1.6M.</w:t>
      </w:r>
    </w:p>
    <w:p>
      <w:pPr>
        <w:pStyle w:val="BodyText"/>
      </w:pPr>
      <w:r>
        <w:rPr>
          <w:bCs/>
          <w:b/>
        </w:rPr>
        <w:t xml:space="preserve">Phase 1 (Months 1–6): Directory + Booking MVP.</w:t>
      </w:r>
      <w:r>
        <w:t xml:space="preserve"> </w:t>
      </w:r>
      <w:r>
        <w:t xml:space="preserve">The minimum viable product combines a somatic-specific practitioner directory with modality-verified profiles, certification-level filtering (SEP, BC-DMT, SP, Hakomi, TRE, Feldenkrais), and booking with integrated payment processing. Partnerships with training organizations — Somatic Experiencing International (SEI), the American Dance Therapy Association (ADTA), and the Embody Lab — seed the initial practitioner base by offering free directory listings to newly certified graduates, addressing the</w:t>
      </w:r>
      <w:r>
        <w:t xml:space="preserve"> </w:t>
      </w:r>
      <w:r>
        <w:t xml:space="preserve">“</w:t>
      </w:r>
      <w:r>
        <w:t xml:space="preserve">graduation cliff</w:t>
      </w:r>
      <w:r>
        <w:t xml:space="preserve">”</w:t>
      </w:r>
      <w:r>
        <w:t xml:space="preserve"> </w:t>
      </w:r>
      <w:r>
        <w:t xml:space="preserve">where training programs produce practitioners without client acquisition support [^dim05^]. The target is 500 verified practitioner profiles and 200 active monthly bookings by month 6. Estimated investment: $150,000–$250,000.</w:t>
      </w:r>
    </w:p>
    <w:p>
      <w:pPr>
        <w:pStyle w:val="BodyText"/>
      </w:pPr>
      <w:r>
        <w:rPr>
          <w:bCs/>
          <w:b/>
        </w:rPr>
        <w:t xml:space="preserve">Phase 2 (Months 6–12): Practice Management + Telehealth.</w:t>
      </w:r>
      <w:r>
        <w:t xml:space="preserve"> </w:t>
      </w:r>
      <w:r>
        <w:t xml:space="preserve">With practitioner density established, the platform adds somatic-specific practice management tools: movement-based session note templates with body map annotation, interoception homework assignment through a mobile client portal, and the critical full-body video telehealth component — a WebRTC-based custom video pipeline optimized for wide-angle camera support and body-presence auto-detection</w:t>
      </w:r>
      <w:r>
        <w:t xml:space="preserve"> </w:t>
      </w:r>
      <w:fldSimple w:instr="NOTEREF _Ref_Footnote_258 \h \f">
        <w:r>
          <w:rPr>
            <w:vertAlign w:val="superscript"/>
          </w:rPr>
          <w:t>258</w:t>
        </w:r>
      </w:fldSimple>
      <w:r>
        <w:t xml:space="preserve">. This phase substantially increases switching costs: as practitioners migrate client records and scheduling history to the platform, migration becomes progressively more costly. Target: 2,000 practitioner profiles, 1,500 active monthly bookings, 15% premium conversion rate. Estimated investment: $200,000–$350,000.</w:t>
      </w:r>
    </w:p>
    <w:p>
      <w:pPr>
        <w:pStyle w:val="BodyText"/>
      </w:pPr>
      <w:r>
        <w:rPr>
          <w:bCs/>
          <w:b/>
        </w:rPr>
        <w:t xml:space="preserve">Phase 3 (Months 12–18): Client Acquisition Tools + Insurance Billing Automation.</w:t>
      </w:r>
      <w:r>
        <w:t xml:space="preserve"> </w:t>
      </w:r>
      <w:r>
        <w:t xml:space="preserve">The platform shifts toward demand generation and revenue optimization. Client acquisition tools include practitioner SEO optimization, social media content templates, and automated modality-based matching. The insurance automation module — the primary valuation lever — integrates with Thrizer for automated claim filing, generates native superbills with auto-populated CMS-1500 forms, and accepts HSA/FSA cards at checkout. This addresses the single biggest barrier to market expansion: 85–88% OON operation means the majority of potential clients cannot afford $125–$350 per session out-of-pocket</w:t>
      </w:r>
      <w:r>
        <w:t xml:space="preserve"> </w:t>
      </w:r>
      <w:fldSimple w:instr="NOTEREF _Ref_Footnote_32 \h \f">
        <w:r>
          <w:rPr>
            <w:vertAlign w:val="superscript"/>
          </w:rPr>
          <w:t>32</w:t>
        </w:r>
      </w:fldSimple>
      <w:r>
        <w:t xml:space="preserve"> </w:t>
      </w:r>
      <w:fldSimple w:instr="NOTEREF _Ref_Footnote_54 \h \f">
        <w:r>
          <w:rPr>
            <w:vertAlign w:val="superscript"/>
          </w:rPr>
          <w:t>54</w:t>
        </w:r>
      </w:fldSimple>
      <w:r>
        <w:t xml:space="preserve">. Target: 5,000 practitioner profiles, 5,000 active monthly bookings, $500,000 monthly revenue. Estimated investment: $300,000–$500,000.</w:t>
      </w:r>
    </w:p>
    <w:p>
      <w:pPr>
        <w:pStyle w:val="BodyText"/>
      </w:pPr>
      <w:r>
        <w:rPr>
          <w:bCs/>
          <w:b/>
        </w:rPr>
        <w:t xml:space="preserve">Phase 4 (Months 18–24): B2B Corporate Wellness + International Expansion + Wearable Integration.</w:t>
      </w:r>
      <w:r>
        <w:t xml:space="preserve"> </w:t>
      </w:r>
      <w:r>
        <w:t xml:space="preserve">The final phase builds ecosystem lock-in through community features (peer consultation groups modeled on Alma’s CE community</w:t>
      </w:r>
      <w:r>
        <w:t xml:space="preserve"> </w:t>
      </w:r>
      <w:fldSimple w:instr="NOTEREF _Ref_Footnote_233 \h \f">
        <w:r>
          <w:rPr>
            <w:vertAlign w:val="superscript"/>
          </w:rPr>
          <w:t>233</w:t>
        </w:r>
      </w:fldSimple>
      <w:r>
        <w:t xml:space="preserve">, practitioner forums, case consultation) and expands into B2B corporate wellness. The financial case is compelling: Deloitte found 470% ROI on mental health investments</w:t>
      </w:r>
      <w:r>
        <w:t xml:space="preserve"> </w:t>
      </w:r>
      <w:fldSimple w:instr="NOTEREF _Ref_Footnote_211 \h \f">
        <w:r>
          <w:rPr>
            <w:vertAlign w:val="superscript"/>
          </w:rPr>
          <w:t>211</w:t>
        </w:r>
      </w:fldSimple>
      <w:r>
        <w:t xml:space="preserve">, SAP’s Business Health Culture Index demonstrated $90–$100 million operating profit per 1% well-being improvement</w:t>
      </w:r>
      <w:r>
        <w:t xml:space="preserve"> </w:t>
      </w:r>
      <w:fldSimple w:instr="NOTEREF _Ref_Footnote_212 \h \f">
        <w:r>
          <w:rPr>
            <w:vertAlign w:val="superscript"/>
          </w:rPr>
          <w:t>212</w:t>
        </w:r>
      </w:fldSimple>
      <w:r>
        <w:t xml:space="preserve">, and EAP utilization surged 34% between 2022 and 2025</w:t>
      </w:r>
      <w:r>
        <w:t xml:space="preserve"> </w:t>
      </w:r>
      <w:fldSimple w:instr="NOTEREF _Ref_Footnote_198 \h \f">
        <w:r>
          <w:rPr>
            <w:vertAlign w:val="superscript"/>
          </w:rPr>
          <w:t>198</w:t>
        </w:r>
      </w:fldSimple>
      <w:r>
        <w:t xml:space="preserve">. Traditional EAPs achieve only 2–5% utilization, while digital-first wellness platforms achieve 20–42% — a 7–10x multiplier</w:t>
      </w:r>
      <w:r>
        <w:t xml:space="preserve"> </w:t>
      </w:r>
      <w:fldSimple w:instr="NOTEREF _Ref_Footnote_44 \h \f">
        <w:r>
          <w:rPr>
            <w:vertAlign w:val="superscript"/>
          </w:rPr>
          <w:t>44</w:t>
        </w:r>
      </w:fldSimple>
      <w:r>
        <w:t xml:space="preserve"> </w:t>
      </w:r>
      <w:fldSimple w:instr="NOTEREF _Ref_Footnote_45 \h \f">
        <w:r>
          <w:rPr>
            <w:vertAlign w:val="superscript"/>
          </w:rPr>
          <w:t>45</w:t>
        </w:r>
      </w:fldSimple>
      <w:r>
        <w:t xml:space="preserve">. A B2B offering at $10–15 PEPM could generate $500,000–$2 million ARR from a single Fortune 500 client</w:t>
      </w:r>
      <w:r>
        <w:t xml:space="preserve"> </w:t>
      </w:r>
      <w:fldSimple w:instr="NOTEREF _Ref_Footnote_46 \h \f">
        <w:r>
          <w:rPr>
            <w:vertAlign w:val="superscript"/>
          </w:rPr>
          <w:t>46</w:t>
        </w:r>
      </w:fldSimple>
      <w:r>
        <w:t xml:space="preserve">. Target: 10,000+ practitioner profiles across 30+ countries, first B2B contracts. Estimated investment: $300,000–$500,000.</w:t>
      </w:r>
    </w:p>
    <w:bookmarkEnd w:id="172"/>
    <w:bookmarkStart w:id="173" w:name="risk-factors"/>
    <w:p>
      <w:pPr>
        <w:pStyle w:val="Heading3"/>
      </w:pPr>
      <w:r>
        <w:t xml:space="preserve">7.4 Risk Factors</w:t>
      </w:r>
    </w:p>
    <w:p>
      <w:pPr>
        <w:pStyle w:val="FirstParagraph"/>
      </w:pPr>
      <w:r>
        <w:t xml:space="preserve">Building a platform in a regulated healthcare market with a fragmented practitioner base and evolving evidence standards carries material risks across four domains: regulatory, market, execution, and evidence. The risk assessment matrix below quantifies each risk’s probability and impact, identifies early warning indicators, and prescribes specific mitigation strategies.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Risk Category</w:t>
            </w:r>
          </w:p>
        </w:tc>
        <w:tc>
          <w:tcPr/>
          <w:p>
            <w:pPr>
              <w:pStyle w:val="Compact"/>
              <w:jc w:val="left"/>
            </w:pPr>
            <w:r>
              <w:t xml:space="preserve">Specific 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Early Warning Indicators</w:t>
            </w:r>
          </w:p>
        </w:tc>
        <w:tc>
          <w:tcPr/>
          <w:p>
            <w:pPr>
              <w:pStyle w:val="Compact"/>
              <w:jc w:val="left"/>
            </w:pPr>
            <w:r>
              <w:t xml:space="preserve">Mitigation Strategies</w:t>
            </w:r>
          </w:p>
        </w:tc>
      </w:tr>
      <w:tr>
        <w:tc>
          <w:tcPr/>
          <w:p>
            <w:pPr>
              <w:pStyle w:val="Compact"/>
              <w:jc w:val="left"/>
            </w:pPr>
            <w:r>
              <w:rPr>
                <w:bCs/>
                <w:b/>
              </w:rPr>
              <w:t xml:space="preserve">Regulatory</w:t>
            </w:r>
          </w:p>
        </w:tc>
        <w:tc>
          <w:tcPr/>
          <w:p>
            <w:pPr>
              <w:pStyle w:val="Compact"/>
              <w:jc w:val="left"/>
            </w:pPr>
            <w:r>
              <w:t xml:space="preserve">Interstate telehealth licensure restrictions limit practitioner cross-border practice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PSYPACT/Counseling Compact enrollment stalls; state attorneys general issue telehealth enforcement guidance</w:t>
            </w:r>
          </w:p>
        </w:tc>
        <w:tc>
          <w:tcPr/>
          <w:p>
            <w:pPr>
              <w:pStyle w:val="Compact"/>
              <w:jc w:val="left"/>
            </w:pPr>
            <w:r>
              <w:t xml:space="preserve">Build jurisdiction-aware scheduling from day one; partner with compact-administering organizations; restrict telehealth to intrastate until compacts mature</w:t>
            </w:r>
            <w:r>
              <w:t xml:space="preserve"> </w:t>
            </w:r>
            <w:r>
              <w:rPr>
                <w:vertAlign w:val="superscript"/>
              </w:rPr>
              <w:footnoteReference w:id="310"/>
            </w:r>
          </w:p>
        </w:tc>
      </w:tr>
      <w:tr>
        <w:tc>
          <w:tcPr/>
          <w:p>
            <w:pPr>
              <w:pStyle w:val="Compact"/>
              <w:jc w:val="left"/>
            </w:pPr>
            <w:r>
              <w:rPr>
                <w:bCs/>
                <w:b/>
              </w:rPr>
              <w:t xml:space="preserve">Regulatory</w:t>
            </w:r>
          </w:p>
        </w:tc>
        <w:tc>
          <w:tcPr/>
          <w:p>
            <w:pPr>
              <w:pStyle w:val="Compact"/>
              <w:jc w:val="left"/>
            </w:pPr>
            <w:r>
              <w:t xml:space="preserve">Platform liability for practitioner actions (vicarious liability, misclassification)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Malpractice carriers exclude platform-mediated sessions; state boards investigate platform-facilitated care</w:t>
            </w:r>
          </w:p>
        </w:tc>
        <w:tc>
          <w:tcPr/>
          <w:p>
            <w:pPr>
              <w:pStyle w:val="Compact"/>
              <w:jc w:val="left"/>
            </w:pPr>
            <w:r>
              <w:t xml:space="preserve">Independent contractor agreements with clear liability demarcation; malpractice insurance verification as directory requirement; HIPAA BAA with all practitioners</w:t>
            </w:r>
            <w:r>
              <w:t xml:space="preserve"> </w:t>
            </w:r>
            <w:fldSimple w:instr="NOTEREF _Ref_Footnote_310 \h \f">
              <w:r>
                <w:rPr>
                  <w:vertAlign w:val="superscript"/>
                </w:rPr>
                <w:t>310</w:t>
              </w:r>
            </w:fldSimple>
          </w:p>
        </w:tc>
      </w:tr>
      <w:tr>
        <w:tc>
          <w:tcPr/>
          <w:p>
            <w:pPr>
              <w:pStyle w:val="Compact"/>
              <w:jc w:val="left"/>
            </w:pPr>
            <w:r>
              <w:rPr>
                <w:bCs/>
                <w:b/>
              </w:rPr>
              <w:t xml:space="preserve">Regulatory</w:t>
            </w:r>
          </w:p>
        </w:tc>
        <w:tc>
          <w:tcPr/>
          <w:p>
            <w:pPr>
              <w:pStyle w:val="Compact"/>
              <w:jc w:val="left"/>
            </w:pPr>
            <w:r>
              <w:t xml:space="preserve">“</w:t>
            </w:r>
            <w:r>
              <w:t xml:space="preserve">Somatic therapy</w:t>
            </w:r>
            <w:r>
              <w:t xml:space="preserve">”</w:t>
            </w:r>
            <w:r>
              <w:t xml:space="preserve"> </w:t>
            </w:r>
            <w:r>
              <w:t xml:space="preserve">term triggers scope-of-practice enforcement in restrictive states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Utah-style enforcement expands to additional states; cease-and-desist letters to unlicensed practitioners</w:t>
            </w:r>
          </w:p>
        </w:tc>
        <w:tc>
          <w:tcPr/>
          <w:p>
            <w:pPr>
              <w:pStyle w:val="Compact"/>
              <w:jc w:val="left"/>
            </w:pPr>
            <w:r>
              <w:t xml:space="preserve">Credential verification system flags practitioners without underlying mental health license; terms of service define platform as technology provider, not clinical entity</w:t>
            </w:r>
            <w:r>
              <w:t xml:space="preserve"> </w:t>
            </w:r>
            <w:fldSimple w:instr="NOTEREF _Ref_Footnote_310 \h \f">
              <w:r>
                <w:rPr>
                  <w:vertAlign w:val="superscript"/>
                </w:rPr>
                <w:t>310</w:t>
              </w:r>
            </w:fldSimple>
          </w:p>
        </w:tc>
      </w:tr>
      <w:tr>
        <w:tc>
          <w:tcPr/>
          <w:p>
            <w:pPr>
              <w:pStyle w:val="Compact"/>
              <w:jc w:val="left"/>
            </w:pPr>
            <w:r>
              <w:rPr>
                <w:bCs/>
                <w:b/>
              </w:rPr>
              <w:t xml:space="preserve">Market</w:t>
            </w:r>
          </w:p>
        </w:tc>
        <w:tc>
          <w:tcPr/>
          <w:p>
            <w:pPr>
              <w:pStyle w:val="Compact"/>
              <w:jc w:val="left"/>
            </w:pPr>
            <w:r>
              <w:t xml:space="preserve">Generalist platforms (Headway, Alma) add somatic features, eroding differentiation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Headway hires somatic therapy liaisons; Alma adds</w:t>
            </w:r>
            <w:r>
              <w:t xml:space="preserve"> </w:t>
            </w:r>
            <w:r>
              <w:t xml:space="preserve">“</w:t>
            </w:r>
            <w:r>
              <w:t xml:space="preserve">movement-based</w:t>
            </w:r>
            <w:r>
              <w:t xml:space="preserve">”</w:t>
            </w:r>
            <w:r>
              <w:t xml:space="preserve"> </w:t>
            </w:r>
            <w:r>
              <w:t xml:space="preserve">filters; SimplePractice releases body-based note templates</w:t>
            </w:r>
          </w:p>
        </w:tc>
        <w:tc>
          <w:tcPr/>
          <w:p>
            <w:pPr>
              <w:pStyle w:val="Compact"/>
              <w:jc w:val="left"/>
            </w:pPr>
            <w:r>
              <w:t xml:space="preserve">Maintain 6-month technical lead on full-body video; deepen modality-specific integrations that generalists cannot replicate; build data moats through HRV/movement tracking</w:t>
            </w:r>
          </w:p>
        </w:tc>
      </w:tr>
      <w:tr>
        <w:tc>
          <w:tcPr/>
          <w:p>
            <w:pPr>
              <w:pStyle w:val="Compact"/>
              <w:jc w:val="left"/>
            </w:pPr>
            <w:r>
              <w:rPr>
                <w:bCs/>
                <w:b/>
              </w:rPr>
              <w:t xml:space="preserve">Market</w:t>
            </w:r>
          </w:p>
        </w:tc>
        <w:tc>
          <w:tcPr/>
          <w:p>
            <w:pPr>
              <w:pStyle w:val="Compact"/>
              <w:jc w:val="left"/>
            </w:pPr>
            <w:r>
              <w:t xml:space="preserve">Economic downturn reduces discretionary health spending, compressing session volumes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Consumer confidence index declines &gt;15%; practitioner reporting of client no-shows increases &gt;25%</w:t>
            </w:r>
          </w:p>
        </w:tc>
        <w:tc>
          <w:tcPr/>
          <w:p>
            <w:pPr>
              <w:pStyle w:val="Compact"/>
              <w:jc w:val="left"/>
            </w:pPr>
            <w:r>
              <w:t xml:space="preserve">Accelerate insurance automation (makes therapy affordable during downturn); introduce group session offerings at lower per-client price points; offer practitioner payment relief programs</w:t>
            </w:r>
          </w:p>
        </w:tc>
      </w:tr>
      <w:tr>
        <w:tc>
          <w:tcPr/>
          <w:p>
            <w:pPr>
              <w:pStyle w:val="Compact"/>
              <w:jc w:val="left"/>
            </w:pPr>
            <w:r>
              <w:rPr>
                <w:bCs/>
                <w:b/>
              </w:rPr>
              <w:t xml:space="preserve">Market</w:t>
            </w:r>
          </w:p>
        </w:tc>
        <w:tc>
          <w:tcPr/>
          <w:p>
            <w:pPr>
              <w:pStyle w:val="Compact"/>
              <w:jc w:val="left"/>
            </w:pPr>
            <w:r>
              <w:t xml:space="preserve">Corporate wellness budget cuts reduce B2B pipeline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Enterprise RFP volume declines; sales cycle extends beyond 6 months; pilot programs convert at &lt;20%</w:t>
            </w:r>
          </w:p>
        </w:tc>
        <w:tc>
          <w:tcPr/>
          <w:p>
            <w:pPr>
              <w:pStyle w:val="Compact"/>
              <w:jc w:val="left"/>
            </w:pPr>
            <w:r>
              <w:t xml:space="preserve">Diversify revenue (SaaS + transaction fees are recession-resistant); target mid-market companies with shorter sales cycles; emphasize ROI data (Deloitte 470%) in all proposals</w:t>
            </w:r>
            <w:r>
              <w:t xml:space="preserve"> </w:t>
            </w:r>
            <w:fldSimple w:instr="NOTEREF _Ref_Footnote_211 \h \f">
              <w:r>
                <w:rPr>
                  <w:vertAlign w:val="superscript"/>
                </w:rPr>
                <w:t>211</w:t>
              </w:r>
            </w:fldSimple>
          </w:p>
        </w:tc>
      </w:tr>
      <w:tr>
        <w:tc>
          <w:tcPr/>
          <w:p>
            <w:pPr>
              <w:pStyle w:val="Compact"/>
              <w:jc w:val="left"/>
            </w:pPr>
            <w:r>
              <w:rPr>
                <w:bCs/>
                <w:b/>
              </w:rPr>
              <w:t xml:space="preserve">Execution</w:t>
            </w:r>
          </w:p>
        </w:tc>
        <w:tc>
          <w:tcPr/>
          <w:p>
            <w:pPr>
              <w:pStyle w:val="Compact"/>
              <w:jc w:val="left"/>
            </w:pPr>
            <w:r>
              <w:t xml:space="preserve">Two-sided marketplace chicken-and-egg: insufficient practitioners to attract clients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Client-to-practitioner ratio falls below 2:1; practitioner churn exceeds 15% monthly</w:t>
            </w:r>
          </w:p>
        </w:tc>
        <w:tc>
          <w:tcPr/>
          <w:p>
            <w:pPr>
              <w:pStyle w:val="Compact"/>
              <w:jc w:val="left"/>
            </w:pPr>
            <w:r>
              <w:t xml:space="preserve">Supply-side-first strategy: free directory + seed through training partnerships (SEI, ADTA, Embody Lab); practitioner incentives for early adoption (waived fees for 90 days) [^dim05^]</w:t>
            </w:r>
          </w:p>
        </w:tc>
      </w:tr>
      <w:tr>
        <w:tc>
          <w:tcPr/>
          <w:p>
            <w:pPr>
              <w:pStyle w:val="Compact"/>
              <w:jc w:val="left"/>
            </w:pPr>
            <w:r>
              <w:rPr>
                <w:bCs/>
                <w:b/>
              </w:rPr>
              <w:t xml:space="preserve">Execution</w:t>
            </w:r>
          </w:p>
        </w:tc>
        <w:tc>
          <w:tcPr/>
          <w:p>
            <w:pPr>
              <w:pStyle w:val="Compact"/>
              <w:jc w:val="left"/>
            </w:pPr>
            <w:r>
              <w:t xml:space="preserve">Practitioner acquisition speed determines client experience quality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Time-to-first-booking exceeds 30 days for new practitioners; NPS from practitioners falls below 40</w:t>
            </w:r>
          </w:p>
        </w:tc>
        <w:tc>
          <w:tcPr/>
          <w:p>
            <w:pPr>
              <w:pStyle w:val="Compact"/>
              <w:jc w:val="left"/>
            </w:pPr>
            <w:r>
              <w:t xml:space="preserve">Onboarding concierge for first 500 practitioners; pre-populated profile templates; automated client matching based on practitioner availability and specialty</w:t>
            </w:r>
          </w:p>
        </w:tc>
      </w:tr>
      <w:tr>
        <w:tc>
          <w:tcPr/>
          <w:p>
            <w:pPr>
              <w:pStyle w:val="Compact"/>
              <w:jc w:val="left"/>
            </w:pPr>
            <w:r>
              <w:rPr>
                <w:bCs/>
                <w:b/>
              </w:rPr>
              <w:t xml:space="preserve">Execution</w:t>
            </w:r>
          </w:p>
        </w:tc>
        <w:tc>
          <w:tcPr/>
          <w:p>
            <w:pPr>
              <w:pStyle w:val="Compact"/>
              <w:jc w:val="left"/>
            </w:pPr>
            <w:r>
              <w:t xml:space="preserve">Technology build cost overruns or timeline delays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Sprint velocity declines &gt;20% for 2+ sprints; scope creep on full-body video architecture</w:t>
            </w:r>
          </w:p>
        </w:tc>
        <w:tc>
          <w:tcPr/>
          <w:p>
            <w:pPr>
              <w:pStyle w:val="Compact"/>
              <w:jc w:val="left"/>
            </w:pPr>
            <w:r>
              <w:t xml:space="preserve">MVP scope discipline: directory + booking only for Phase 1; use proven WebRTC frameworks rather than custom video codec; fixed-price contracts for core modules</w:t>
            </w:r>
          </w:p>
        </w:tc>
      </w:tr>
      <w:tr>
        <w:tc>
          <w:tcPr/>
          <w:p>
            <w:pPr>
              <w:pStyle w:val="Compact"/>
              <w:jc w:val="left"/>
            </w:pPr>
            <w:r>
              <w:rPr>
                <w:bCs/>
                <w:b/>
              </w:rPr>
              <w:t xml:space="preserve">Evidence</w:t>
            </w:r>
          </w:p>
        </w:tc>
        <w:tc>
          <w:tcPr/>
          <w:p>
            <w:pPr>
              <w:pStyle w:val="Compact"/>
              <w:jc w:val="left"/>
            </w:pPr>
            <w:r>
              <w:t xml:space="preserve">VA/DoD guideline updates maintain</w:t>
            </w:r>
            <w:r>
              <w:t xml:space="preserve"> </w:t>
            </w:r>
            <w:r>
              <w:t xml:space="preserve">“</w:t>
            </w:r>
            <w:r>
              <w:t xml:space="preserve">insufficient evidence</w:t>
            </w:r>
            <w:r>
              <w:t xml:space="preserve">”</w:t>
            </w:r>
            <w:r>
              <w:t xml:space="preserve"> </w:t>
            </w:r>
            <w:r>
              <w:t xml:space="preserve">ratings, slowing institutional adoption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NCCIH funding announcements decline; major RCT results are null or mixed; NICE issues negative guideline</w:t>
            </w:r>
          </w:p>
        </w:tc>
        <w:tc>
          <w:tcPr/>
          <w:p>
            <w:pPr>
              <w:pStyle w:val="Compact"/>
              <w:jc w:val="left"/>
            </w:pPr>
            <w:r>
              <w:t xml:space="preserve">Platform-integrated outcome measurement produces real-world effectiveness data at scale; partner with academic institutions for registry studies; track publication pipeline of ongoing trials (Finnish adolescent DMT RCT, Indonesian SE RCT) [^dim02^]</w:t>
            </w:r>
          </w:p>
        </w:tc>
      </w:tr>
      <w:tr>
        <w:tc>
          <w:tcPr/>
          <w:p>
            <w:pPr>
              <w:pStyle w:val="Compact"/>
              <w:jc w:val="left"/>
            </w:pPr>
            <w:r>
              <w:rPr>
                <w:bCs/>
                <w:b/>
              </w:rPr>
              <w:t xml:space="preserve">Evidence</w:t>
            </w:r>
          </w:p>
        </w:tc>
        <w:tc>
          <w:tcPr/>
          <w:p>
            <w:pPr>
              <w:pStyle w:val="Compact"/>
              <w:jc w:val="left"/>
            </w:pPr>
            <w:r>
              <w:t xml:space="preserve">Negative high-profile study damages practitioner and consumer confidence</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Media coverage of somatic therapy criticism increases; practitioner reporting of client skepticism rises; directory search volume declines &gt;10%</w:t>
            </w:r>
          </w:p>
        </w:tc>
        <w:tc>
          <w:tcPr/>
          <w:p>
            <w:pPr>
              <w:pStyle w:val="Compact"/>
              <w:jc w:val="left"/>
            </w:pPr>
            <w:r>
              <w:t xml:space="preserve">Maintain balanced evidence claims (cite effect sizes with confidence intervals, not overstated conclusions); prepare rapid-response communications for negative findings; diversify clinical positioning beyond any single study</w:t>
            </w:r>
          </w:p>
        </w:tc>
      </w:tr>
    </w:tbl>
    <w:p>
      <w:pPr>
        <w:pStyle w:val="BodyText"/>
      </w:pPr>
      <w:r>
        <w:rPr>
          <w:iCs/>
          <w:i/>
        </w:rPr>
        <w:t xml:space="preserve">Table 7.1: Risk Assessment Matrix — Probability and impact are rated on a 5-point scale (Very Low, Low, Medium, High, Very High). Early warning indicators are observable metrics that trigger mitigation protocol activation.</w:t>
      </w:r>
    </w:p>
    <w:p>
      <w:pPr>
        <w:pStyle w:val="BodyText"/>
      </w:pPr>
      <w:r>
        <w:t xml:space="preserve">The matrix reveals three risks warranting proactive mitigation before launch. The two-sided marketplace chicken-and-egg problem carries the highest combined probability-impact score: without sufficient practitioners, clients cannot find matches; without clients, practitioners abandon the platform. Headway solved this by making the platform free for therapists and solving their single biggest pain point (insurance billing)</w:t>
      </w:r>
      <w:r>
        <w:t xml:space="preserve"> </w:t>
      </w:r>
      <w:fldSimple w:instr="NOTEREF _Ref_Footnote_8 \h \f">
        <w:r>
          <w:rPr>
            <w:vertAlign w:val="superscript"/>
          </w:rPr>
          <w:t>8</w:t>
        </w:r>
      </w:fldSimple>
      <w:r>
        <w:t xml:space="preserve">. The parallel strategy for somatic therapy: a free directory with modality-specific search solves the number one practitioner challenge (client acquisition</w:t>
      </w:r>
      <w:r>
        <w:t xml:space="preserve"> </w:t>
      </w:r>
      <w:fldSimple w:instr="NOTEREF _Ref_Footnote_115 \h \f">
        <w:r>
          <w:rPr>
            <w:vertAlign w:val="superscript"/>
          </w:rPr>
          <w:t>115</w:t>
        </w:r>
      </w:fldSimple>
      <w:r>
        <w:t xml:space="preserve">), while training partnerships with SEI, ADTA, and the Embody Lab provide a seeded supply base of newly certified practitioners who need clients immediately upon graduation.</w:t>
      </w:r>
    </w:p>
    <w:p>
      <w:pPr>
        <w:pStyle w:val="BodyText"/>
      </w:pPr>
      <w:r>
        <w:t xml:space="preserve">The regulatory risk cluster — interstate licensure, platform liability, and scope-of-practice enforcement — demands architectural attention from day one. Building jurisdiction-aware scheduling (matching clients only with practitioners licensed in their state), requiring underlying mental health licensure for directory inclusion, and structuring the platform as a technology provider rather than a clinical entity are foundational design decisions that become progressively harder to retrofit as scale increases</w:t>
      </w:r>
      <w:r>
        <w:t xml:space="preserve"> </w:t>
      </w:r>
      <w:fldSimple w:instr="NOTEREF _Ref_Footnote_310 \h \f">
        <w:r>
          <w:rPr>
            <w:vertAlign w:val="superscript"/>
          </w:rPr>
          <w:t>310</w:t>
        </w:r>
      </w:fldSimple>
      <w:r>
        <w:t xml:space="preserve">.</w:t>
      </w:r>
    </w:p>
    <w:p>
      <w:pPr>
        <w:pStyle w:val="BodyText"/>
      </w:pPr>
      <w:r>
        <w:t xml:space="preserve">The evidence risk, while lower in probability, carries asymmetric consequences. A single high-profile null result could undermine practitioner confidence and consumer trust. The mitigation is twofold: first, maintain scrupulously balanced evidence claims in all marketing and practitioner communications (cite Brom et al.’s</w:t>
      </w:r>
      <w:r>
        <w:t xml:space="preserve"> </w:t>
      </w:r>
      <m:oMath>
        <m:r>
          <m:t>d</m:t>
        </m:r>
        <m:r>
          <m:rPr>
            <m:sty m:val="p"/>
          </m:rPr>
          <m:t>=</m:t>
        </m:r>
        <m:r>
          <m:t>1.26</m:t>
        </m:r>
      </m:oMath>
      <w:r>
        <w:t xml:space="preserve"> </w:t>
      </w:r>
      <w:r>
        <w:t xml:space="preserve">with its confidence intervals and sample size, not as definitive proof</w:t>
      </w:r>
      <w:r>
        <w:t xml:space="preserve"> </w:t>
      </w:r>
      <w:fldSimple w:instr="NOTEREF _Ref_Footnote_12 \h \f">
        <w:r>
          <w:rPr>
            <w:vertAlign w:val="superscript"/>
          </w:rPr>
          <w:t>12</w:t>
        </w:r>
      </w:fldSimple>
      <w:r>
        <w:t xml:space="preserve">); second, the platform’s integrated outcome tracking — pre/post session HRV, validated psychological scales, movement quality metrics — generates proprietary real-world effectiveness data that supplements the academic trial literature and provides a buffer against individual study outcomes [^dim11^].</w:t>
      </w:r>
    </w:p>
    <w:p>
      <w:pPr>
        <w:pStyle w:val="BodyText"/>
      </w:pPr>
      <w:r>
        <w:t xml:space="preserve">The strategic posture that emerges from this risk assessment is defensive-aggressive: aggressively build the practitioner supply base and technical differentiators while defensively architect regulatory compliance and evidence communication from day one. The $4.01 billion market growing at 17% annually</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 the absence of any integrated competitor [^dim08^], and the convergence of generational demand (Gen Z</w:t>
      </w:r>
      <w:r>
        <w:t xml:space="preserve"> </w:t>
      </w:r>
      <w:r>
        <w:t xml:space="preserve">“</w:t>
      </w:r>
      <w:r>
        <w:t xml:space="preserve">somatic turn</w:t>
      </w:r>
      <w:r>
        <w:t xml:space="preserve">”</w:t>
      </w:r>
      <w:r>
        <w:t xml:space="preserve"> </w:t>
      </w:r>
      <w:fldSimple w:instr="NOTEREF _Ref_Footnote_36 \h \f">
        <w:r>
          <w:rPr>
            <w:vertAlign w:val="superscript"/>
          </w:rPr>
          <w:t>36</w:t>
        </w:r>
      </w:fldSimple>
      <w:r>
        <w:t xml:space="preserve">), corporate wellness expansion (Deloitte 470% ROI</w:t>
      </w:r>
      <w:r>
        <w:t xml:space="preserve"> </w:t>
      </w:r>
      <w:fldSimple w:instr="NOTEREF _Ref_Footnote_211 \h \f">
        <w:r>
          <w:rPr>
            <w:vertAlign w:val="superscript"/>
          </w:rPr>
          <w:t>211</w:t>
        </w:r>
      </w:fldSimple>
      <w:r>
        <w:t xml:space="preserve">), and clinical evidence maturation (HRV biomarker studies</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create a window of opportunity that is structurally time-limited. The first platform to achieve meaningful practitioner density with insurance enablement and body-specific technology will likely own the category — network effects, data moats, and switching costs make late entry progressively more difficult.</w:t>
      </w:r>
    </w:p>
    <w:p>
      <w:r>
        <w:pict>
          <v:rect style="width:0;height:1.5pt" o:hralign="center" o:hrstd="t" o:hr="t"/>
        </w:pict>
      </w:r>
    </w:p>
    <w:bookmarkEnd w:id="173"/>
    <w:bookmarkEnd w:id="174"/>
    <w:bookmarkEnd w:id="1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Coherent Market Insights. https://www.coherentmarketinsights.com/industry-reports/somatic-therapy-market</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Prophecy Market Insights. https://www.prophecymarketinsights.com/market_insight/somatic-therapy-market-6065</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BioSpace. https://www.biospace.com/press-releases/somatic-therapy-market-to-reach-usd-12-40-billion-by-2032-at-17-5-cagr-coherent-market-insights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PR Newswire. https://www.prnewswire.com/news-releases/the-global-wellness-economy-hits-a-record-6-8-trillion-and-is-forecast-to-reach-9-8-trillion-by-2029--302615214.html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Global Wellness Institute. https://globalwellnessinstitute.org/press-room/statistics-and-facts/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2034. https://www.datainsightsreports.com/reports/somatic-therapy-market-5668</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The Indian Express. https://indianexpress.com/article/lifestyle/clients-say-when-theyre-anxious-first-instinct-is-to-look-online-inside-the-rise-of-nervous-system-regulation-on-instagram-10218608/</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Sacra. https://sacra.com/c/headway/</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creativeartstherapysource.com. https://creativeartstherapysource.com/what-to-expect-during-your-dance-movement-therapy-session/</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THE EMBODY LAB. https://www.theembodylab.com/join-us-masterclasses</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heallist.com. https://www.heallist.com/</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ReachLink Online Therapy. https://reachlink.com/advice/therapy/dance-movement-therapy-how-your-body-processes-what-words-cannot/</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mysite-1 EN. https://www.talshafir.com/research</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thewolfandthewildthing.com. https://thewolfandthewildthing.com/blogs-about-somatic-therapy-trauma-healing/2025/12/31/what-happens-in-a-somatic-therapy-session</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nih.gov. https://pmc.ncbi.nlm.nih.gov/articles/PMC5393408/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kinections.com. http://www.kinections.com/schedule-of-courses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PubMed. https://pubmed.ncbi.nlm.nih.gov/41043594/</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apjcriweb.org. http://apjcriweb.org/content/vol11no5/37.pdf</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Enlighten: Publications. https://eprints.gla.ac.uk/350302/2/350302.pdf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nih.gov. https://pmc.ncbi.nlm.nih.gov/articles/PMC12836407/</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nih.gov. https://pmc.ncbi.nlm.nih.gov/articles/PMC10022677/</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nih.gov. https://pmc.ncbi.nlm.nih.gov/articles/PMC12981235/</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nih.gov. https://pmc.ncbi.nlm.nih.gov/articles/PMC6710484/</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WorkSafeBC. https://www.worksafebc.com/resources/health-care-providers/guides/dance-movement-therapy-treatment-ptsd?lang=en&amp;direct</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ResearchGate. https://www.researchgate.net/publication/358209990_Dance_Therapy_Today_An_Overview_of_the_Profession_and_Its_Practice_Around_the_World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ReachLink Online Therapy. https://reachlink.com/advice/therapy/online-therapy-vs-in-person/</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ABPP – American Board of Professional Psychology. https://abpp.org/newsletter-post/perils-and-advances-in-online-therapy/</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AC Health. https://ac-health.com/telehealth-physical-therapy-exercises-expert-guidance-and-plans/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nih.gov. https://pmc.ncbi.nlm.nih.gov/articles/PMC12940220/</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htfmarketintelligence.com. https://www.htfmarketintelligence.com/report/global-somatic-therapy-market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Annie Wright, LMFT. https://anniewright.com/somatic-therapy-vs-talk-therapy-trauma/</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joinreframeapp.com. https://www.joinreframeapp.com/articles/will-insurance-pay-somatic-therapy-2025-coverage-workarounds</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sandiegotherapy.com. https://www.sandiegotherapy.com/somatic-therapy-session-guide-for-beginner/</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nih.gov. https://pmc.ncbi.nlm.nih.gov/articles/PMC3877781/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Beaming Health. https://beaminghealth.com/article/therapy-statistics-you-need-to-know</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Taproot Therapy. https://gettherapybirmingham.com/the-metamorphosis-of-the-therapeutic-hour-why-generation-z-demands-a-new-psychology/</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christinaennabe.com. https://www.christinaennabe.com/somatic-therapy</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heallist.com. https://www.heallist.com/holistic-practitioner-software</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IMARC. https://www.imarcgroup.com/corporate-wellness-market</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Precedence Research. https://www.precedenceresearch.com/corporate-wellness-market</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Grand View Research. https://www.grandviewresearch.com/industry-analysis/corporate-wellness-market</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WorkTime. https://www.worktime.com/blog/statistics/employee-burnout-statistics-trends-in-the-workplace</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wellhub.com. https://wellhub.com/en-us/blog/wellness-and-benefits-programs/work-related-stress-in-the-united-states/</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Kyan Health. https://www.kyanhealth.com/post/eap-vs-digital-mental-health-platforms-1</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Sonder. https://sonder.io/resources/blog/average-eap-utilisation-rates/</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nih.gov. https://pmc.ncbi.nlm.nih.gov/articles/PMC8966177/</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texau.com. https://www.texau.com/profiles/headway</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American Dance Therapy Association. https://www.adta.org/r-dmt-application</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GlobeNewswire. https://www.globenewswire.com/news-release/2025/02/14/3026632/28124/en/corporate-wellness-market-forecasts-report-2024-2030.html</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iahip.org. https://iahip.org/page-1076081</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nih.gov. https://pmc.ncbi.nlm.nih.gov/articles/PMC8276649/</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thehealingcircle.co.in. https://thehealingcircle.co.in/se-training/</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American Dance Therapy Association. https://www.adta.org/dmtcb</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joinreframeapp.com. https://www.joinreframeapp.com/articles/somatic-therapy-cost-los-angeles-2025-insurance-sliding-scale</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Research Nester. https://www.researchnester.com/reports/online-therapy-services-market/8494</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Frontiers. https://www.frontiersin.org/journals/psychology/articles/10.3389/fpsyg.2025.1516144/full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Janina Fisher. https://janinafisher.com/wp-content/uploads/2023/03/trauma.pdf</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neuroaffectivetouch.com. https://neuroaffectivetouch.com/</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crestsprogram.com. https://www.crestsprogram.com/post/it-s-time-to-dance-diving-into-dance-movement-therapy</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OER Home Page. https://grants.nih.gov/grants/guide/pa-files/PAR-25-274.html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clinicalevents.org. https://clinicalevents.org/top-trauma-ce-trainings-and-certifications-for-therapists-in-2025/</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livingstreamsttc.com. https://www.livingstreamsttc.com/somatic-experiencing-professional-training/</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Preprints. https://www.preprints.org/manuscript/202512.1093</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syzygydanceproject.org. https://www.syzygydanceproject.org/post/conscious-dance-glossary-and-terminology</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brooklynsomatictherapy.com. https://www.brooklynsomatictherapy.com/fees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American Dance Therapy Association. https://www.adta.org/assets/docs/DMT-with-Eating-Disorders.pdf</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Sensorimotor Psychotherapy Institute. https://sensorimotorpsychotherapy.org/body-centered-healing-for-trauma/</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Psychology Today. https://www.psychologytoday.com/us/blog/talking-about-trauma/201309/sensorimotor-psychotherapy-somatic-path-treat-trauma</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compasshealingproject.com. https://www.compasshealingproject.com/post/what-does-a-somatic-therapy-session-look-like</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nih.gov. https://pmc.ncbi.nlm.nih.gov/articles/PMC12882306/</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Verywell Mind. https://www.verywellmind.com/what-is-hakomi-therapy-5217674</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GoodTherapy. https://www.goodtherapy.org/learn-about-therapy/types/hakomi</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plos.org. https://journals.plos.org/plosone/article?id=10.1371/journal.pone.0336956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GlobeNewswire. https://www.globenewswire.com/news-release/2025/04/23/3066627/0/en/complementary-and-alternative-medicine-market-size-worth-usd-1-282-70-bn-by-2034.html</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Meridian University. https://meridianuniversity.edu/content/somatic-trauma-therapy-working-with-the-bodys-memory</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starinstitute.us. https://starinstitute.us/the-biodynamic-craniosacral-therapy-foundation-training/</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Organic Intelligence. https://organicintelligence.org/oi-coach-certification/</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thehealingcircle.co.in. https://thehealingcircle.co.in/bodynamics-training/</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bodynamic.com. https://www.bodynamic.com/training/practitioner/practitioner-online-2027-2029/</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American Dance Therapy Association. https://www.adta.org/alternate-route-training</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Biodynamic Craniosacral Therapy Association. https://www.craniosacraltherapy.org/heritage-evolution</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American Dance Therapy Association. https://www.adta.org/bc-dmt-application</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Organic Intelligence. https://organicintelligence.org/courses/end-of-trauma-course-2/</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neuroaffectivetouch.com. https://neuroaffectivetouch.com/natouch-training/study-group-with-aline-lapiere/</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The Dancing Fern. https://www.dancing-fern.com/blog/bridging-the-two-disciplines-of-yoga-amp-dancemovement-therapy</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American Dance Therapy Association. https://www.adta.org/become-a-dance-movement-therapist</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American Dance Therapy Association. https://www.adta.org/approved-masters-programs</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naropa.edu. https://www.naropa.edu/programs/graduate-academics/clinical-mental-health-counseling/somatic-counseling-dance-movement/</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Wildflower. https://www.wildflowerllc.com/somatic-therapy-101-a-conversation-with-the-body/</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nih.gov. https://pmc.ncbi.nlm.nih.gov/articles/PMC8344790/</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Nova Science Publishers. https://www.novapublishers.com/wp-content/uploads/2019/03/Movement-based-Strategies-for-Emotion-Regulation.pdf</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nih.gov. https://pmc.ncbi.nlm.nih.gov/articles/PMC7192458/</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American Dance Therapy Association. https://adta.memberclicks.net/assets/DMTCB/2025/RDMT%20Handbook%20with%20page%20numbers%20%2812-11-2025%29%20%28002%29.pdf</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Psychiatry Online. https://psychiatryonline.org/doi/10.1176/appi.ajp.20230950</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towardshealthcare.com. https://www.towardshealthcare.com/insights/us-behavioral-health-market</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Embodied Psychotherapy. https://www.embodiedpsychotherapy.com/resources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Padua Thesis and Dissertation Archive. https://thesis.unipd.it/retrieve/e517e3ae-7238-4910-90ee-74e5dcba0e2c/Ufak_Buse.pdf</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Embodied Philosophy. https://enroll.embodiedphilosophy.com/neuroaffective-list</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nih.gov. https://pmc.ncbi.nlm.nih.gov/articles/PMC7868595/</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knowewell.com. https://www.knowewell.com/written-content/5rhythms-dance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5Rhythms. https://www.5rhythms.com/wp-content/uploads/5Rhythms-Waves-Application-Checklist1.pdf</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wikipedia.org. https://en.wikipedia.org/wiki/Authentic_Movement</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ScienceDirect. https://www.sciencedirect.com/science/article/abs/pii/S0197455615300228</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BMCA. https://www.bmcassociation.org/bmc</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kestenbergmovementprofile.org. https://kestenbergmovementprofile.org/certified-kmp-analysts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thebreathablebody.com. https://thebreathablebody.com/continuum/</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resourcingyourlife.org. https://www.resourcingyourlife.org/continuum/</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PositivePsychology.com. https://positivepsychology.com/somatic-experiencing/</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GoodTherapy. https://www.goodtherapy.org/learn-about-therapy/types/authentic-movement</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nih.gov. https://pmc.ncbi.nlm.nih.gov/articles/PMC12302812/</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Grand View Research. https://www.grandviewresearch.com/horizon/outlook/complementary-and-alternative-medicine-for-anti-aging-longevity-market/uk</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Coherent Market Insights. https://www.coherentmarketinsights.com/industry-reports/complementary-and-alternative-medicine-market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Happy Me Somatic Therapy. https://www.happymesomatictherapy.com/post/the-benefits-of-virtual-somatic-experiencing-sessions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i-jmr.org. https://www.i-jmr.org/2025/1/e46441</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reconnectcenter.com. https://www.reconnectcenter.com/therapies/somatic/</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nih.gov. https://pmc.ncbi.nlm.nih.gov/articles/PMC8436030/</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lisamanca.com. https://www.lisamanca.com/dance-therapy</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katie-bellamy.com. https://www.katie-bellamy.com/blog/transformative-holistic-therapy-understanding-somatic-amp-dancemovement-therapy</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International Trauma Professionals Association. https://iptrauma.org/docs/evidence-based-trauma-therapies-and-models/polyvagal-theory-informed-therapies/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International Trauma Professionals Association. https://iptrauma.org/docs/evidence-based-trauma-therapies-and-models/trauma-sensitive-yoga-tsy-trauma-informed-yoga/</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Spirit Somatic Guide to Integrating Cultural Experiences Toward Freedom by Dr. Roger Kuhn. https://www.clayresessoms.com/post/origins-of-trauma-sensitive-yoga</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Taproot Therapy. https://gettherapybirmingham.com/pat-ogden-pioneer-of-sensorimotor-psychotherapy-and-the-somatic-revolution-in-trauma-treatment/</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PubMed. https://pubmed.ncbi.nlm.nih.gov/32419670/</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Journal of Korean Medical Science. https://jkms.org/DOIx.php?id=10.3346/jkms.2025.40.e279</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Sensorimotor Psychotherapy Institute. https://sensorimotorpsychotherapy.org/wp-content/uploads/2020/10/A-Pilot-RCT-of-A-Body-Oriented-Group-Therapy-For-Complex-Trauma-Survivors-An-Adaptation-of-Sensorimotor-Psychotherapy.pdf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nih.gov. https://pmc.ncbi.nlm.nih.gov/articles/PMC10235635/</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nih.gov. https://pmc.ncbi.nlm.nih.gov/articles/PMC8458738/</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PubMed. https://pubmed.ncbi.nlm.nih.gov/34566712/</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openEQUELLA. https://radar.brookes.ac.uk/radar/file/9e94163d-40c8-4705-9d9a-439fe6d254ac/1/Conscious%20dance%20-%202021%20-%20Laird%20Vergeer%20Hennelly%20Siddarth.pdf</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PubMed. https://pubmed.ncbi.nlm.nih.gov/34260998/</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PubMed. https://pubmed.ncbi.nlm.nih.gov/31481910/</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https://kinections.squarespace.com/s/Corfu-2025.pdf</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nih.gov. https://pmc.ncbi.nlm.nih.gov/articles/PMC7434972/</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American Dance Therapy Association. https://adta.memberclicks.net/assets/DMTCB/2024%20R-DMT%20Alternate%20Route%20Instructional%20Guide.pdf</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Melanie Lane Reese, LMFT. https://melanielanereese.com/integrating-emdr-brainspotting-ifs-somatic-therapy-workshop/</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emberpsychotherapycollective.com. https://www.emberpsychotherapycollective.com/blog/integrative-trauma-therapy-combining-emdr-ifs-and-somatic-approaches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nih.gov. https://pmc.ncbi.nlm.nih.gov/articles/PMC4316402/</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Polarity Dynamics. https://www.polarity.se/dbFile/8689/u-41ca</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Sunrise Counseling Services. https://www.sunrisecounselingservices.org/blog/what-happens-in-your-first-somatic-therapy-session-a-simple-guide</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nih.gov. https://pmc.ncbi.nlm.nih.gov/articles/PMC5483482/</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nih.gov. https://pmc.ncbi.nlm.nih.gov/articles/PMC11637559/</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nih.gov. https://pmc.ncbi.nlm.nih.gov/articles/PMC5518443/</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Springer. https://link.springer.com/article/10.1186/s40337-020-00296-2</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nih.gov. https://pmc.ncbi.nlm.nih.gov/articles/PMC6086130/</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PubMed. https://pubmed.ncbi.nlm.nih.gov/39807650/</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nih.gov. https://pmc.ncbi.nlm.nih.gov/articles/PMC12809926/</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nih.gov. https://pmc.ncbi.nlm.nih.gov/articles/PMC5489867/</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Lippincott NursingCenter. https://www.nursingcenter.com/getattachment/clinical-resources/Guideline-Summaries/posttraumatic-stress-disorder/Guideline-Summary_Posttraumatic-Stress-Disorder_August-2024.pdf.aspx</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acpjournals.org. https://www.acpjournals.org/doi/10.7326/M23-2757</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VA/DoD Clinical Practice Guidelines. https://www.healthquality.va.gov/HEALTHQUALITY/guidelines/MH/ptsd/VA-DoD-CPG-PTSD-Full-CPG-Edited-111624-V5-81825.pdf</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nih.gov. https://pmc.ncbi.nlm.nih.gov/articles/PMC12721538/</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PubMed. https://pubmed.ncbi.nlm.nih.gov/36201761/</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MDPI. https://www.mdpi.com/1648-9144/60/5/686</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American Dance Therapy Association. https://www.adta.org/assets/ADTA%20Standards%20of%20Education%20and%20Training_11.2024.pdf</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dmtac.org. https://www.dmtac.org/north-america</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Drexel University. https://catalog.drexel.edu/graduate/collegeofnursingandhealthprofessions/dancemovementtherapyandcounseling/</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Drexel University. https://drexel.edu/cnhp/academics/graduate/MA-Dance-Movement-Therapy-Counseling/</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Embodied Education Institute of Chicago. https://embodiededucationinstituteofchicago.com/what-is-the-alternate-route-dmt/</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Embodied Education Institute of Chicago. https://embodiededucationinstituteofchicago.com/programs/therapeutic-dance-certificate/</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Les Grands Ballets Canadiens. https://grandsballets.com/en/national-centre-for-dance-therapy/alternate-route/</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American Dance Therapy Association. https://adta.memberclicks.net/assets/DMTCB/2025/ApplicationDocs/RDMT%20Handbook.pdf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Careers in Psychology. https://careersinpsychology.org/dance-movement-therapist-careers/</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inspiredhealingtherapy.com. https://www.inspiredhealingtherapy.com/fees</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Financial Models Lab. https://financialmodelslab.com/blogs/profitability/dance-movement-therapy?srsltid=AfmBOootIT8WBmgInEaL_obTj5MkCfyEGp6tJGtKVmm1LQelFcQdE4r2</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Center For Mindful Psychotherapy. https://mindfulcenter.org/dance-movement-therapy/</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drexel.edu. https://researchdiscovery.drexel.edu/view/pdfCoverPage?instCode=01DRXU_INST&amp;filePid=13321548110004721&amp;download=true</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Annie Wright, LMFT. https://anniewright.com/grounding-techniques-trauma-12-tools-actually-work/</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PTSD UK. https://www.ptsduk.org/the-window-of-tolerance-and-ptsd/</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日本ダンス･セラピー協会. http://jadta.org/wp-content/uploads/2017/07/Kamonohashi-DMT-MODULE-FOR-TRAFFICKING-SURVIVORS.pdf</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MDPI. https://www.mdpi.com/2076-328X/14/1/43</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Nature. https://www.nature.com/nature-index/topics/l4/dance-movement-therapy-for-autism-spectrum-disorders</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ScienceDirect. https://www.sciencedirect.com/science/article/pii/S019745562500053X</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nih.gov. https://pmc.ncbi.nlm.nih.gov/articles/PMC11466867/</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Frontiers. https://www.frontiersin.org/journals/psychology/articles/10.3389/fpsyg.2021.588418/full</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Johns Hopkins Medicine. https://www.hopkinsmedicine.org/office-of-well-being/connection-support/somatic-self-care</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nih.gov. https://pmc.ncbi.nlm.nih.gov/articles/PMC7212562/</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Psychology Tools. https://www.psychologytools.com/professional/techniques/grounding</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inspiredhealingtherapy.com. https://www.inspiredhealingtherapy.com/blog/tag/movement+therapy+for+trauma+survivors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spiritualarts.org.uk. https://www.spiritualarts.org.uk/integrating-dance-movement-therapy-with-other-modalities-art-therapy-yoga-talk-therapy-and-more/</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healthline.com. https://www.healthline.com/health/dance-movement-therapy-dmt-benefits-and-barriers</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bodymindcentering.com. https://www.bodymindcentering.com/programs/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nih.gov. https://pmc.ncbi.nlm.nih.gov/articles/PMC12180557/</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American Dance Therapy Association. https://www.adta.org/adta-56-on-demand-presentations--1-25---1-5-ces</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American Dance Therapy Association. https://www.adta.org/assets/DMTCB/Code-of-the-ADTA-DMTCB-Final.pdf</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dtaa.org.au. https://dtaa.org.au/wp-content/uploads/DTAA-Code-of-Ethics-V3-October-2024.pdf</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drexel.edu. https://researchdiscovery.drexel.edu/view/pdfCoverPage?instCode=01DRXU_INST&amp;filePid=13438781080004721&amp;download=true</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nih.gov. https://pmc.ncbi.nlm.nih.gov/articles/PMC10176596/</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drexel.edu. https://researchdiscovery.drexel.edu/view/pdfCoverPage?instCode=01DRXU_INST&amp;filePid=13438781170004721&amp;download=true</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hakomicalgary.com. https://hakomicalgary.com/articles-and-research</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kinections.com. http://www.kinections.com/</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kinections.com. http://www.kinections.com/faculty</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youtube.com. https://www.youtube.com/watch?v=a9uudFLSoP8</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American Dance Therapy Association. https://www.adta.org/adta-56-international-panel</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reportsandinsights.com. https://www.reportsandinsights.com/report/somatic-therapy-market</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Financial Models Lab. https://financialmodelslab.com/blogs/how-to-open/dance-movement-therapy?srsltid=AfmBOop6thHyJ96HIV_e9Fe2hDvA_2WhEhnOBj2azZanP6IrWkMIKhlt</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openPR.com. https://www.openpr.com/news/4101314/somatic-therapy-market-rising-as-trauma-recovery-mental-health</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Ergos Institute, inc™. https://www.somaticexperiencing.com/se-international-ergos</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Dataintelo. https://dataintelo.com/report/employee-assistance-programs-market</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Hakomi Institute. https://hakomiinstitute.com/about/what-is-hakomi/</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Sensorimotor Psychotherapy Institute. https://sensorimotorpsychotherapy.org/therapist-directory/</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yahoo.com. https://finance.yahoo.com/sectors/healthcare/articles/u-behavioral-health-market-size-140000513.html</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American Dance Therapy Association. https://adta.memberclicks.net/approval-for-graduate-programs</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htfmarketinsights.com. https://www.htfmarketinsights.com/report/4381792-bodyoriented-psychotherapy-market</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IMARC. https://www.imarcgroup.com/uk-alternative-medicines-market</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Grand View Research. https://www.grandviewresearch.com/industry-analysis/complementary-alternative-medicine-market</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Market Data Forecast. https://www.marketdataforecast.com/market-reports/asia-pacific-corporate-wellness-market</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openPR.com. https://www.openpr.com/news/4068283/somatic-therapy-market-set-to-grow-as-mental-health-focus</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EBSCO. https://www.ebsco.com/research-starters/complementary-and-alternative-medicine/dance-movement-therapy</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Red Beard Somatic Therapy. https://www.redbeardsomatictherapy.com/post/remarkable-polyvagal-based-interventions-that-help-you-heal-from-long-covid</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timesnownews.com. https://www.timesnownews.com/health/regulate-your-nervous-system-is-the-new-gen-z-trend-but-what-does-it-even-mean-article-153513144</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Work.Life. https://work.life/blog/workplace-wellbeing-programs-470-percent-roi-returns/</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Forbes. https://www.forbes.com/sites/jimpurcell/2019/10/28/case-study-sap-shows-how-employee-wellbeing-boosts-the-bottom-line/</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Based Therapy: How Time Outdoors Improves Mental Health. https://www.lexieglisson.com/why-gen-z-needs-different-therapy:-understanding-mental-health-in-the-digital-age</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SimplePractice. https://www.simplepractice.com/blog/eco-anxiety-supporting-clients-through-climate-distress/</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katetwigg.com. https://www.katetwigg.com/blog/neurofit</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Bureau of Health Workforce. https://bhw.hrsa.gov/sites/default/files/bureau-health-workforce/data-research/Behavioral-Health-Workforce-Brief-2025.pdf</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nih.gov. https://pmc.ncbi.nlm.nih.gov/articles/PMC10334851/</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nih.gov. https://pmc.ncbi.nlm.nih.gov/articles/PMC12410240/</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grantforbusiness.org. https://www.grantforbusiness.org/opportunity/nccih-multisite-feasibility-clinical-trials-of-mind-and-body-interventions-r01-clinical-trial-required/90336</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Business of Apps. https://www.businessofapps.com/data/wellness-app-market/</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metatechinsights.com. https://www.metatechinsights.com/industry-insights/somatic-therapy-market-3227</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TherapyDen. https://www.therapyden.com/specialties/somatic-therapy-body-centered</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Choosing Therapy. https://www.choosingtherapy.com/my-experience-using-the-therapyden-directory/</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SEI Practitioner Directory. https://directory.traumahealing.org/practitioners-listing/</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Hakomi Institute. https://hakomiinstitute.com/find-a-practitioner/practitioner-directory/</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The Embody Lab. https://theembodylab.com/pages/therapist-directory</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The Embody Lab. https://learn.theembodylab.com/professional-education</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BetterHelp. https://www.betterhelp.com/advice/psychology/betterhelp-counseling-quality-online-therapy/</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Talkspace. https://www.talkspace.com/online-therapy/somatic-therapy/</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SimplePractice. https://support.simplepractice.com/hc/en-us/articles/360001196372-Getting-started-with-telehealth</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CAMFT. https://www.camft.org/Resources/Teletherapy-Good-Enough-Therapy-for-a-Crisis</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SimplePractice. https://www.simplepractice.com/blog/what-is-somatic-experiencing/</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Stress Less Therapist. https://www.stresslesstherapist.com/alma/</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Alma. https://helloalma.com/blog/best-private-practice-platform-for-therapists/</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Fierce Healthcare. https://www.fiercehealthcare.com/health-tech/headway-banks-100m-series-d-round-eyes-expansion-medicare-advantage-and-medicaid</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productmint. https://productmint.com/how-does-headway-make-money/</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Spring Health. https://www.springhealth.com/blog/is-online-therapy-eligible-for-hsa-fsa</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Ergos Institute, inc™. https://www.somaticexperiencing.com/se-master-classes-public-programs/somatic-emdr-therapy-certificate-2025</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The Embody Lab. https://theembodylab.com/</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PESI. https://www.pesi.com/sales/bh_c_002284_somatictherapyforattachmenttrauma_organic-1680159?srsltid=AfmBOoqBvMGQejXecZaLz7x_t6VFzZlRXXWEKLajD8Uag1wFP2ePMkgw</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PESI. https://www.pesi.com/topics/somatic-therapy/?srsltid=AfmBOoq1rx0jvwoIJtUiXj9sHgcFpTSLudLzkFuFjhfAtEQTaby5Zu1i</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Yelp. https://www.yelp.com/biz/center-for-somatic-psychotherapy-san-francisco</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mccancemethod.com. https://mccancemethod.com/the-riches-are-in-the-niches-how-niche-therapy-packages-can-help-you-stand-out/</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Florida Today. https://www.floridatoday.com/story/news/local/2025/12/01/can-high-tech-smart-rings-and-ai-headbands-improve-our-mental-health-oura-ring-apollo-neuro-muse/87510348007/</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The Washington Post. https://www.washingtonpost.com/lifestyle/2021/05/11/stress-relief-technology-wearables-covid/</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reflectiveapp.com. https://www.reflectiveapp.com/</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heallist.com. https://www.heallist.com/resources/blog/top-crm-systems-for-holistic-practitioners-in-2025</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yukon-news.com. https://smb.yukon-news.com/article/NEUROFIT-Launches-Apple-Watch-App-to-Revolutionize-Stress-and-Burnout-Prevention?storyId=67d8c07f4151140008f2683a</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soulsomatictherapy.com. https://www.soulsomatictherapy.com/</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PRWeb. https://www.prweb.com/releases/heallist-launches-all-in-one-platform-to-book-3-000-holistic-services-across-200-modalities-worldwide-302477285.html</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BetterHelp. https://www.betterhelp.com/advice/therapy/teletherapy-its-advantages-how-it-can-treat-mental-health/</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NEUROFIT. https://neurofit.app/</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heallist.com. https://www.heallist.com/pricing</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Starter Story. https://www.starterstory.com/stories/neurofit-app-nervous-system-reset-somatic-exercises-app</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businessmodelcanvastemplate.com. https://businessmodelcanvastemplate.com/blogs/competitors/headway-competitive-landscape</w:t>
      </w:r>
      <w:bookmarkEnd w:id="10255"/>
    </w:p>
  </w:footnote>
  <w:footnote w:id="256">
    <w:p>
      <w:pPr>
        <w:pStyle w:val="FootnoteText"/>
        <w:spacing w:before="0" w:after="0" w:line="200" w:lineRule="exact"/>
      </w:pPr>
      <w:bookmarkStart w:id="10256" w:name="_Ref_Footnote_256"/>
      <w:r>
        <w:rPr>
          <w:rStyle w:val="FootnoteReference"/>
          <w:vertAlign w:val="superscript"/>
        </w:rPr>
        <w:footnoteRef/>
      </w:r>
      <w:r>
        <w:rPr>
          <w:sz w:val="18"/>
          <w:szCs w:val="18"/>
        </w:rPr>
        <w:t xml:space="preserve"> SimiTree. https://simitreehc.com/simitree-blog/7-essential-steps-to-master-insurance-panel-credentialing-for-behavioral-health-professionals/</w:t>
      </w:r>
      <w:bookmarkEnd w:id="10256"/>
    </w:p>
  </w:footnote>
  <w:footnote w:id="257">
    <w:p>
      <w:pPr>
        <w:pStyle w:val="FootnoteText"/>
        <w:spacing w:before="0" w:after="0" w:line="200" w:lineRule="exact"/>
      </w:pPr>
      <w:bookmarkStart w:id="10257" w:name="_Ref_Footnote_257"/>
      <w:r>
        <w:rPr>
          <w:rStyle w:val="FootnoteReference"/>
          <w:vertAlign w:val="superscript"/>
        </w:rPr>
        <w:footnoteRef/>
      </w:r>
      <w:r>
        <w:rPr>
          <w:sz w:val="18"/>
          <w:szCs w:val="18"/>
        </w:rPr>
        <w:t xml:space="preserve"> Square. https://squareup.com/us/en/the-bottom-line/operating-your-business/healthcare-payment-systems</w:t>
      </w:r>
      <w:bookmarkEnd w:id="10257"/>
    </w:p>
  </w:footnote>
  <w:footnote w:id="258">
    <w:p>
      <w:pPr>
        <w:pStyle w:val="FootnoteText"/>
        <w:spacing w:before="0" w:after="0" w:line="200" w:lineRule="exact"/>
      </w:pPr>
      <w:bookmarkStart w:id="10258" w:name="_Ref_Footnote_258"/>
      <w:r>
        <w:rPr>
          <w:rStyle w:val="FootnoteReference"/>
          <w:vertAlign w:val="superscript"/>
        </w:rPr>
        <w:footnoteRef/>
      </w:r>
      <w:r>
        <w:rPr>
          <w:sz w:val="18"/>
          <w:szCs w:val="18"/>
        </w:rPr>
        <w:t xml:space="preserve"> enfintechnologies.com. https://www.enfintechnologies.com/custom-webrtc-solutions-healthcare-telemedicine/</w:t>
      </w:r>
      <w:bookmarkEnd w:id="10258"/>
    </w:p>
  </w:footnote>
  <w:footnote w:id="259">
    <w:p>
      <w:pPr>
        <w:pStyle w:val="FootnoteText"/>
        <w:spacing w:before="0" w:after="0" w:line="200" w:lineRule="exact"/>
      </w:pPr>
      <w:bookmarkStart w:id="10259" w:name="_Ref_Footnote_259"/>
      <w:r>
        <w:rPr>
          <w:rStyle w:val="FootnoteReference"/>
          <w:vertAlign w:val="superscript"/>
        </w:rPr>
        <w:footnoteRef/>
      </w:r>
      <w:r>
        <w:rPr>
          <w:sz w:val="18"/>
          <w:szCs w:val="18"/>
        </w:rPr>
        <w:t xml:space="preserve"> Prophecy Market Insights. https://www.prophecymarketinsights.com/PressRelease/somatic-therapy-market-3757</w:t>
      </w:r>
      <w:bookmarkEnd w:id="10259"/>
    </w:p>
  </w:footnote>
  <w:footnote w:id="260">
    <w:p>
      <w:pPr>
        <w:pStyle w:val="FootnoteText"/>
        <w:spacing w:before="0" w:after="0" w:line="200" w:lineRule="exact"/>
      </w:pPr>
      <w:bookmarkStart w:id="10260" w:name="_Ref_Footnote_260"/>
      <w:r>
        <w:rPr>
          <w:rStyle w:val="FootnoteReference"/>
          <w:vertAlign w:val="superscript"/>
        </w:rPr>
        <w:footnoteRef/>
      </w:r>
      <w:r>
        <w:rPr>
          <w:sz w:val="18"/>
          <w:szCs w:val="18"/>
        </w:rPr>
        <w:t xml:space="preserve"> TherapieSEO. https://www.therapieseo.com/blog/how-do-i-find-my-niche-as-a-therapist</w:t>
      </w:r>
      <w:bookmarkEnd w:id="10260"/>
    </w:p>
  </w:footnote>
  <w:footnote w:id="261">
    <w:p>
      <w:pPr>
        <w:pStyle w:val="FootnoteText"/>
        <w:spacing w:before="0" w:after="0" w:line="200" w:lineRule="exact"/>
      </w:pPr>
      <w:bookmarkStart w:id="10261" w:name="_Ref_Footnote_261"/>
      <w:r>
        <w:rPr>
          <w:rStyle w:val="FootnoteReference"/>
          <w:vertAlign w:val="superscript"/>
        </w:rPr>
        <w:footnoteRef/>
      </w:r>
      <w:r>
        <w:rPr>
          <w:sz w:val="18"/>
          <w:szCs w:val="18"/>
        </w:rPr>
        <w:t xml:space="preserve"> drexel.edu. https://researchdiscovery.drexel.edu/view/pdfCoverPage?instCode=01DRXU_INST&amp;filePid=13438779490004721&amp;download=true</w:t>
      </w:r>
      <w:bookmarkEnd w:id="10261"/>
    </w:p>
  </w:footnote>
  <w:footnote w:id="262">
    <w:p>
      <w:pPr>
        <w:pStyle w:val="FootnoteText"/>
        <w:spacing w:before="0" w:after="0" w:line="200" w:lineRule="exact"/>
      </w:pPr>
      <w:bookmarkStart w:id="10262" w:name="_Ref_Footnote_262"/>
      <w:r>
        <w:rPr>
          <w:rStyle w:val="FootnoteReference"/>
          <w:vertAlign w:val="superscript"/>
        </w:rPr>
        <w:footnoteRef/>
      </w:r>
      <w:r>
        <w:rPr>
          <w:sz w:val="18"/>
          <w:szCs w:val="18"/>
        </w:rPr>
        <w:t xml:space="preserve"> nih.gov. https://pmc.ncbi.nlm.nih.gov/articles/PMC6659390/</w:t>
      </w:r>
      <w:bookmarkEnd w:id="10262"/>
    </w:p>
  </w:footnote>
  <w:footnote w:id="263">
    <w:p>
      <w:pPr>
        <w:pStyle w:val="FootnoteText"/>
        <w:spacing w:before="0" w:after="0" w:line="200" w:lineRule="exact"/>
      </w:pPr>
      <w:bookmarkStart w:id="10263" w:name="_Ref_Footnote_263"/>
      <w:r>
        <w:rPr>
          <w:rStyle w:val="FootnoteReference"/>
          <w:vertAlign w:val="superscript"/>
        </w:rPr>
        <w:footnoteRef/>
      </w:r>
      <w:r>
        <w:rPr>
          <w:sz w:val="18"/>
          <w:szCs w:val="18"/>
        </w:rPr>
        <w:t xml:space="preserve"> Reframe Practice. https://reframepractice.com/guides/therapy-practice-costs</w:t>
      </w:r>
      <w:bookmarkEnd w:id="10263"/>
    </w:p>
  </w:footnote>
  <w:footnote w:id="264">
    <w:p>
      <w:pPr>
        <w:pStyle w:val="FootnoteText"/>
        <w:spacing w:before="0" w:after="0" w:line="200" w:lineRule="exact"/>
      </w:pPr>
      <w:bookmarkStart w:id="10264" w:name="_Ref_Footnote_264"/>
      <w:r>
        <w:rPr>
          <w:rStyle w:val="FootnoteReference"/>
          <w:vertAlign w:val="superscript"/>
        </w:rPr>
        <w:footnoteRef/>
      </w:r>
      <w:r>
        <w:rPr>
          <w:sz w:val="18"/>
          <w:szCs w:val="18"/>
        </w:rPr>
        <w:t xml:space="preserve"> Thrizer. https://www.thrizer.com/post/best-billing-software-for-therapists-out-of-network</w:t>
      </w:r>
      <w:bookmarkEnd w:id="10264"/>
    </w:p>
  </w:footnote>
  <w:footnote w:id="265">
    <w:p>
      <w:pPr>
        <w:pStyle w:val="FootnoteText"/>
        <w:spacing w:before="0" w:after="0" w:line="200" w:lineRule="exact"/>
      </w:pPr>
      <w:bookmarkStart w:id="10265" w:name="_Ref_Footnote_265"/>
      <w:r>
        <w:rPr>
          <w:rStyle w:val="FootnoteReference"/>
          <w:vertAlign w:val="superscript"/>
        </w:rPr>
        <w:footnoteRef/>
      </w:r>
      <w:r>
        <w:rPr>
          <w:sz w:val="18"/>
          <w:szCs w:val="18"/>
        </w:rPr>
        <w:t xml:space="preserve"> wordpress.com. https://integrativemarketingagency.files.wordpress.com/2011/08/marketing-plan.pdf</w:t>
      </w:r>
      <w:bookmarkEnd w:id="10265"/>
    </w:p>
  </w:footnote>
  <w:footnote w:id="266">
    <w:p>
      <w:pPr>
        <w:pStyle w:val="FootnoteText"/>
        <w:spacing w:before="0" w:after="0" w:line="200" w:lineRule="exact"/>
      </w:pPr>
      <w:bookmarkStart w:id="10266" w:name="_Ref_Footnote_266"/>
      <w:r>
        <w:rPr>
          <w:rStyle w:val="FootnoteReference"/>
          <w:vertAlign w:val="superscript"/>
        </w:rPr>
        <w:footnoteRef/>
      </w:r>
      <w:r>
        <w:rPr>
          <w:sz w:val="18"/>
          <w:szCs w:val="18"/>
        </w:rPr>
        <w:t xml:space="preserve"> Strong Roots Web Design. https://strongrootswebdesign.com/how-to-choose-your-therapy-niche-and-get-more-clients/</w:t>
      </w:r>
      <w:bookmarkEnd w:id="10266"/>
    </w:p>
  </w:footnote>
  <w:footnote w:id="267">
    <w:p>
      <w:pPr>
        <w:pStyle w:val="FootnoteText"/>
        <w:spacing w:before="0" w:after="0" w:line="200" w:lineRule="exact"/>
      </w:pPr>
      <w:bookmarkStart w:id="10267" w:name="_Ref_Footnote_267"/>
      <w:r>
        <w:rPr>
          <w:rStyle w:val="FootnoteReference"/>
          <w:vertAlign w:val="superscript"/>
        </w:rPr>
        <w:footnoteRef/>
      </w:r>
      <w:r>
        <w:rPr>
          <w:sz w:val="18"/>
          <w:szCs w:val="18"/>
        </w:rPr>
        <w:t xml:space="preserve"> youtube.com. https://www.youtube.com/watch?v=bHHBZvgZh0k</w:t>
      </w:r>
      <w:bookmarkEnd w:id="10267"/>
    </w:p>
  </w:footnote>
  <w:footnote w:id="268">
    <w:p>
      <w:pPr>
        <w:pStyle w:val="FootnoteText"/>
        <w:spacing w:before="0" w:after="0" w:line="200" w:lineRule="exact"/>
      </w:pPr>
      <w:bookmarkStart w:id="10268" w:name="_Ref_Footnote_268"/>
      <w:r>
        <w:rPr>
          <w:rStyle w:val="FootnoteReference"/>
          <w:vertAlign w:val="superscript"/>
        </w:rPr>
        <w:footnoteRef/>
      </w:r>
      <w:r>
        <w:rPr>
          <w:sz w:val="18"/>
          <w:szCs w:val="18"/>
        </w:rPr>
        <w:t xml:space="preserve"> Practice of the Practice. https://practiceofthepractice.com/why-therapists-struggle-with-marketing-with-carrie-wiita-pop-1279/</w:t>
      </w:r>
      <w:bookmarkEnd w:id="10268"/>
    </w:p>
  </w:footnote>
  <w:footnote w:id="269">
    <w:p>
      <w:pPr>
        <w:pStyle w:val="FootnoteText"/>
        <w:spacing w:before="0" w:after="0" w:line="200" w:lineRule="exact"/>
      </w:pPr>
      <w:bookmarkStart w:id="10269" w:name="_Ref_Footnote_269"/>
      <w:r>
        <w:rPr>
          <w:rStyle w:val="FootnoteReference"/>
          <w:vertAlign w:val="superscript"/>
        </w:rPr>
        <w:footnoteRef/>
      </w:r>
      <w:r>
        <w:rPr>
          <w:sz w:val="18"/>
          <w:szCs w:val="18"/>
        </w:rPr>
        <w:t xml:space="preserve"> kairoscounselings.org. https://www.kairoscounselings.org/blog/marketing-with-ease-how-somatic-awareness-can-transform-your-private-practice</w:t>
      </w:r>
      <w:bookmarkEnd w:id="10269"/>
    </w:p>
  </w:footnote>
  <w:footnote w:id="270">
    <w:p>
      <w:pPr>
        <w:pStyle w:val="FootnoteText"/>
        <w:spacing w:before="0" w:after="0" w:line="200" w:lineRule="exact"/>
      </w:pPr>
      <w:bookmarkStart w:id="10270" w:name="_Ref_Footnote_270"/>
      <w:r>
        <w:rPr>
          <w:rStyle w:val="FootnoteReference"/>
          <w:vertAlign w:val="superscript"/>
        </w:rPr>
        <w:footnoteRef/>
      </w:r>
      <w:r>
        <w:rPr>
          <w:sz w:val="18"/>
          <w:szCs w:val="18"/>
        </w:rPr>
        <w:t xml:space="preserve"> mind money balance. https://www.mindmoneybalance.com/podcast1/jane-travis-private-practice-niche</w:t>
      </w:r>
      <w:bookmarkEnd w:id="10270"/>
    </w:p>
  </w:footnote>
  <w:footnote w:id="271">
    <w:p>
      <w:pPr>
        <w:pStyle w:val="FootnoteText"/>
        <w:spacing w:before="0" w:after="0" w:line="200" w:lineRule="exact"/>
      </w:pPr>
      <w:bookmarkStart w:id="10271" w:name="_Ref_Footnote_271"/>
      <w:r>
        <w:rPr>
          <w:rStyle w:val="FootnoteReference"/>
          <w:vertAlign w:val="superscript"/>
        </w:rPr>
        <w:footnoteRef/>
      </w:r>
      <w:r>
        <w:rPr>
          <w:sz w:val="18"/>
          <w:szCs w:val="18"/>
        </w:rPr>
        <w:t xml:space="preserve"> Reframe Practice. https://reframepractice.com/guides/how-clients-find-therapists</w:t>
      </w:r>
      <w:bookmarkEnd w:id="10271"/>
    </w:p>
  </w:footnote>
  <w:footnote w:id="272">
    <w:p>
      <w:pPr>
        <w:pStyle w:val="FootnoteText"/>
        <w:spacing w:before="0" w:after="0" w:line="200" w:lineRule="exact"/>
      </w:pPr>
      <w:bookmarkStart w:id="10272" w:name="_Ref_Footnote_272"/>
      <w:r>
        <w:rPr>
          <w:rStyle w:val="FootnoteReference"/>
          <w:vertAlign w:val="superscript"/>
        </w:rPr>
        <w:footnoteRef/>
      </w:r>
      <w:r>
        <w:rPr>
          <w:sz w:val="18"/>
          <w:szCs w:val="18"/>
        </w:rPr>
        <w:t xml:space="preserve"> Consciously Awesome. https://consciouslyawesome.com/somatic-breathwork-for-corporate-wellness/</w:t>
      </w:r>
      <w:bookmarkEnd w:id="10272"/>
    </w:p>
  </w:footnote>
  <w:footnote w:id="273">
    <w:p>
      <w:pPr>
        <w:pStyle w:val="FootnoteText"/>
        <w:spacing w:before="0" w:after="0" w:line="200" w:lineRule="exact"/>
      </w:pPr>
      <w:bookmarkStart w:id="10273" w:name="_Ref_Footnote_273"/>
      <w:r>
        <w:rPr>
          <w:rStyle w:val="FootnoteReference"/>
          <w:vertAlign w:val="superscript"/>
        </w:rPr>
        <w:footnoteRef/>
      </w:r>
      <w:r>
        <w:rPr>
          <w:sz w:val="18"/>
          <w:szCs w:val="18"/>
        </w:rPr>
        <w:t xml:space="preserve"> CoralEHR. https://www.coralehr.com/blog/ehr-cost-comparison-therapists-2026/</w:t>
      </w:r>
      <w:bookmarkEnd w:id="10273"/>
    </w:p>
  </w:footnote>
  <w:footnote w:id="274">
    <w:p>
      <w:pPr>
        <w:pStyle w:val="FootnoteText"/>
        <w:spacing w:before="0" w:after="0" w:line="200" w:lineRule="exact"/>
      </w:pPr>
      <w:bookmarkStart w:id="10274" w:name="_Ref_Footnote_274"/>
      <w:r>
        <w:rPr>
          <w:rStyle w:val="FootnoteReference"/>
          <w:vertAlign w:val="superscript"/>
        </w:rPr>
        <w:footnoteRef/>
      </w:r>
      <w:r>
        <w:rPr>
          <w:sz w:val="18"/>
          <w:szCs w:val="18"/>
        </w:rPr>
        <w:t xml:space="preserve"> Practice Promotions. https://practicepromotions.net/get-more-pt-patients-top-10-pt-sites-that-get-patients-to-convert/</w:t>
      </w:r>
      <w:bookmarkEnd w:id="10274"/>
    </w:p>
  </w:footnote>
  <w:footnote w:id="275">
    <w:p>
      <w:pPr>
        <w:pStyle w:val="FootnoteText"/>
        <w:spacing w:before="0" w:after="0" w:line="200" w:lineRule="exact"/>
      </w:pPr>
      <w:bookmarkStart w:id="10275" w:name="_Ref_Footnote_275"/>
      <w:r>
        <w:rPr>
          <w:rStyle w:val="FootnoteReference"/>
          <w:vertAlign w:val="superscript"/>
        </w:rPr>
        <w:footnoteRef/>
      </w:r>
      <w:r>
        <w:rPr>
          <w:sz w:val="18"/>
          <w:szCs w:val="18"/>
        </w:rPr>
        <w:t xml:space="preserve"> Taddle Creek Family Health Team. https://taddlecreekfht.ca/wp-content/uploads/2024/07/AdultCouple-Therapy-Handout.pdf</w:t>
      </w:r>
      <w:bookmarkEnd w:id="10275"/>
    </w:p>
  </w:footnote>
  <w:footnote w:id="276">
    <w:p>
      <w:pPr>
        <w:pStyle w:val="FootnoteText"/>
        <w:spacing w:before="0" w:after="0" w:line="200" w:lineRule="exact"/>
      </w:pPr>
      <w:bookmarkStart w:id="10276" w:name="_Ref_Footnote_276"/>
      <w:r>
        <w:rPr>
          <w:rStyle w:val="FootnoteReference"/>
          <w:vertAlign w:val="superscript"/>
        </w:rPr>
        <w:footnoteRef/>
      </w:r>
      <w:r>
        <w:rPr>
          <w:sz w:val="18"/>
          <w:szCs w:val="18"/>
        </w:rPr>
        <w:t xml:space="preserve"> feedspot.com. https://podcast.feedspot.com/somatic_experiencing_podcasts/</w:t>
      </w:r>
      <w:bookmarkEnd w:id="10276"/>
    </w:p>
  </w:footnote>
  <w:footnote w:id="277">
    <w:p>
      <w:pPr>
        <w:pStyle w:val="FootnoteText"/>
        <w:spacing w:before="0" w:after="0" w:line="200" w:lineRule="exact"/>
      </w:pPr>
      <w:bookmarkStart w:id="10277" w:name="_Ref_Footnote_277"/>
      <w:r>
        <w:rPr>
          <w:rStyle w:val="FootnoteReference"/>
          <w:vertAlign w:val="superscript"/>
        </w:rPr>
        <w:footnoteRef/>
      </w:r>
      <w:r>
        <w:rPr>
          <w:sz w:val="18"/>
          <w:szCs w:val="18"/>
        </w:rPr>
        <w:t xml:space="preserve"> The Mind Body Spirit Network. https://directory.themindbodyspiritnetwork.com/online-courses/self-healing/the-healing-trauma-program-at-sounds-true/</w:t>
      </w:r>
      <w:bookmarkEnd w:id="10277"/>
    </w:p>
  </w:footnote>
  <w:footnote w:id="278">
    <w:p>
      <w:pPr>
        <w:pStyle w:val="FootnoteText"/>
        <w:spacing w:before="0" w:after="0" w:line="200" w:lineRule="exact"/>
      </w:pPr>
      <w:bookmarkStart w:id="10278" w:name="_Ref_Footnote_278"/>
      <w:r>
        <w:rPr>
          <w:rStyle w:val="FootnoteReference"/>
          <w:vertAlign w:val="superscript"/>
        </w:rPr>
        <w:footnoteRef/>
      </w:r>
      <w:r>
        <w:rPr>
          <w:sz w:val="18"/>
          <w:szCs w:val="18"/>
        </w:rPr>
        <w:t xml:space="preserve"> PIMSY. https://pimsyehr.com/superbill/</w:t>
      </w:r>
      <w:bookmarkEnd w:id="10278"/>
    </w:p>
  </w:footnote>
  <w:footnote w:id="279">
    <w:p>
      <w:pPr>
        <w:pStyle w:val="FootnoteText"/>
        <w:spacing w:before="0" w:after="0" w:line="200" w:lineRule="exact"/>
      </w:pPr>
      <w:bookmarkStart w:id="10279" w:name="_Ref_Footnote_279"/>
      <w:r>
        <w:rPr>
          <w:rStyle w:val="FootnoteReference"/>
          <w:vertAlign w:val="superscript"/>
        </w:rPr>
        <w:footnoteRef/>
      </w:r>
      <w:r>
        <w:rPr>
          <w:sz w:val="18"/>
          <w:szCs w:val="18"/>
        </w:rPr>
        <w:t xml:space="preserve"> therapypms.com. https://therapypms.com/superbills-for-therapy-guide/</w:t>
      </w:r>
      <w:bookmarkEnd w:id="10279"/>
    </w:p>
  </w:footnote>
  <w:footnote w:id="280">
    <w:p>
      <w:pPr>
        <w:pStyle w:val="FootnoteText"/>
        <w:spacing w:before="0" w:after="0" w:line="200" w:lineRule="exact"/>
      </w:pPr>
      <w:bookmarkStart w:id="10280" w:name="_Ref_Footnote_280"/>
      <w:r>
        <w:rPr>
          <w:rStyle w:val="FootnoteReference"/>
          <w:vertAlign w:val="superscript"/>
        </w:rPr>
        <w:footnoteRef/>
      </w:r>
      <w:r>
        <w:rPr>
          <w:sz w:val="18"/>
          <w:szCs w:val="18"/>
        </w:rPr>
        <w:t xml:space="preserve"> ICANotes. https://www.icanotes.com/2023/12/13/understanding-vicarious-trauma-compassion-fatigue-and-burnout-a-guide-for-mental-health-therapists/</w:t>
      </w:r>
      <w:bookmarkEnd w:id="10280"/>
    </w:p>
  </w:footnote>
  <w:footnote w:id="281">
    <w:p>
      <w:pPr>
        <w:pStyle w:val="FootnoteText"/>
        <w:spacing w:before="0" w:after="0" w:line="200" w:lineRule="exact"/>
      </w:pPr>
      <w:bookmarkStart w:id="10281" w:name="_Ref_Footnote_281"/>
      <w:r>
        <w:rPr>
          <w:rStyle w:val="FootnoteReference"/>
          <w:vertAlign w:val="superscript"/>
        </w:rPr>
        <w:footnoteRef/>
      </w:r>
      <w:r>
        <w:rPr>
          <w:sz w:val="18"/>
          <w:szCs w:val="18"/>
        </w:rPr>
        <w:t xml:space="preserve"> scholasticahq.com. https://jmsma.scholasticahq.com/article/92427-compassion-satisfaction-burnout-secondary-traumatic-stress-among-physical-therapists-and-physical-therapist-assistants-in-mississippi-a-cross-secti</w:t>
      </w:r>
      <w:bookmarkEnd w:id="10281"/>
    </w:p>
  </w:footnote>
  <w:footnote w:id="282">
    <w:p>
      <w:pPr>
        <w:pStyle w:val="FootnoteText"/>
        <w:spacing w:before="0" w:after="0" w:line="200" w:lineRule="exact"/>
      </w:pPr>
      <w:bookmarkStart w:id="10282" w:name="_Ref_Footnote_282"/>
      <w:r>
        <w:rPr>
          <w:rStyle w:val="FootnoteReference"/>
          <w:vertAlign w:val="superscript"/>
        </w:rPr>
        <w:footnoteRef/>
      </w:r>
      <w:r>
        <w:rPr>
          <w:sz w:val="18"/>
          <w:szCs w:val="18"/>
        </w:rPr>
        <w:t xml:space="preserve"> kopplamarketing.com. https://kopplamarketing.com/blog/get-clients-google-business-profile-therapists/</w:t>
      </w:r>
      <w:bookmarkEnd w:id="10282"/>
    </w:p>
  </w:footnote>
  <w:footnote w:id="283">
    <w:p>
      <w:pPr>
        <w:pStyle w:val="FootnoteText"/>
        <w:spacing w:before="0" w:after="0" w:line="200" w:lineRule="exact"/>
      </w:pPr>
      <w:bookmarkStart w:id="10283" w:name="_Ref_Footnote_283"/>
      <w:r>
        <w:rPr>
          <w:rStyle w:val="FootnoteReference"/>
          <w:vertAlign w:val="superscript"/>
        </w:rPr>
        <w:footnoteRef/>
      </w:r>
      <w:r>
        <w:rPr>
          <w:sz w:val="18"/>
          <w:szCs w:val="18"/>
        </w:rPr>
        <w:t xml:space="preserve"> mentalhealthmarketing.com. https://mentalhealthmarketing.com/tools-and-guides/google-business-profile/</w:t>
      </w:r>
      <w:bookmarkEnd w:id="10283"/>
    </w:p>
  </w:footnote>
  <w:footnote w:id="284">
    <w:p>
      <w:pPr>
        <w:pStyle w:val="FootnoteText"/>
        <w:spacing w:before="0" w:after="0" w:line="200" w:lineRule="exact"/>
      </w:pPr>
      <w:bookmarkStart w:id="10284" w:name="_Ref_Footnote_284"/>
      <w:r>
        <w:rPr>
          <w:rStyle w:val="FootnoteReference"/>
          <w:vertAlign w:val="superscript"/>
        </w:rPr>
        <w:footnoteRef/>
      </w:r>
      <w:r>
        <w:rPr>
          <w:sz w:val="18"/>
          <w:szCs w:val="18"/>
        </w:rPr>
        <w:t xml:space="preserve"> PhillyVoice. https://www.phillyvoice.com/somatic-therapy-depression-trauma-treatment-tiktok/</w:t>
      </w:r>
      <w:bookmarkEnd w:id="10284"/>
    </w:p>
  </w:footnote>
  <w:footnote w:id="285">
    <w:p>
      <w:pPr>
        <w:pStyle w:val="FootnoteText"/>
        <w:spacing w:before="0" w:after="0" w:line="200" w:lineRule="exact"/>
      </w:pPr>
      <w:bookmarkStart w:id="10285" w:name="_Ref_Footnote_285"/>
      <w:r>
        <w:rPr>
          <w:rStyle w:val="FootnoteReference"/>
          <w:vertAlign w:val="superscript"/>
        </w:rPr>
        <w:footnoteRef/>
      </w:r>
      <w:r>
        <w:rPr>
          <w:sz w:val="18"/>
          <w:szCs w:val="18"/>
        </w:rPr>
        <w:t xml:space="preserve"> Therapy Group of NYC. https://nyctherapy.com/therapists-nyc-blog/the-essential-guide-to-somatic-therapy-navigating-mind-body-healing/</w:t>
      </w:r>
      <w:bookmarkEnd w:id="10285"/>
    </w:p>
  </w:footnote>
  <w:footnote w:id="286">
    <w:p>
      <w:pPr>
        <w:pStyle w:val="FootnoteText"/>
        <w:spacing w:before="0" w:after="0" w:line="200" w:lineRule="exact"/>
      </w:pPr>
      <w:bookmarkStart w:id="10286" w:name="_Ref_Footnote_286"/>
      <w:r>
        <w:rPr>
          <w:rStyle w:val="FootnoteReference"/>
          <w:vertAlign w:val="superscript"/>
        </w:rPr>
        <w:footnoteRef/>
      </w:r>
      <w:r>
        <w:rPr>
          <w:sz w:val="18"/>
          <w:szCs w:val="18"/>
        </w:rPr>
        <w:t xml:space="preserve"> erikashershuntherapy.com. https://erikashershuntherapy.com/how-much-does-somatic-therapy-cost/</w:t>
      </w:r>
      <w:bookmarkEnd w:id="10286"/>
    </w:p>
  </w:footnote>
  <w:footnote w:id="287">
    <w:p>
      <w:pPr>
        <w:pStyle w:val="FootnoteText"/>
        <w:spacing w:before="0" w:after="0" w:line="200" w:lineRule="exact"/>
      </w:pPr>
      <w:bookmarkStart w:id="10287" w:name="_Ref_Footnote_287"/>
      <w:r>
        <w:rPr>
          <w:rStyle w:val="FootnoteReference"/>
          <w:vertAlign w:val="superscript"/>
        </w:rPr>
        <w:footnoteRef/>
      </w:r>
      <w:r>
        <w:rPr>
          <w:sz w:val="18"/>
          <w:szCs w:val="18"/>
        </w:rPr>
        <w:t xml:space="preserve"> heallist.com. https://www.heallist.com/resources/blog/why-your-holistic-business-needs-a-practice-management-platform</w:t>
      </w:r>
      <w:bookmarkEnd w:id="10287"/>
    </w:p>
  </w:footnote>
  <w:footnote w:id="288">
    <w:p>
      <w:pPr>
        <w:pStyle w:val="FootnoteText"/>
        <w:spacing w:before="0" w:after="0" w:line="200" w:lineRule="exact"/>
      </w:pPr>
      <w:bookmarkStart w:id="10288" w:name="_Ref_Footnote_288"/>
      <w:r>
        <w:rPr>
          <w:rStyle w:val="FootnoteReference"/>
          <w:vertAlign w:val="superscript"/>
        </w:rPr>
        <w:footnoteRef/>
      </w:r>
      <w:r>
        <w:rPr>
          <w:sz w:val="18"/>
          <w:szCs w:val="18"/>
        </w:rPr>
        <w:t xml:space="preserve"> Frontiers. https://www.frontiersin.org/journals/computer-science/articles/10.3389/fcomp.2024.1334027/full</w:t>
      </w:r>
      <w:bookmarkEnd w:id="10288"/>
    </w:p>
  </w:footnote>
  <w:footnote w:id="289">
    <w:p>
      <w:pPr>
        <w:pStyle w:val="FootnoteText"/>
        <w:spacing w:before="0" w:after="0" w:line="200" w:lineRule="exact"/>
      </w:pPr>
      <w:bookmarkStart w:id="10289" w:name="_Ref_Footnote_289"/>
      <w:r>
        <w:rPr>
          <w:rStyle w:val="FootnoteReference"/>
          <w:vertAlign w:val="superscript"/>
        </w:rPr>
        <w:footnoteRef/>
      </w:r>
      <w:r>
        <w:rPr>
          <w:sz w:val="18"/>
          <w:szCs w:val="18"/>
        </w:rPr>
        <w:t xml:space="preserve"> sofia-health.com. https://sofia-health.com/c/somatic-experiencing-therapy-cost/</w:t>
      </w:r>
      <w:bookmarkEnd w:id="10289"/>
    </w:p>
  </w:footnote>
  <w:footnote w:id="290">
    <w:p>
      <w:pPr>
        <w:pStyle w:val="FootnoteText"/>
        <w:spacing w:before="0" w:after="0" w:line="200" w:lineRule="exact"/>
      </w:pPr>
      <w:bookmarkStart w:id="10290" w:name="_Ref_Footnote_290"/>
      <w:r>
        <w:rPr>
          <w:rStyle w:val="FootnoteReference"/>
          <w:vertAlign w:val="superscript"/>
        </w:rPr>
        <w:footnoteRef/>
      </w:r>
      <w:r>
        <w:rPr>
          <w:sz w:val="18"/>
          <w:szCs w:val="18"/>
        </w:rPr>
        <w:t xml:space="preserve"> BreakThrough Counselling. https://btcounselling.com/btcounselling-com-preparing-for-somatic-therapy/</w:t>
      </w:r>
      <w:bookmarkEnd w:id="10290"/>
    </w:p>
  </w:footnote>
  <w:footnote w:id="291">
    <w:p>
      <w:pPr>
        <w:pStyle w:val="FootnoteText"/>
        <w:spacing w:before="0" w:after="0" w:line="200" w:lineRule="exact"/>
      </w:pPr>
      <w:bookmarkStart w:id="10291" w:name="_Ref_Footnote_291"/>
      <w:r>
        <w:rPr>
          <w:rStyle w:val="FootnoteReference"/>
          <w:vertAlign w:val="superscript"/>
        </w:rPr>
        <w:footnoteRef/>
      </w:r>
      <w:r>
        <w:rPr>
          <w:sz w:val="18"/>
          <w:szCs w:val="18"/>
        </w:rPr>
        <w:t xml:space="preserve"> somatictherapypartners.com. https://somatictherapypartners.com/first-somatic-therapy-session-8-key-insights/</w:t>
      </w:r>
      <w:bookmarkEnd w:id="10291"/>
    </w:p>
  </w:footnote>
  <w:footnote w:id="292">
    <w:p>
      <w:pPr>
        <w:pStyle w:val="FootnoteText"/>
        <w:spacing w:before="0" w:after="0" w:line="200" w:lineRule="exact"/>
      </w:pPr>
      <w:bookmarkStart w:id="10292" w:name="_Ref_Footnote_292"/>
      <w:r>
        <w:rPr>
          <w:rStyle w:val="FootnoteReference"/>
          <w:vertAlign w:val="superscript"/>
        </w:rPr>
        <w:footnoteRef/>
      </w:r>
      <w:r>
        <w:rPr>
          <w:sz w:val="18"/>
          <w:szCs w:val="18"/>
        </w:rPr>
        <w:t xml:space="preserve"> ICANotes. https://www.icanotes.com/2018/04/09/tips-for-improving-psychotherapy-patient-retention/</w:t>
      </w:r>
      <w:bookmarkEnd w:id="10292"/>
    </w:p>
  </w:footnote>
  <w:footnote w:id="293">
    <w:p>
      <w:pPr>
        <w:pStyle w:val="FootnoteText"/>
        <w:spacing w:before="0" w:after="0" w:line="200" w:lineRule="exact"/>
      </w:pPr>
      <w:bookmarkStart w:id="10293" w:name="_Ref_Footnote_293"/>
      <w:r>
        <w:rPr>
          <w:rStyle w:val="FootnoteReference"/>
          <w:vertAlign w:val="superscript"/>
        </w:rPr>
        <w:footnoteRef/>
      </w:r>
      <w:r>
        <w:rPr>
          <w:sz w:val="18"/>
          <w:szCs w:val="18"/>
        </w:rPr>
        <w:t xml:space="preserve"> jessinaff.com. https://www.jessinaff.com/licensure</w:t>
      </w:r>
      <w:bookmarkEnd w:id="10293"/>
    </w:p>
  </w:footnote>
  <w:footnote w:id="294">
    <w:p>
      <w:pPr>
        <w:pStyle w:val="FootnoteText"/>
        <w:spacing w:before="0" w:after="0" w:line="200" w:lineRule="exact"/>
      </w:pPr>
      <w:bookmarkStart w:id="10294" w:name="_Ref_Footnote_294"/>
      <w:r>
        <w:rPr>
          <w:rStyle w:val="FootnoteReference"/>
          <w:vertAlign w:val="superscript"/>
        </w:rPr>
        <w:footnoteRef/>
      </w:r>
      <w:r>
        <w:rPr>
          <w:sz w:val="18"/>
          <w:szCs w:val="18"/>
        </w:rPr>
        <w:t xml:space="preserve"> reddit.com. https://www.reddit.com/r/therapists/comments/y1nrs9/supervision_cost/</w:t>
      </w:r>
      <w:bookmarkEnd w:id="10294"/>
    </w:p>
  </w:footnote>
  <w:footnote w:id="295">
    <w:p>
      <w:pPr>
        <w:pStyle w:val="FootnoteText"/>
        <w:spacing w:before="0" w:after="0" w:line="200" w:lineRule="exact"/>
      </w:pPr>
      <w:bookmarkStart w:id="10295" w:name="_Ref_Footnote_295"/>
      <w:r>
        <w:rPr>
          <w:rStyle w:val="FootnoteReference"/>
          <w:vertAlign w:val="superscript"/>
        </w:rPr>
        <w:footnoteRef/>
      </w:r>
      <w:r>
        <w:rPr>
          <w:sz w:val="18"/>
          <w:szCs w:val="18"/>
        </w:rPr>
        <w:t xml:space="preserve"> SOMA Breath. https://www.somabreath.com/blog/become-a-somatic-therapist/</w:t>
      </w:r>
      <w:bookmarkEnd w:id="10295"/>
    </w:p>
  </w:footnote>
  <w:footnote w:id="296">
    <w:p>
      <w:pPr>
        <w:pStyle w:val="FootnoteText"/>
        <w:spacing w:before="0" w:after="0" w:line="200" w:lineRule="exact"/>
      </w:pPr>
      <w:bookmarkStart w:id="10296" w:name="_Ref_Footnote_296"/>
      <w:r>
        <w:rPr>
          <w:rStyle w:val="FootnoteReference"/>
          <w:vertAlign w:val="superscript"/>
        </w:rPr>
        <w:footnoteRef/>
      </w:r>
      <w:r>
        <w:rPr>
          <w:sz w:val="18"/>
          <w:szCs w:val="18"/>
        </w:rPr>
        <w:t xml:space="preserve"> meaningfulmarketing.org. https://meaningfulmarketing.org/complete-guide-marketing-for-therapists/</w:t>
      </w:r>
      <w:bookmarkEnd w:id="10296"/>
    </w:p>
  </w:footnote>
  <w:footnote w:id="297">
    <w:p>
      <w:pPr>
        <w:pStyle w:val="FootnoteText"/>
        <w:spacing w:before="0" w:after="0" w:line="200" w:lineRule="exact"/>
      </w:pPr>
      <w:bookmarkStart w:id="10297" w:name="_Ref_Footnote_297"/>
      <w:r>
        <w:rPr>
          <w:rStyle w:val="FootnoteReference"/>
          <w:vertAlign w:val="superscript"/>
        </w:rPr>
        <w:footnoteRef/>
      </w:r>
      <w:r>
        <w:rPr>
          <w:sz w:val="18"/>
          <w:szCs w:val="18"/>
        </w:rPr>
        <w:t xml:space="preserve"> psu.edu. https://www.continuum.militaryfamilies.psu.edu/program/3JLNod3Bg9wwcGvhP5in45</w:t>
      </w:r>
      <w:bookmarkEnd w:id="10297"/>
    </w:p>
  </w:footnote>
  <w:footnote w:id="298">
    <w:p>
      <w:pPr>
        <w:pStyle w:val="FootnoteText"/>
        <w:spacing w:before="0" w:after="0" w:line="200" w:lineRule="exact"/>
      </w:pPr>
      <w:bookmarkStart w:id="10298" w:name="_Ref_Footnote_298"/>
      <w:r>
        <w:rPr>
          <w:rStyle w:val="FootnoteReference"/>
          <w:vertAlign w:val="superscript"/>
        </w:rPr>
        <w:footnoteRef/>
      </w:r>
      <w:r>
        <w:rPr>
          <w:sz w:val="18"/>
          <w:szCs w:val="18"/>
        </w:rPr>
        <w:t xml:space="preserve"> Veterans Affairs. https://www.va.gov/STANDARDSOFPRACTICE/docs/NSP_FeedbackSummaryReport_DanceMovementTherapist_June2024_508.pdf</w:t>
      </w:r>
      <w:bookmarkEnd w:id="10298"/>
    </w:p>
  </w:footnote>
  <w:footnote w:id="299">
    <w:p>
      <w:pPr>
        <w:pStyle w:val="FootnoteText"/>
        <w:spacing w:before="0" w:after="0" w:line="200" w:lineRule="exact"/>
      </w:pPr>
      <w:bookmarkStart w:id="10299" w:name="_Ref_Footnote_299"/>
      <w:r>
        <w:rPr>
          <w:rStyle w:val="FootnoteReference"/>
          <w:vertAlign w:val="superscript"/>
        </w:rPr>
        <w:footnoteRef/>
      </w:r>
      <w:r>
        <w:rPr>
          <w:sz w:val="18"/>
          <w:szCs w:val="18"/>
        </w:rPr>
        <w:t xml:space="preserve"> Alma. https://helloalma.com/for-providers/resources/how-to-become-certified-trauma-therapist/</w:t>
      </w:r>
      <w:bookmarkEnd w:id="10299"/>
    </w:p>
  </w:footnote>
  <w:footnote w:id="300">
    <w:p>
      <w:pPr>
        <w:pStyle w:val="FootnoteText"/>
        <w:spacing w:before="0" w:after="0" w:line="200" w:lineRule="exact"/>
      </w:pPr>
      <w:bookmarkStart w:id="10300" w:name="_Ref_Footnote_300"/>
      <w:r>
        <w:rPr>
          <w:rStyle w:val="FootnoteReference"/>
          <w:vertAlign w:val="superscript"/>
        </w:rPr>
        <w:footnoteRef/>
      </w:r>
      <w:r>
        <w:rPr>
          <w:sz w:val="18"/>
          <w:szCs w:val="18"/>
        </w:rPr>
        <w:t xml:space="preserve"> License Trail. https://www.licensetrail.com/blog/transferring-clinical-hours-across-states</w:t>
      </w:r>
      <w:bookmarkEnd w:id="10300"/>
    </w:p>
  </w:footnote>
  <w:footnote w:id="301">
    <w:p>
      <w:pPr>
        <w:pStyle w:val="FootnoteText"/>
        <w:spacing w:before="0" w:after="0" w:line="200" w:lineRule="exact"/>
      </w:pPr>
      <w:bookmarkStart w:id="10301" w:name="_Ref_Footnote_301"/>
      <w:r>
        <w:rPr>
          <w:rStyle w:val="FootnoteReference"/>
          <w:vertAlign w:val="superscript"/>
        </w:rPr>
        <w:footnoteRef/>
      </w:r>
      <w:r>
        <w:rPr>
          <w:sz w:val="18"/>
          <w:szCs w:val="18"/>
        </w:rPr>
        <w:t xml:space="preserve"> coloradoapt.org. https://coloradoapt.org/images/downloads/APT_Documents/paper_on_touch_2019___final.pdf</w:t>
      </w:r>
      <w:bookmarkEnd w:id="10301"/>
    </w:p>
  </w:footnote>
  <w:footnote w:id="302">
    <w:p>
      <w:pPr>
        <w:pStyle w:val="FootnoteText"/>
        <w:spacing w:before="0" w:after="0" w:line="200" w:lineRule="exact"/>
      </w:pPr>
      <w:bookmarkStart w:id="10302" w:name="_Ref_Footnote_302"/>
      <w:r>
        <w:rPr>
          <w:rStyle w:val="FootnoteReference"/>
          <w:vertAlign w:val="superscript"/>
        </w:rPr>
        <w:footnoteRef/>
      </w:r>
      <w:r>
        <w:rPr>
          <w:sz w:val="18"/>
          <w:szCs w:val="18"/>
        </w:rPr>
        <w:t xml:space="preserve"> Dr. Ofer Zur. https://drzur.com/ethics-of-touch/</w:t>
      </w:r>
      <w:bookmarkEnd w:id="10302"/>
    </w:p>
  </w:footnote>
  <w:footnote w:id="303">
    <w:p>
      <w:pPr>
        <w:pStyle w:val="FootnoteText"/>
        <w:spacing w:before="0" w:after="0" w:line="200" w:lineRule="exact"/>
      </w:pPr>
      <w:bookmarkStart w:id="10303" w:name="_Ref_Footnote_303"/>
      <w:r>
        <w:rPr>
          <w:rStyle w:val="FootnoteReference"/>
          <w:vertAlign w:val="superscript"/>
        </w:rPr>
        <w:footnoteRef/>
      </w:r>
      <w:r>
        <w:rPr>
          <w:sz w:val="18"/>
          <w:szCs w:val="18"/>
        </w:rPr>
        <w:t xml:space="preserve"> Private Practice Marketing Coach for Counsellors and Therapists l Mel Lay. https://melanielaysolutions.com/2025/07/08/get-more-therapy-clients-with-ai/</w:t>
      </w:r>
      <w:bookmarkEnd w:id="10303"/>
    </w:p>
  </w:footnote>
  <w:footnote w:id="304">
    <w:p>
      <w:pPr>
        <w:pStyle w:val="FootnoteText"/>
        <w:spacing w:before="0" w:after="0" w:line="200" w:lineRule="exact"/>
      </w:pPr>
      <w:bookmarkStart w:id="10304" w:name="_Ref_Footnote_304"/>
      <w:r>
        <w:rPr>
          <w:rStyle w:val="FootnoteReference"/>
          <w:vertAlign w:val="superscript"/>
        </w:rPr>
        <w:footnoteRef/>
      </w:r>
      <w:r>
        <w:rPr>
          <w:sz w:val="18"/>
          <w:szCs w:val="18"/>
        </w:rPr>
        <w:t xml:space="preserve"> Athletech News. https://athletechnews.com/heallist-launches-holistic-wellness-marketplace-to-the-public/</w:t>
      </w:r>
      <w:bookmarkEnd w:id="10304"/>
    </w:p>
  </w:footnote>
  <w:footnote w:id="305">
    <w:p>
      <w:pPr>
        <w:pStyle w:val="FootnoteText"/>
        <w:spacing w:before="0" w:after="0" w:line="200" w:lineRule="exact"/>
      </w:pPr>
      <w:bookmarkStart w:id="10305" w:name="_Ref_Footnote_305"/>
      <w:r>
        <w:rPr>
          <w:rStyle w:val="FootnoteReference"/>
          <w:vertAlign w:val="superscript"/>
        </w:rPr>
        <w:footnoteRef/>
      </w:r>
      <w:r>
        <w:rPr>
          <w:sz w:val="18"/>
          <w:szCs w:val="18"/>
        </w:rPr>
        <w:t xml:space="preserve"> integrativehealthcarealliance.com. https://www.integrativehealthcarealliance.com/blog/comparing-somatic-and-talk-therapy-for-mental-health</w:t>
      </w:r>
      <w:bookmarkEnd w:id="10305"/>
    </w:p>
  </w:footnote>
  <w:footnote w:id="306">
    <w:p>
      <w:pPr>
        <w:pStyle w:val="FootnoteText"/>
        <w:spacing w:before="0" w:after="0" w:line="200" w:lineRule="exact"/>
      </w:pPr>
      <w:bookmarkStart w:id="10306" w:name="_Ref_Footnote_306"/>
      <w:r>
        <w:rPr>
          <w:rStyle w:val="FootnoteReference"/>
          <w:vertAlign w:val="superscript"/>
        </w:rPr>
        <w:footnoteRef/>
      </w:r>
      <w:r>
        <w:rPr>
          <w:sz w:val="18"/>
          <w:szCs w:val="18"/>
        </w:rPr>
        <w:t xml:space="preserve"> Paubox. https://hipaatimes.com/how-to-use-hipaa-compliant-email-marketing-for-patient-testimonials</w:t>
      </w:r>
      <w:bookmarkEnd w:id="10306"/>
    </w:p>
  </w:footnote>
  <w:footnote w:id="307">
    <w:p>
      <w:pPr>
        <w:pStyle w:val="FootnoteText"/>
        <w:spacing w:before="0" w:after="0" w:line="200" w:lineRule="exact"/>
      </w:pPr>
      <w:bookmarkStart w:id="10307" w:name="_Ref_Footnote_307"/>
      <w:r>
        <w:rPr>
          <w:rStyle w:val="FootnoteReference"/>
          <w:vertAlign w:val="superscript"/>
        </w:rPr>
        <w:footnoteRef/>
      </w:r>
      <w:r>
        <w:rPr>
          <w:sz w:val="18"/>
          <w:szCs w:val="18"/>
        </w:rPr>
        <w:t xml:space="preserve"> Somatic Experiencing® International. https://traumahealing.org/sei-membership-and-practitioner-directory-update/</w:t>
      </w:r>
      <w:bookmarkEnd w:id="10307"/>
    </w:p>
  </w:footnote>
  <w:footnote w:id="308">
    <w:p>
      <w:pPr>
        <w:pStyle w:val="FootnoteText"/>
        <w:spacing w:before="0" w:after="0" w:line="200" w:lineRule="exact"/>
      </w:pPr>
      <w:bookmarkStart w:id="10308" w:name="_Ref_Footnote_308"/>
      <w:r>
        <w:rPr>
          <w:rStyle w:val="FootnoteReference"/>
          <w:vertAlign w:val="superscript"/>
        </w:rPr>
        <w:footnoteRef/>
      </w:r>
      <w:r>
        <w:rPr>
          <w:sz w:val="18"/>
          <w:szCs w:val="18"/>
        </w:rPr>
        <w:t xml:space="preserve"> soma solidarity. https://www.somasolidarity.com/buy-a-somatic-executive-coaching-package</w:t>
      </w:r>
      <w:bookmarkEnd w:id="10308"/>
    </w:p>
  </w:footnote>
  <w:footnote w:id="309">
    <w:p>
      <w:pPr>
        <w:pStyle w:val="FootnoteText"/>
        <w:spacing w:before="0" w:after="0" w:line="200" w:lineRule="exact"/>
      </w:pPr>
      <w:bookmarkStart w:id="10309" w:name="_Ref_Footnote_309"/>
      <w:r>
        <w:rPr>
          <w:rStyle w:val="FootnoteReference"/>
          <w:vertAlign w:val="superscript"/>
        </w:rPr>
        <w:footnoteRef/>
      </w:r>
      <w:r>
        <w:rPr>
          <w:sz w:val="18"/>
          <w:szCs w:val="18"/>
        </w:rPr>
        <w:t xml:space="preserve"> Oliver Wyman. https://www.oliverwyman.com/our-expertise/perspectives/health/2025/april/3-keys-to-unlocking-value-in-an-evolving-eap-market.html</w:t>
      </w:r>
      <w:bookmarkEnd w:id="10309"/>
    </w:p>
  </w:footnote>
  <w:footnote w:id="310">
    <w:p>
      <w:pPr>
        <w:pStyle w:val="FootnoteText"/>
        <w:spacing w:before="0" w:after="0" w:line="200" w:lineRule="exact"/>
      </w:pPr>
      <w:bookmarkStart w:id="10310" w:name="_Ref_Footnote_310"/>
      <w:r>
        <w:rPr>
          <w:rStyle w:val="FootnoteReference"/>
          <w:vertAlign w:val="superscript"/>
        </w:rPr>
        <w:footnoteRef/>
      </w:r>
      <w:r>
        <w:rPr>
          <w:sz w:val="18"/>
          <w:szCs w:val="18"/>
        </w:rPr>
        <w:t xml:space="preserve"> saltcitysomatics.com. https://saltcitysomatics.com/what-is-somatic-therapy/</w:t>
      </w:r>
      <w:bookmarkEnd w:id="10310"/>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3" Target="media/rId23.png"/><Relationship Type="http://schemas.openxmlformats.org/officeDocument/2006/relationships/image" Id="rId32" Target="media/rId32.png"/><Relationship Type="http://schemas.openxmlformats.org/officeDocument/2006/relationships/image" Id="rId102" Target="media/rId102.png"/><Relationship Type="http://schemas.openxmlformats.org/officeDocument/2006/relationships/image" Id="rId114" Target="media/rId114.png"/><Relationship Type="http://schemas.openxmlformats.org/officeDocument/2006/relationships/image" Id="rId97" Target="media/rId97.png"/><Relationship Type="http://schemas.openxmlformats.org/officeDocument/2006/relationships/image" Id="rId109" Target="media/rId109.png"/><Relationship Type="http://schemas.openxmlformats.org/officeDocument/2006/relationships/image" Id="rId46" Target="media/rId46.png"/><Relationship Type="http://schemas.openxmlformats.org/officeDocument/2006/relationships/image" Id="rId51" Target="media/rId51.png"/><Relationship Type="http://schemas.openxmlformats.org/officeDocument/2006/relationships/image" Id="rId58" Target="media/rId58.png"/><Relationship Type="http://schemas.openxmlformats.org/officeDocument/2006/relationships/image" Id="rId74" Target="media/rId74.png"/><Relationship Type="http://schemas.openxmlformats.org/officeDocument/2006/relationships/image" Id="rId131" Target="media/rId131.png"/><Relationship Type="http://schemas.openxmlformats.org/officeDocument/2006/relationships/image" Id="rId146" Target="media/rId146.png"/><Relationship Type="http://schemas.openxmlformats.org/officeDocument/2006/relationships/image" Id="rId169" Target="media/rId169.png"/><Relationship Type="http://schemas.openxmlformats.org/officeDocument/2006/relationships/image" Id="rId158" Target="media/rId158.png"/><Relationship Type="http://schemas.openxmlformats.org/officeDocument/2006/relationships/image" Id="rId154" Target="media/rId154.png"/><Relationship Id="rId170"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2026-05-11T12:43:23Z</dcterms:created>
  <dcterms:modified xsi:type="dcterms:W3CDTF">2026-05-11T12:43:23Z</dcterms:modified>
</cp:coreProperties>
</file>

<file path=docProps/custom.xml><?xml version="1.0" encoding="utf-8"?>
<Properties xmlns="http://schemas.openxmlformats.org/officeDocument/2006/custom-properties" xmlns:vt="http://schemas.openxmlformats.org/officeDocument/2006/docPropsVTypes"/>
</file>