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80" w:line="283" w:lineRule="auto"/>
        <w:jc w:val="center"/>
      </w:pPr>
      <w:r>
        <w:rPr>
          <w:rFonts w:ascii="NanumGothicOTF" w:hAnsi="NanumGothicOTF" w:eastAsia="NanumGothicOTF"/>
          <w:b/>
          <w:color w:val="087B71"/>
          <w:sz w:val="22"/>
        </w:rPr>
        <w:t>2026 PoSID 우체국금융 혁신아이디어톤</w:t>
      </w:r>
    </w:p>
    <w:p>
      <w:pPr>
        <w:spacing w:before="0" w:after="200" w:line="259" w:lineRule="auto"/>
        <w:jc w:val="center"/>
      </w:pPr>
      <w:r>
        <w:rPr>
          <w:rFonts w:ascii="NanumGothicOTF" w:hAnsi="NanumGothicOTF" w:eastAsia="NanumGothicOTF"/>
          <w:b/>
          <w:color w:val="12336D"/>
          <w:sz w:val="54"/>
        </w:rPr>
        <w:t>받을 수 있는 혜택으로 찾는</w:t>
        <w:br/>
        <w:t>우체국 예금 맞춤 추천</w:t>
      </w:r>
    </w:p>
    <w:p>
      <w:pPr>
        <w:spacing w:before="0" w:after="400" w:line="312" w:lineRule="auto"/>
        <w:jc w:val="center"/>
      </w:pPr>
      <w:r>
        <w:rPr>
          <w:rFonts w:ascii="NanumGothicOTF" w:hAnsi="NanumGothicOTF" w:eastAsia="NanumGothicOTF"/>
          <w:b w:val="0"/>
          <w:color w:val="5B667A"/>
          <w:sz w:val="26"/>
        </w:rPr>
        <w:t>연령대가 아니라 고객별 실현 가능 금리·예상이자·지원자격으로</w:t>
        <w:br/>
        <w:t>전체 예금상품을 비교하는 설명 가능한 추천 서비스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</w:tcPr>
          <w:p>
            <w:pPr>
              <w:spacing w:before="0" w:after="40" w:line="269" w:lineRule="auto"/>
            </w:pPr>
            <w:r>
              <w:rPr>
                <w:rFonts w:ascii="NanumGothicOTF" w:hAnsi="NanumGothicOTF" w:eastAsia="NanumGothicOTF"/>
                <w:b/>
                <w:color w:val="087B71"/>
                <w:sz w:val="21"/>
              </w:rPr>
              <w:t>핵심 제안</w:t>
            </w:r>
          </w:p>
          <w:p>
            <w:pPr>
              <w:spacing w:before="0" w:after="0" w:line="283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20"/>
              </w:rPr>
              <w:t>가입 가능한 모든 정기예금을 비교하고 실제 충족한 우대조건만 반영하여, 고객이 받을 수 있는 혜택이 가장 큰 상품과 그 이유를 함께 제시한다.</w:t>
            </w:r>
          </w:p>
        </w:tc>
      </w:tr>
    </w:tbl>
    <w:p>
      <w:pPr>
        <w:spacing w:before="0" w:after="6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DF3FF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합성 시나리오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6개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기존 Top-1 적중률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33.3%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DF3FF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평균 세전이자 개선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60,833원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공식 금리 대조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29건 일치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첨부자료 구성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UI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조건 입력부터 결과·설명 확인까지 이어지는 실제 실행 화면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추천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가입자격·기간별 금리·우대상한·예상이자를 반영한 계산 절차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포용금융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지원자격이 확인된 고객에게 전용상품을 연결하는 방식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RAG 도우미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질문 버튼 선택만으로 공식 상품 근거를 제공하는 상담 기능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spacing w:before="40" w:after="0" w:line="283" w:lineRule="auto"/>
        <w:jc w:val="center"/>
      </w:pPr>
      <w:r>
        <w:rPr>
          <w:rFonts w:ascii="NanumGothicOTF" w:hAnsi="NanumGothicOTF" w:eastAsia="NanumGothicOTF"/>
          <w:b/>
          <w:color w:val="5B667A"/>
          <w:sz w:val="18"/>
        </w:rPr>
        <w:t>서비스 기능설명서 · 프로토타입 기준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1. 서비스 개요와 사용자 흐름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DF3FF"/>
          </w:tcPr>
          <w:p>
            <w:pPr>
              <w:spacing w:before="0" w:after="40" w:line="269" w:lineRule="auto"/>
            </w:pPr>
            <w:r>
              <w:rPr>
                <w:rFonts w:ascii="NanumGothicOTF" w:hAnsi="NanumGothicOTF" w:eastAsia="NanumGothicOTF"/>
                <w:b/>
                <w:color w:val="2459D3"/>
                <w:sz w:val="21"/>
              </w:rPr>
              <w:t>문제 정의</w:t>
            </w:r>
          </w:p>
          <w:p>
            <w:pPr>
              <w:spacing w:before="0" w:after="0" w:line="283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20"/>
              </w:rPr>
              <w:t>연령대·인기상품 중심 추천은 고객별 거래조건과 지원자격을 충분히 반영하지 못해, 실제로 더 유리한 상품이 추천 목록에서 누락될 수 있다.</w:t>
            </w:r>
          </w:p>
        </w:tc>
      </w:tr>
    </w:tbl>
    <w:p>
      <w:pPr>
        <w:spacing w:before="0" w:after="6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서비스가 바꾸는 추천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3550"/>
        <w:gridCol w:w="451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기존 접근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개선 접근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추천 후보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연령대·인기·전략상품 일부</w:t>
            </w:r>
          </w:p>
        </w:tc>
        <w:tc>
          <w:tcPr>
            <w:tcW w:type="dxa" w:w="451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판매 중인 전체 정기예금</w:t>
            </w:r>
          </w:p>
        </w:tc>
      </w:tr>
      <w:tr>
        <w:tc>
          <w:tcPr>
            <w:tcW w:type="dxa" w:w="130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핵심 기준</w:t>
            </w:r>
          </w:p>
        </w:tc>
        <w:tc>
          <w:tcPr>
            <w:tcW w:type="dxa" w:w="35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집단 가입량과 선호</w:t>
            </w:r>
          </w:p>
        </w:tc>
        <w:tc>
          <w:tcPr>
            <w:tcW w:type="dxa" w:w="451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개인별 실현 가능 금리와 예상이자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금리 표시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상품 최고금리 중심</w:t>
            </w:r>
          </w:p>
        </w:tc>
        <w:tc>
          <w:tcPr>
            <w:tcW w:type="dxa" w:w="451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현재 조건으로 받을 수 있는 적용금리</w:t>
            </w:r>
          </w:p>
        </w:tc>
      </w:tr>
      <w:tr>
        <w:tc>
          <w:tcPr>
            <w:tcW w:type="dxa" w:w="130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포용금융</w:t>
            </w:r>
          </w:p>
        </w:tc>
        <w:tc>
          <w:tcPr>
            <w:tcW w:type="dxa" w:w="35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일반 추천에서 노출 가능성 낮음</w:t>
            </w:r>
          </w:p>
        </w:tc>
        <w:tc>
          <w:tcPr>
            <w:tcW w:type="dxa" w:w="451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확인된 지원자격과 상품 대상을 직접 연결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설명 방식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상품명과 금리 위주</w:t>
            </w:r>
          </w:p>
        </w:tc>
        <w:tc>
          <w:tcPr>
            <w:tcW w:type="dxa" w:w="451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추천 이유·적용 조건·추가 행동까지 안내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사용자 이용 흐름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STEP 1  </w:t>
      </w:r>
      <w:r>
        <w:rPr>
          <w:rFonts w:ascii="NanumGothicOTF" w:hAnsi="NanumGothicOTF" w:eastAsia="NanumGothicOTF"/>
          <w:b w:val="0"/>
          <w:color w:val="18253D"/>
          <w:sz w:val="20"/>
        </w:rPr>
        <w:t>나이, 예치금액, 가입기간, 채널과 자주 쓰는 우대조건을 선택한다.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STEP 2  </w:t>
      </w:r>
      <w:r>
        <w:rPr>
          <w:rFonts w:ascii="NanumGothicOTF" w:hAnsi="NanumGothicOTF" w:eastAsia="NanumGothicOTF"/>
          <w:b w:val="0"/>
          <w:color w:val="18253D"/>
          <w:sz w:val="20"/>
        </w:rPr>
        <w:t>가입 가능한 전체 상품과 고객이 실제 충족한 우대조건을 비교한다.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STEP 3  </w:t>
      </w:r>
      <w:r>
        <w:rPr>
          <w:rFonts w:ascii="NanumGothicOTF" w:hAnsi="NanumGothicOTF" w:eastAsia="NanumGothicOTF"/>
          <w:b w:val="0"/>
          <w:color w:val="18253D"/>
          <w:sz w:val="20"/>
        </w:rPr>
        <w:t>실현 가능 금리, 세전·세후 예상이자와 추천 사유를 확인한다.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STEP 4  </w:t>
      </w:r>
      <w:r>
        <w:rPr>
          <w:rFonts w:ascii="NanumGothicOTF" w:hAnsi="NanumGothicOTF" w:eastAsia="NanumGothicOTF"/>
          <w:b w:val="0"/>
          <w:color w:val="18253D"/>
          <w:sz w:val="20"/>
        </w:rPr>
        <w:t>선택형 상품 도우미에서 비교·우대방법·포용금융 안내를 받는다.</w:t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핵심 입력과 결과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필수 입력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나이, 예치금액, 가입기간, 선호 가입채널, 추천 목적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선택 입력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급여·연금 이체, 카드실적, 평잔, 첫 거래, 자동 재예치, 지원자격 등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주요 결과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가입 가능 상품 수, 1위 적용금리, 세전·세후 예상이자, 기준 추천 대비 차이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상세 근거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적용 우대조건, 추가 확인조건, 편의기능, 공식 상품상세 링크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2. 실제 실행 화면과 UI 기능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43400" cy="5061317"/>
            <wp:docPr id="1" name="Picture 1" descr="나이, 예치금액, 가입기간과 우대조건을 입력하고 실현 가능 금리와 예상이자를 확인하는 추천 화면" title="나이, 예치금액, 가입기간과 우대조건을 입력하고 실현 가능 금리와 예상이자를 확인하는 추천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6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52" w:lineRule="auto"/>
        <w:jc w:val="center"/>
      </w:pPr>
      <w:r>
        <w:rPr>
          <w:rFonts w:ascii="NanumGothicOTF" w:hAnsi="NanumGothicOTF" w:eastAsia="NanumGothicOTF"/>
          <w:b w:val="0"/>
          <w:color w:val="5B667A"/>
          <w:sz w:val="17"/>
        </w:rPr>
        <w:t>그림 1. 필수조건 입력과 추천 결과가 한 흐름으로 이어지는 데스크톱 화면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빠른 예시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첫 예금 직장인·연금 수령 시니어·소상공인·농어촌 지원대상 조건을 한 번에 불러온다.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점진적 입력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필수조건은 첫 화면에, 세부 우대조건과 지원자격은 접이식 영역에 배치한다.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결과 요약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금리 기준일, 가입 가능 상품 수, 1위 금리, 세후이자와 개선액을 상단에 제시한다.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추천 카드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상품별 실현금리, 적용 우대조건, 추가 확인사항과 공식 링크를 동일 형식으로 제공한다.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접근성 설계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큰 글씨와 고대비 보기 전환 제공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키보드 사용자를 위한 본문 바로가기와 명확한 포커스 표시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주요 버튼과 체크 항목의 조작영역을 44px 이상으로 설계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390px 모바일 화면에서 가로 스크롤 없이 이용 가능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민감한 정보는 저장하거나 외부 서비스로 전송하지 않는다는 안내 제공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3. 추천 알고리즘 상세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</w:tcPr>
          <w:p>
            <w:pPr>
              <w:spacing w:before="0" w:after="40" w:line="269" w:lineRule="auto"/>
            </w:pPr>
            <w:r>
              <w:rPr>
                <w:rFonts w:ascii="NanumGothicOTF" w:hAnsi="NanumGothicOTF" w:eastAsia="NanumGothicOTF"/>
                <w:b/>
                <w:color w:val="087B71"/>
                <w:sz w:val="21"/>
              </w:rPr>
              <w:t>설계 원칙</w:t>
            </w:r>
          </w:p>
          <w:p>
            <w:pPr>
              <w:spacing w:before="0" w:after="0" w:line="283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20"/>
              </w:rPr>
              <w:t>연령은 상품을 숨기는 필터로 사용하지 않는다. 가입자격과 고객이 실제 충족한 우대조건을 먼저 계산하고, 기본 추천에서는 예상이자를 절대 우선한다.</w:t>
            </w:r>
          </w:p>
        </w:tc>
      </w:tr>
    </w:tbl>
    <w:p>
      <w:pPr>
        <w:spacing w:before="0" w:after="6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추천 계산 절차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1  </w:t>
      </w:r>
      <w:r>
        <w:rPr>
          <w:rFonts w:ascii="NanumGothicOTF" w:hAnsi="NanumGothicOTF" w:eastAsia="NanumGothicOTF"/>
          <w:b w:val="0"/>
          <w:color w:val="18253D"/>
          <w:sz w:val="20"/>
        </w:rPr>
        <w:t>전체 상품 로딩: 판매 중인 정기예금의 기간·금액·채널·전용자격을 불러온다.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2  </w:t>
      </w:r>
      <w:r>
        <w:rPr>
          <w:rFonts w:ascii="NanumGothicOTF" w:hAnsi="NanumGothicOTF" w:eastAsia="NanumGothicOTF"/>
          <w:b w:val="0"/>
          <w:color w:val="18253D"/>
          <w:sz w:val="20"/>
        </w:rPr>
        <w:t>가입자격 검증: 가입할 수 없는 상품을 제외하고 제외 사유를 남긴다.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3  </w:t>
      </w:r>
      <w:r>
        <w:rPr>
          <w:rFonts w:ascii="NanumGothicOTF" w:hAnsi="NanumGothicOTF" w:eastAsia="NanumGothicOTF"/>
          <w:b w:val="0"/>
          <w:color w:val="18253D"/>
          <w:sz w:val="20"/>
        </w:rPr>
        <w:t>기간별 기본금리: 고객이 선택한 6·12·24·36개월의 공식 금리를 적용한다.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4  </w:t>
      </w:r>
      <w:r>
        <w:rPr>
          <w:rFonts w:ascii="NanumGothicOTF" w:hAnsi="NanumGothicOTF" w:eastAsia="NanumGothicOTF"/>
          <w:b w:val="0"/>
          <w:color w:val="18253D"/>
          <w:sz w:val="20"/>
        </w:rPr>
        <w:t>우대조건 계산: 충족한 조건만 합산하고 상품별 우대금리 상한을 적용한다.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5  </w:t>
      </w:r>
      <w:r>
        <w:rPr>
          <w:rFonts w:ascii="NanumGothicOTF" w:hAnsi="NanumGothicOTF" w:eastAsia="NanumGothicOTF"/>
          <w:b w:val="0"/>
          <w:color w:val="18253D"/>
          <w:sz w:val="20"/>
        </w:rPr>
        <w:t>예상이자 계산: 예치금액·기간과 일반과세 15.4%를 반영한다.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6  </w:t>
      </w:r>
      <w:r>
        <w:rPr>
          <w:rFonts w:ascii="NanumGothicOTF" w:hAnsi="NanumGothicOTF" w:eastAsia="NanumGothicOTF"/>
          <w:b w:val="0"/>
          <w:color w:val="18253D"/>
          <w:sz w:val="20"/>
        </w:rPr>
        <w:t>목적별 정렬: 최고이자·조건 간편성·유동성·포용금융 목적에 따라 순위를 결정한다.</w:t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추천 목적별 판단기준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3450"/>
        <w:gridCol w:w="416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추천 목적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우선 판단기준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적합한 고객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최고이자</w:t>
            </w:r>
          </w:p>
        </w:tc>
        <w:tc>
          <w:tcPr>
            <w:tcW w:type="dxa" w:w="34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실현 가능 세전이자를 절대 우선</w:t>
            </w:r>
          </w:p>
        </w:tc>
        <w:tc>
          <w:tcPr>
            <w:tcW w:type="dxa" w:w="41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받을 수 있는 금액을 극대화하려는 고객</w:t>
            </w:r>
          </w:p>
        </w:tc>
      </w:tr>
      <w:tr>
        <w:tc>
          <w:tcPr>
            <w:tcW w:type="dxa" w:w="175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간단한 조건</w:t>
            </w:r>
          </w:p>
        </w:tc>
        <w:tc>
          <w:tcPr>
            <w:tcW w:type="dxa" w:w="34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충족 난이도와 추가 조건 수</w:t>
            </w:r>
          </w:p>
        </w:tc>
        <w:tc>
          <w:tcPr>
            <w:tcW w:type="dxa" w:w="41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복잡한 거래실적 관리를 원하지 않는 고객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유동성</w:t>
            </w:r>
          </w:p>
        </w:tc>
        <w:tc>
          <w:tcPr>
            <w:tcW w:type="dxa" w:w="34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분할해지·비상금 출금·추가입금</w:t>
            </w:r>
          </w:p>
        </w:tc>
        <w:tc>
          <w:tcPr>
            <w:tcW w:type="dxa" w:w="41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중도 자금 수요 가능성이 있는 고객</w:t>
            </w:r>
          </w:p>
        </w:tc>
      </w:tr>
      <w:tr>
        <w:tc>
          <w:tcPr>
            <w:tcW w:type="dxa" w:w="175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포용금융</w:t>
            </w:r>
          </w:p>
        </w:tc>
        <w:tc>
          <w:tcPr>
            <w:tcW w:type="dxa" w:w="34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확인된 지원자격과 전용상품 일치</w:t>
            </w:r>
          </w:p>
        </w:tc>
        <w:tc>
          <w:tcPr>
            <w:tcW w:type="dxa" w:w="41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소상공인·취약계층·농어촌 대상 고객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금리 정확성 보호장치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12개월 금리를 다른 기간에 재사용하지 않고 공식 상세 API의 기간별 기본금리를 적용한다.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조건 합계가 우대상한을 넘는 경우 실제 반영금리와 남은 우대폭을 구분한다.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금리 기준일을 화면에 표시하고 오래된 데이터에는 재확인 경고를 제공한다.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추천 시점의 상품정보와 계산 규칙을 기록해 결과를 재현할 수 있도록 설계한다.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4. 포용금융 대상상품 연결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7151"/>
            <wp:docPr id="2" name="Picture 2" descr="소상공인 자격 고객에게 소상공인정기예금을 1위로 추천하고 포용금융 적합 배지를 표시한 화면" title="소상공인 자격 고객에게 소상공인정기예금을 1위로 추천하고 포용금융 적합 배지를 표시한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clus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52" w:lineRule="auto"/>
        <w:jc w:val="center"/>
      </w:pPr>
      <w:r>
        <w:rPr>
          <w:rFonts w:ascii="NanumGothicOTF" w:hAnsi="NanumGothicOTF" w:eastAsia="NanumGothicOTF"/>
          <w:b w:val="0"/>
          <w:color w:val="5B667A"/>
          <w:sz w:val="17"/>
        </w:rPr>
        <w:t>그림 2. 소상공인 예시: 지원자격과 상품 대상이 일치할 때만 포용금융 적합 배지 표시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</w:tcPr>
          <w:p>
            <w:pPr>
              <w:spacing w:before="0" w:after="40" w:line="269" w:lineRule="auto"/>
            </w:pPr>
            <w:r>
              <w:rPr>
                <w:rFonts w:ascii="NanumGothicOTF" w:hAnsi="NanumGothicOTF" w:eastAsia="NanumGothicOTF"/>
                <w:b/>
                <w:color w:val="167A5A"/>
                <w:sz w:val="21"/>
              </w:rPr>
              <w:t>화면 예시</w:t>
            </w:r>
          </w:p>
          <w:p>
            <w:pPr>
              <w:spacing w:before="0" w:after="0" w:line="283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20"/>
              </w:rPr>
              <w:t>소상공인 자격 고객에게 우체국소상공인정기예금을 1위로 제시하고, 연 3.15%의 실현 가능 금리와 기존 추천 대비 세전이자 +320,000원을 설명한다.</w:t>
            </w:r>
          </w:p>
        </w:tc>
      </w:tr>
    </w:tbl>
    <w:p>
      <w:pPr>
        <w:spacing w:before="0" w:after="6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포용금융 판단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직접 지원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소상공인·취약계층·농어촌 등 가입대상이 명확한 상품을 자격 고객에게 연결한다.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접근성 지원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고령층·디지털 취약고객이 큰 글씨, 고대비와 쉬운 설명으로 상품을 비교하도록 돕는다.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오표시 방지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상품명이나 나이만으로 배지를 부여하지 않고 고객 입력 자격과 상품 지원대상을 대조한다.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성과 측정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전용상품 노출률, 지원대상 추천 실패율, 가입완료율과 민원율을 별도 관리한다.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주요 수혜 대상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소상공인 및 개인사업자: 사업자 전용상품과 금융비용 절감 기회를 발견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농어촌 주민·취약계층: 일반 인기목록에 가려진 지원상품을 누락 없이 확인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고령층·디지털 취약고객: 입력과 상담 부담을 줄인 접근성 높은 비교 경험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창구·고객센터 직원: 동일한 추천 근거를 활용하여 상담 품질을 표준화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5. 선택형 RAG 상품 도우미</w:t>
      </w: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841056"/>
            <wp:docPr id="3" name="Picture 3" descr="포용금융 질문 버튼을 선택하고 추천 결과와 공식 상품정보에 근거한 답변을 확인하는 상품 도우미 화면" title="포용금융 질문 버튼을 선택하고 추천 결과와 공식 상품정보에 근거한 답변을 확인하는 상품 도우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4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52" w:lineRule="auto"/>
        <w:jc w:val="center"/>
      </w:pPr>
      <w:r>
        <w:rPr>
          <w:rFonts w:ascii="NanumGothicOTF" w:hAnsi="NanumGothicOTF" w:eastAsia="NanumGothicOTF"/>
          <w:b w:val="0"/>
          <w:color w:val="5B667A"/>
          <w:sz w:val="17"/>
        </w:rPr>
        <w:t>그림 3. 자유입력 없이 질문 버튼을 선택하면 현재 추천 결과와 공식 상품정보를 근거로 답변</w:t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동작 방식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검색  </w:t>
      </w:r>
      <w:r>
        <w:rPr>
          <w:rFonts w:ascii="NanumGothicOTF" w:hAnsi="NanumGothicOTF" w:eastAsia="NanumGothicOTF"/>
          <w:b w:val="0"/>
          <w:color w:val="18253D"/>
          <w:sz w:val="20"/>
        </w:rPr>
        <w:t>현재 고객의 추천 결과와 구조화된 상품 문서에서 질문과 관련된 금리·조건·자격정보를 찾는다.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생성  </w:t>
      </w:r>
      <w:r>
        <w:rPr>
          <w:rFonts w:ascii="NanumGothicOTF" w:hAnsi="NanumGothicOTF" w:eastAsia="NanumGothicOTF"/>
          <w:b w:val="0"/>
          <w:color w:val="18253D"/>
          <w:sz w:val="20"/>
        </w:rPr>
        <w:t>검색된 근거만 정해진 답변 템플릿에 넣어 짧고 일관되게 설명한다.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출처  </w:t>
      </w:r>
      <w:r>
        <w:rPr>
          <w:rFonts w:ascii="NanumGothicOTF" w:hAnsi="NanumGothicOTF" w:eastAsia="NanumGothicOTF"/>
          <w:b w:val="0"/>
          <w:color w:val="18253D"/>
          <w:sz w:val="20"/>
        </w:rPr>
        <w:t>답변 아래에 공식 상품상세 링크를 제시하여 고객이 직접 확인할 수 있게 한다.</w:t>
      </w:r>
    </w:p>
    <w:p>
      <w:pPr>
        <w:spacing w:before="0" w:after="80" w:line="276" w:lineRule="auto"/>
        <w:ind w:left="173" w:hanging="173"/>
      </w:pPr>
      <w:r>
        <w:rPr>
          <w:rFonts w:ascii="NanumGothicOTF" w:hAnsi="NanumGothicOTF" w:eastAsia="NanumGothicOTF"/>
          <w:b/>
          <w:color w:val="2459D3"/>
          <w:sz w:val="20"/>
        </w:rPr>
        <w:t xml:space="preserve">보호  </w:t>
      </w:r>
      <w:r>
        <w:rPr>
          <w:rFonts w:ascii="NanumGothicOTF" w:hAnsi="NanumGothicOTF" w:eastAsia="NanumGothicOTF"/>
          <w:b w:val="0"/>
          <w:color w:val="18253D"/>
          <w:sz w:val="20"/>
        </w:rPr>
        <w:t>고객정보를 외부 LLM이나 외부 API로 보내지 않으며 임의 질문은 받지 않는다.</w:t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제공 질문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3750"/>
        <w:gridCol w:w="406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75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질문 예시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제공 정보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추천 근거</w:t>
            </w:r>
          </w:p>
        </w:tc>
        <w:tc>
          <w:tcPr>
            <w:tcW w:type="dxa" w:w="37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왜 이 상품이 1위인가요?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적용금리·우대조건·예상이자</w:t>
            </w:r>
          </w:p>
        </w:tc>
      </w:tr>
      <w:tr>
        <w:tc>
          <w:tcPr>
            <w:tcW w:type="dxa" w:w="155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상품 비교</w:t>
            </w:r>
          </w:p>
        </w:tc>
        <w:tc>
          <w:tcPr>
            <w:tcW w:type="dxa" w:w="37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1위와 2위를 비교해 주세요</w:t>
            </w:r>
          </w:p>
        </w:tc>
        <w:tc>
          <w:tcPr>
            <w:tcW w:type="dxa" w:w="40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금리·편의기능·조건 차이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추가 혜택</w:t>
            </w:r>
          </w:p>
        </w:tc>
        <w:tc>
          <w:tcPr>
            <w:tcW w:type="dxa" w:w="37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우대금리를 쉽게 더 받는 방법은?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미충족 우대조건과 추가 금리</w:t>
            </w:r>
          </w:p>
        </w:tc>
      </w:tr>
      <w:tr>
        <w:tc>
          <w:tcPr>
            <w:tcW w:type="dxa" w:w="155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유동성</w:t>
            </w:r>
          </w:p>
        </w:tc>
        <w:tc>
          <w:tcPr>
            <w:tcW w:type="dxa" w:w="37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급하게 돈이 필요할 때 유리한 상품은?</w:t>
            </w:r>
          </w:p>
        </w:tc>
        <w:tc>
          <w:tcPr>
            <w:tcW w:type="dxa" w:w="40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분할해지·비상금 출금 등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포용금융</w:t>
            </w:r>
          </w:p>
        </w:tc>
        <w:tc>
          <w:tcPr>
            <w:tcW w:type="dxa" w:w="37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저에게 맞는 포용금융 상품이 있나요?</w:t>
            </w:r>
          </w:p>
        </w:tc>
        <w:tc>
          <w:tcPr>
            <w:tcW w:type="dxa" w:w="40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확인된 자격과 전용상품</w:t>
            </w:r>
          </w:p>
        </w:tc>
      </w:tr>
      <w:tr>
        <w:tc>
          <w:tcPr>
            <w:tcW w:type="dxa" w:w="155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상담 연결</w:t>
            </w:r>
          </w:p>
        </w:tc>
        <w:tc>
          <w:tcPr>
            <w:tcW w:type="dxa" w:w="37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창구 상담이 필요한 상품이 있나요?</w:t>
            </w:r>
          </w:p>
        </w:tc>
        <w:tc>
          <w:tcPr>
            <w:tcW w:type="dxa" w:w="40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채널 제한과 상담 필요사항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6. 시스템 구성과 실행 방법</w:t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구성 요소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상품 데이터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data/products.json · 기간별 금리, 가입자격, 우대규칙, 편의기능과 포용금융 태그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추천 엔진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src/recommender.py · 자격 검증, 우대상한, 예상이자와 목적별 순위 계산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상품 도우미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src/advisor.py · 고정 질문별 근거 검색과 템플릿 답변 생성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웹 서버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app.py · 정적 UI와 추천·상담·평가 JSON API 제공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화면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static/ · 접근성, 반응형 입력 폼, 결과 카드와 선택형 상품 도우미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검증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tests/ 및 scripts/check_official_rates.py · 추천 규칙과 공식 금리 대조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로컬 실행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before="0" w:after="40" w:line="269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21"/>
              </w:rPr>
              <w:t>실행 명령</w:t>
            </w:r>
          </w:p>
          <w:p>
            <w:pPr>
              <w:spacing w:before="0" w:after="0" w:line="283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20"/>
              </w:rPr>
              <w:t>프로젝트 폴더에서 "python3 app.py"를 실행한 뒤 브라우저로 http://127.0.0.1:8000 에 접속한다. 포트가 사용 중이면 "python3 app.py --port 8001"을 사용한다.</w:t>
            </w:r>
          </w:p>
        </w:tc>
      </w:tr>
    </w:tbl>
    <w:p>
      <w:pPr>
        <w:spacing w:before="0" w:after="6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주요 API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100"/>
        <w:gridCol w:w="506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메서드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GET</w:t>
            </w:r>
          </w:p>
        </w:tc>
        <w:tc>
          <w:tcPr>
            <w:tcW w:type="dxa" w:w="310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/api/health</w:t>
            </w:r>
          </w:p>
        </w:tc>
        <w:tc>
          <w:tcPr>
            <w:tcW w:type="dxa" w:w="50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서버 상태 확인</w:t>
            </w:r>
          </w:p>
        </w:tc>
      </w:tr>
      <w:tr>
        <w:tc>
          <w:tcPr>
            <w:tcW w:type="dxa" w:w="120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POST</w:t>
            </w:r>
          </w:p>
        </w:tc>
        <w:tc>
          <w:tcPr>
            <w:tcW w:type="dxa" w:w="310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/api/recommend</w:t>
            </w:r>
          </w:p>
        </w:tc>
        <w:tc>
          <w:tcPr>
            <w:tcW w:type="dxa" w:w="50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고객 조건 기반 전체 상품 추천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GET</w:t>
            </w:r>
          </w:p>
        </w:tc>
        <w:tc>
          <w:tcPr>
            <w:tcW w:type="dxa" w:w="310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/api/advice/questions</w:t>
            </w:r>
          </w:p>
        </w:tc>
        <w:tc>
          <w:tcPr>
            <w:tcW w:type="dxa" w:w="50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선택 가능한 상품 도우미 질문 조회</w:t>
            </w:r>
          </w:p>
        </w:tc>
      </w:tr>
      <w:tr>
        <w:tc>
          <w:tcPr>
            <w:tcW w:type="dxa" w:w="120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POST</w:t>
            </w:r>
          </w:p>
        </w:tc>
        <w:tc>
          <w:tcPr>
            <w:tcW w:type="dxa" w:w="310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/api/advice</w:t>
            </w:r>
          </w:p>
        </w:tc>
        <w:tc>
          <w:tcPr>
            <w:tcW w:type="dxa" w:w="506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추천 결과에 근거한 설명 생성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GET</w:t>
            </w:r>
          </w:p>
        </w:tc>
        <w:tc>
          <w:tcPr>
            <w:tcW w:type="dxa" w:w="310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/api/evaluation</w:t>
            </w:r>
          </w:p>
        </w:tc>
        <w:tc>
          <w:tcPr>
            <w:tcW w:type="dxa" w:w="506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합성 고객 시나리오 평가 결과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개인정보 및 운영 안전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주민등록번호와 거래내역 원문 대신 추천에 필요한 최소 파생값만 사용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외부 AI 서비스로 고객 입력을 전송하지 않는 로컬 구조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상품정보가 오래되거나 해석에 실패한 경우 추천보다 공식 설명서 확인을 우선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향후 우체국은행 API 연계 시 고객이 이미 충족한 조건을 자동 검증 가능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anumGothicOTF" w:hAnsi="NanumGothicOTF" w:eastAsia="NanumGothicOTF"/>
          <w:b/>
          <w:color w:val="12336D"/>
          <w:sz w:val="32"/>
        </w:rPr>
        <w:t>7. 검증 결과와 기대효과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DF3FF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자동 테스트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11개 통과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공식 상품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12개 확인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DF3FF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기간별 금리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29건 일치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5B667A"/>
                <w:sz w:val="17"/>
              </w:rPr>
              <w:t>모바일 검증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30"/>
              </w:rPr>
              <w:t>390px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프로토타입 검증 결과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450"/>
        <w:gridCol w:w="3000"/>
        <w:gridCol w:w="201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고객 예시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기존 추천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개선 추천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shd w:fill="12336D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FFFFFF"/>
                <w:sz w:val="18"/>
              </w:rPr>
              <w:t>세전이자 차이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첫 예금 직장인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2040+α정기예금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우체국편리한e정기예금</w:t>
            </w:r>
          </w:p>
        </w:tc>
        <w:tc>
          <w:tcPr>
            <w:tcW w:type="dxa" w:w="201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+30,000원</w:t>
            </w:r>
          </w:p>
        </w:tc>
      </w:tr>
      <w:tr>
        <w:tc>
          <w:tcPr>
            <w:tcW w:type="dxa" w:w="190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연금 수령 시니어</w:t>
            </w:r>
          </w:p>
        </w:tc>
        <w:tc>
          <w:tcPr>
            <w:tcW w:type="dxa" w:w="24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시니어싱글벙글</w:t>
            </w:r>
          </w:p>
        </w:tc>
        <w:tc>
          <w:tcPr>
            <w:tcW w:type="dxa" w:w="300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시니어싱글벙글</w:t>
            </w:r>
          </w:p>
        </w:tc>
        <w:tc>
          <w:tcPr>
            <w:tcW w:type="dxa" w:w="201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동일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친환경 실천 고객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초록별사랑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초록별사랑</w:t>
            </w:r>
          </w:p>
        </w:tc>
        <w:tc>
          <w:tcPr>
            <w:tcW w:type="dxa" w:w="201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동일</w:t>
            </w:r>
          </w:p>
        </w:tc>
      </w:tr>
      <w:tr>
        <w:tc>
          <w:tcPr>
            <w:tcW w:type="dxa" w:w="1900"/>
            <w:shd w:fill="F3F5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소상공인</w:t>
            </w:r>
          </w:p>
        </w:tc>
        <w:tc>
          <w:tcPr>
            <w:tcW w:type="dxa" w:w="245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2040+α정기예금</w:t>
            </w:r>
          </w:p>
        </w:tc>
        <w:tc>
          <w:tcPr>
            <w:tcW w:type="dxa" w:w="300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소상공인정기예금</w:t>
            </w:r>
          </w:p>
        </w:tc>
        <w:tc>
          <w:tcPr>
            <w:tcW w:type="dxa" w:w="2010"/>
            <w:shd w:fill="F3F5F8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+320,000원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GothicOTF" w:hAnsi="NanumGothicOTF" w:eastAsia="NanumGothicOTF"/>
                <w:b/>
                <w:color w:val="12336D"/>
                <w:sz w:val="17"/>
              </w:rPr>
              <w:t>농어촌 취약계층</w:t>
            </w:r>
          </w:p>
        </w:tc>
        <w:tc>
          <w:tcPr>
            <w:tcW w:type="dxa" w:w="245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초록별사랑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이웃사랑정기예금</w:t>
            </w:r>
          </w:p>
        </w:tc>
        <w:tc>
          <w:tcPr>
            <w:tcW w:type="dxa" w:w="2010"/>
          </w:tcPr>
          <w:p>
            <w:pPr>
              <w:spacing w:before="0" w:after="0" w:line="269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7"/>
              </w:rPr>
              <w:t>+15,000원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spacing w:before="0" w:after="160" w:line="283" w:lineRule="auto"/>
      </w:pPr>
      <w:r>
        <w:rPr>
          <w:rFonts w:ascii="NanumGothicOTF" w:hAnsi="NanumGothicOTF" w:eastAsia="NanumGothicOTF"/>
          <w:b w:val="0"/>
          <w:color w:val="5B667A"/>
          <w:sz w:val="17"/>
        </w:rPr>
        <w:t>※ 합성 고객 6명을 이용한 기능 비교 결과이며 실제 가입성과를 추정한 수치가 아니다. 운영 데이터로 재검증이 필요하다.</w:t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기대효과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고객 혜택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본인의 조건에서 받을 수 있는 금리와 예상이자를 기준으로 합리적인 상품 선택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포용금융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지원대상 상품이 일반 인기목록에 가려지는 문제를 줄이고 실제 도달률 향상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소비자보호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추천 근거와 계산 이력을 통한 과도한 최고금리 기대 및 설명 분쟁 감소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사업 성과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상품 상세조회·가입전환 향상, 추천 후보 누락으로 인한 고객 이탈 감소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업무 효율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모바일·창구·고객센터에서 동일한 추천 기준과 설명 사용</w:t>
            </w:r>
          </w:p>
        </w:tc>
      </w:tr>
      <w:tr>
        <w:tc>
          <w:tcPr>
            <w:tcW w:type="dxa" w:w="2200"/>
            <w:vAlign w:val="center"/>
            <w:shd w:fill="ED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GothicOTF" w:hAnsi="NanumGothicOTF" w:eastAsia="NanumGothicOTF"/>
                <w:b/>
                <w:color w:val="12336D"/>
                <w:sz w:val="19"/>
              </w:rPr>
              <w:t>확장 가능성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1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18"/>
              </w:rPr>
              <w:t>예금에서 적금·보험 등 다른 우체국 금융상품 추천으로 단계적 확대</w:t>
            </w:r>
          </w:p>
        </w:tc>
      </w:tr>
    </w:tbl>
    <w:p>
      <w:pPr>
        <w:spacing w:before="0" w:after="8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p>
      <w:pPr>
        <w:pStyle w:val="Heading2"/>
        <w:keepNext/>
        <w:spacing w:before="180" w:after="120" w:line="252" w:lineRule="auto"/>
      </w:pPr>
      <w:r>
        <w:rPr>
          <w:rFonts w:ascii="NanumGothicOTF" w:hAnsi="NanumGothicOTF" w:eastAsia="NanumGothicOTF"/>
          <w:b/>
          <w:color w:val="2459D3"/>
          <w:sz w:val="26"/>
        </w:rPr>
        <w:t>운영 성과지표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가입 가능한 전체 상품의 추천 후보 포함률 99% 이상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추천 예상금리와 가입 확정금리 간 오차 0.05%p 이하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지원대상 고객의 전용상품 노출률 및 가입완료율 개선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추천 관련 민원율과 중도해지율 비증가</w:t>
      </w:r>
    </w:p>
    <w:p>
      <w:pPr>
        <w:pStyle w:val="ListBullet"/>
        <w:spacing w:before="0" w:after="60" w:line="276" w:lineRule="auto"/>
      </w:pPr>
      <w:r>
        <w:rPr>
          <w:rFonts w:ascii="NanumGothicOTF" w:hAnsi="NanumGothicOTF" w:eastAsia="NanumGothicOTF"/>
          <w:b w:val="0"/>
          <w:color w:val="18253D"/>
          <w:sz w:val="20"/>
        </w:rPr>
        <w:t>큰 글씨·고대비·선택형 상품 도우미 이용률 추적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8F5"/>
          </w:tcPr>
          <w:p>
            <w:pPr>
              <w:spacing w:before="0" w:after="40" w:line="269" w:lineRule="auto"/>
            </w:pPr>
            <w:r>
              <w:rPr>
                <w:rFonts w:ascii="NanumGothicOTF" w:hAnsi="NanumGothicOTF" w:eastAsia="NanumGothicOTF"/>
                <w:b/>
                <w:color w:val="087B71"/>
                <w:sz w:val="21"/>
              </w:rPr>
              <w:t>결론</w:t>
            </w:r>
          </w:p>
          <w:p>
            <w:pPr>
              <w:spacing w:before="0" w:after="0" w:line="283" w:lineRule="auto"/>
            </w:pPr>
            <w:r>
              <w:rPr>
                <w:rFonts w:ascii="NanumGothicOTF" w:hAnsi="NanumGothicOTF" w:eastAsia="NanumGothicOTF"/>
                <w:b w:val="0"/>
                <w:color w:val="18253D"/>
                <w:sz w:val="20"/>
              </w:rPr>
              <w:t>본 서비스는 단순한 상품 랭킹이 아니라, 고객별 가입 가능성과 실제 혜택을 계산하고 그 근거까지 설명하는 금융소비자 중심 추천체계이다.</w:t>
            </w:r>
          </w:p>
        </w:tc>
      </w:tr>
    </w:tbl>
    <w:p>
      <w:pPr>
        <w:spacing w:before="0" w:after="60" w:line="283" w:lineRule="auto"/>
      </w:pPr>
      <w:r>
        <w:rPr>
          <w:rFonts w:ascii="NanumGothicOTF" w:hAnsi="NanumGothicOTF" w:eastAsia="NanumGothicOTF"/>
          <w:b w:val="0"/>
          <w:color w:val="18253D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anumGothicOTF" w:hAnsi="NanumGothicOTF" w:eastAsia="NanumGothicOTF"/>
        <w:b w:val="0"/>
        <w:color w:val="5B667A"/>
        <w:sz w:val="16"/>
      </w:rPr>
      <w:t xml:space="preserve">받을 수 있는 혜택으로 찾는 우체국 예금 맞춤 추천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NanumGothicOTF" w:hAnsi="NanumGothicOTF" w:eastAsia="NanumGothicOTF"/>
        <w:b w:val="0"/>
        <w:color w:val="5B667A"/>
        <w:sz w:val="16"/>
      </w:rPr>
      <w:t>2026 PoSID 우체국금융 혁신아이디어톤 | 서비스 기능설명서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anumGothicOTF" w:hAnsi="NanumGothicOTF" w:eastAsia="NanumGothicOTF"/>
      <w:color w:val="1825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OTF" w:hAnsi="NanumGothicOTF" w:eastAsia="NanumGothicOT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OTF" w:hAnsi="NanumGothicOTF" w:eastAsia="NanumGothicOT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OTF" w:hAnsi="NanumGothicOTF" w:eastAsia="NanumGothicOTF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OTF" w:hAnsi="NanumGothicOTF" w:eastAsia="NanumGothicOT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OTF" w:hAnsi="NanumGothicOTF" w:eastAsia="NanumGothicOTF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OTF" w:hAnsi="NanumGothicOTF" w:eastAsia="NanumGothicOTF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