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AD80" w14:textId="77777777" w:rsidR="005958E2" w:rsidRDefault="003C576A">
      <w:pPr>
        <w:pStyle w:val="Title"/>
        <w:pBdr>
          <w:bottom w:val="double" w:sz="2" w:space="0" w:color="00000A"/>
        </w:pBdr>
        <w:spacing w:after="60"/>
        <w:rPr>
          <w:smallCaps/>
          <w:spacing w:val="100"/>
          <w:sz w:val="30"/>
        </w:rPr>
      </w:pPr>
      <w:r>
        <w:rPr>
          <w:smallCaps/>
          <w:spacing w:val="100"/>
          <w:sz w:val="30"/>
        </w:rPr>
        <w:t>Vladimir Beyder</w:t>
      </w:r>
    </w:p>
    <w:p w14:paraId="0EE4FE31" w14:textId="4CBEE02C" w:rsidR="005958E2" w:rsidRDefault="003C576A">
      <w:pPr>
        <w:pStyle w:val="Title"/>
        <w:pBdr>
          <w:bottom w:val="none" w:sz="0" w:space="0" w:color="auto"/>
        </w:pBdr>
        <w:spacing w:after="40"/>
        <w:rPr>
          <w:b w:val="0"/>
          <w:smallCaps/>
          <w:spacing w:val="26"/>
          <w:sz w:val="18"/>
          <w:szCs w:val="18"/>
        </w:rPr>
      </w:pPr>
      <w:r>
        <w:rPr>
          <w:b w:val="0"/>
          <w:smallCaps/>
          <w:spacing w:val="26"/>
          <w:sz w:val="18"/>
          <w:szCs w:val="18"/>
        </w:rPr>
        <w:t>Princeton NJ, 08540</w:t>
      </w:r>
    </w:p>
    <w:p w14:paraId="01F8467E" w14:textId="77777777" w:rsidR="005958E2" w:rsidRDefault="003C576A">
      <w:pPr>
        <w:pStyle w:val="Title"/>
        <w:pBdr>
          <w:bottom w:val="none" w:sz="0" w:space="0" w:color="auto"/>
        </w:pBdr>
      </w:pPr>
      <w:r w:rsidRPr="005E5610">
        <w:rPr>
          <w:b w:val="0"/>
          <w:smallCaps/>
          <w:spacing w:val="26"/>
          <w:sz w:val="18"/>
          <w:szCs w:val="18"/>
        </w:rPr>
        <w:t xml:space="preserve">732-857-4584  |  </w:t>
      </w:r>
      <w:hyperlink r:id="rId7" w:history="1">
        <w:r w:rsidRPr="005E5610">
          <w:rPr>
            <w:b w:val="0"/>
            <w:smallCaps/>
            <w:spacing w:val="26"/>
            <w:sz w:val="18"/>
            <w:szCs w:val="18"/>
          </w:rPr>
          <w:t>vbeyder@comcast.net</w:t>
        </w:r>
      </w:hyperlink>
      <w:r>
        <w:rPr>
          <w:color w:val="00000A"/>
        </w:rPr>
        <w:t xml:space="preserve">  |  </w:t>
      </w:r>
      <w:r>
        <w:rPr>
          <w:b w:val="0"/>
          <w:color w:val="00000A"/>
          <w:spacing w:val="26"/>
          <w:sz w:val="18"/>
          <w:szCs w:val="18"/>
        </w:rPr>
        <w:t xml:space="preserve"> </w:t>
      </w:r>
      <w:hyperlink r:id="rId8" w:history="1">
        <w:r w:rsidRPr="00562004">
          <w:rPr>
            <w:rFonts w:cs="Calibri"/>
            <w:b w:val="0"/>
            <w:color w:val="0070C0"/>
            <w:sz w:val="22"/>
            <w:szCs w:val="22"/>
            <w:u w:val="single"/>
          </w:rPr>
          <w:t>LinkedIn URL</w:t>
        </w:r>
      </w:hyperlink>
    </w:p>
    <w:p w14:paraId="2CB4F517" w14:textId="77777777" w:rsidR="005958E2" w:rsidRDefault="005958E2">
      <w:pPr>
        <w:pStyle w:val="Standard"/>
      </w:pPr>
    </w:p>
    <w:p w14:paraId="352B385E" w14:textId="77777777" w:rsidR="006D516B" w:rsidRDefault="006D516B">
      <w:pPr>
        <w:pStyle w:val="Standard"/>
      </w:pPr>
    </w:p>
    <w:p w14:paraId="561E43CA" w14:textId="77777777" w:rsidR="005958E2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Database Developer, Systems and Data </w:t>
      </w:r>
      <w:r w:rsidR="00562004">
        <w:rPr>
          <w:rFonts w:eastAsia="Times New Roman" w:cs="Times New Roman"/>
          <w:b/>
          <w:smallCaps/>
          <w:spacing w:val="30"/>
          <w:sz w:val="24"/>
          <w:szCs w:val="24"/>
        </w:rPr>
        <w:t>Architect,</w:t>
      </w: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 Dev Lead</w:t>
      </w:r>
    </w:p>
    <w:p w14:paraId="621B8DD3" w14:textId="77777777" w:rsidR="005958E2" w:rsidRDefault="005958E2">
      <w:pPr>
        <w:pStyle w:val="Standard"/>
      </w:pPr>
    </w:p>
    <w:p w14:paraId="58BBD62E" w14:textId="77777777" w:rsidR="00E06889" w:rsidRDefault="003C576A">
      <w:pPr>
        <w:pStyle w:val="Standard"/>
        <w:jc w:val="both"/>
        <w:rPr>
          <w:sz w:val="24"/>
          <w:szCs w:val="24"/>
        </w:rPr>
      </w:pPr>
      <w:r w:rsidRPr="00E80454">
        <w:rPr>
          <w:sz w:val="24"/>
          <w:szCs w:val="24"/>
        </w:rPr>
        <w:t xml:space="preserve">Highly accomplished application developer and tech lead with emphasis on back-end and database (DB) as a foundation for a solid and robust implementation. Extensive technical and business expertise. Experienced in leading multicultural onshore and offshore development and support teams. </w:t>
      </w:r>
    </w:p>
    <w:p w14:paraId="25D7C030" w14:textId="488D7257" w:rsidR="006D516B" w:rsidRDefault="003C576A" w:rsidP="006968E6">
      <w:pPr>
        <w:pStyle w:val="Standard"/>
        <w:jc w:val="both"/>
        <w:rPr>
          <w:sz w:val="24"/>
          <w:szCs w:val="24"/>
        </w:rPr>
      </w:pPr>
      <w:r w:rsidRPr="00E80454">
        <w:rPr>
          <w:sz w:val="24"/>
          <w:szCs w:val="24"/>
        </w:rPr>
        <w:t>Strengths include business analysis, data modeling, application DB design and development, financial computation (waterfall), application life-cycle management, database and data warehousing technologies, problem solving, innovation thinking.</w:t>
      </w:r>
      <w:r w:rsidR="008F5C24">
        <w:rPr>
          <w:sz w:val="24"/>
          <w:szCs w:val="24"/>
        </w:rPr>
        <w:t xml:space="preserve"> </w:t>
      </w:r>
      <w:r w:rsidRPr="00E80454">
        <w:rPr>
          <w:sz w:val="24"/>
          <w:szCs w:val="24"/>
        </w:rPr>
        <w:t>Multilingual in English and Russian.</w:t>
      </w:r>
    </w:p>
    <w:p w14:paraId="2CDE75F5" w14:textId="77777777" w:rsidR="008F5C24" w:rsidRPr="00E80454" w:rsidRDefault="008F5C24" w:rsidP="008F5C24">
      <w:pPr>
        <w:pStyle w:val="Standard"/>
        <w:jc w:val="both"/>
        <w:rPr>
          <w:sz w:val="24"/>
          <w:szCs w:val="24"/>
        </w:rPr>
      </w:pPr>
    </w:p>
    <w:p w14:paraId="6D5FFDD6" w14:textId="77777777" w:rsidR="008F5C24" w:rsidRPr="00E80454" w:rsidRDefault="008F5C24" w:rsidP="008F5C24">
      <w:pPr>
        <w:pStyle w:val="Standard"/>
        <w:jc w:val="both"/>
        <w:rPr>
          <w:sz w:val="24"/>
          <w:szCs w:val="24"/>
        </w:rPr>
      </w:pPr>
      <w:r>
        <w:rPr>
          <w:b/>
        </w:rPr>
        <w:t xml:space="preserve">Core Competencies </w:t>
      </w:r>
      <w:r w:rsidRPr="005D6B97">
        <w:rPr>
          <w:b/>
        </w:rPr>
        <w:t>&amp; Technical Proficiencies</w:t>
      </w:r>
      <w:r>
        <w:rPr>
          <w:b/>
        </w:rPr>
        <w:t>:</w:t>
      </w: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2533"/>
        <w:gridCol w:w="7584"/>
      </w:tblGrid>
      <w:tr w:rsidR="008F5C24" w14:paraId="6B718E8C" w14:textId="77777777" w:rsidTr="008F5C2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533" w:type="dxa"/>
            <w:shd w:val="clear" w:color="auto" w:fill="auto"/>
          </w:tcPr>
          <w:p w14:paraId="1699DFAC" w14:textId="77777777" w:rsidR="008F5C24" w:rsidRDefault="008F5C24" w:rsidP="00123B4A">
            <w:pPr>
              <w:pStyle w:val="Title"/>
              <w:pBdr>
                <w:bottom w:val="none" w:sz="0" w:space="0" w:color="auto"/>
              </w:pBd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769268" wp14:editId="25DBA23C">
                  <wp:simplePos x="0" y="0"/>
                  <wp:positionH relativeFrom="column">
                    <wp:posOffset>1168241</wp:posOffset>
                  </wp:positionH>
                  <wp:positionV relativeFrom="paragraph">
                    <wp:posOffset>24385</wp:posOffset>
                  </wp:positionV>
                  <wp:extent cx="292608" cy="320040"/>
                  <wp:effectExtent l="0" t="0" r="0" b="0"/>
                  <wp:wrapNone/>
                  <wp:docPr id="5" name="Picture 5" descr="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5EB9469" wp14:editId="69A97E52">
                  <wp:extent cx="381000" cy="381000"/>
                  <wp:effectExtent l="0" t="0" r="0" b="0"/>
                  <wp:docPr id="6" name="Picture 6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ig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8" cy="38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600B7F" wp14:editId="4DA5DCB4">
                  <wp:extent cx="380559" cy="380559"/>
                  <wp:effectExtent l="0" t="0" r="0" b="0"/>
                  <wp:docPr id="7" name="Picture 7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2" cy="39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10CFDC" wp14:editId="11A3DB99">
                  <wp:extent cx="375274" cy="375274"/>
                  <wp:effectExtent l="0" t="0" r="0" b="0"/>
                  <wp:docPr id="8" name="Picture 8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sig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4" cy="37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4" w:type="dxa"/>
          </w:tcPr>
          <w:p w14:paraId="282696BD" w14:textId="77777777" w:rsidR="008F5C24" w:rsidRPr="00DA0D22" w:rsidRDefault="008F5C24" w:rsidP="00123B4A">
            <w:pPr>
              <w:pStyle w:val="Title"/>
              <w:pBdr>
                <w:bottom w:val="none" w:sz="0" w:space="0" w:color="auto"/>
              </w:pBdr>
              <w:jc w:val="left"/>
              <w:rPr>
                <w:sz w:val="36"/>
                <w:szCs w:val="36"/>
              </w:rPr>
            </w:pPr>
            <w:hyperlink r:id="rId13" w:history="1">
              <w:r>
                <w:rPr>
                  <w:color w:val="0070C0"/>
                  <w:sz w:val="36"/>
                  <w:szCs w:val="36"/>
                  <w:u w:val="single"/>
                </w:rPr>
                <w:t>...</w:t>
              </w:r>
            </w:hyperlink>
          </w:p>
        </w:tc>
      </w:tr>
    </w:tbl>
    <w:p w14:paraId="60F4C295" w14:textId="3DDB9B38" w:rsidR="005958E2" w:rsidRPr="006968E6" w:rsidRDefault="005958E2" w:rsidP="006968E6">
      <w:pPr>
        <w:pStyle w:val="Standard"/>
        <w:jc w:val="both"/>
        <w:rPr>
          <w:sz w:val="24"/>
          <w:szCs w:val="24"/>
        </w:rPr>
      </w:pPr>
    </w:p>
    <w:tbl>
      <w:tblPr>
        <w:tblW w:w="1091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2"/>
      </w:tblGrid>
      <w:tr w:rsidR="005958E2" w14:paraId="39261B83" w14:textId="77777777" w:rsidTr="001D30A6">
        <w:trPr>
          <w:trHeight w:val="1810"/>
        </w:trPr>
        <w:tc>
          <w:tcPr>
            <w:tcW w:w="10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90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66"/>
              <w:gridCol w:w="5342"/>
            </w:tblGrid>
            <w:tr w:rsidR="005958E2" w:rsidRPr="000232A3" w14:paraId="7EFCD894" w14:textId="77777777" w:rsidTr="001D30A6">
              <w:trPr>
                <w:trHeight w:val="1811"/>
              </w:trPr>
              <w:tc>
                <w:tcPr>
                  <w:tcW w:w="55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D9C378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5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and data architect</w:t>
                  </w:r>
                </w:p>
                <w:p w14:paraId="452C974E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database administrator (DBA)</w:t>
                  </w:r>
                </w:p>
                <w:p w14:paraId="5AB55477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Agile Scrum, Kanban, Waterfall and full SDLC</w:t>
                  </w:r>
                </w:p>
                <w:p w14:paraId="79763DDB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Multiple programming languages</w:t>
                  </w:r>
                </w:p>
                <w:p w14:paraId="482FF896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Multiple SQL and NoSQL database vendors</w:t>
                  </w:r>
                </w:p>
                <w:p w14:paraId="73608069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Modeling: entity relational, anchor, current, temporal, bi-temporal, graph</w:t>
                  </w:r>
                </w:p>
              </w:tc>
              <w:tc>
                <w:tcPr>
                  <w:tcW w:w="53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2B27E4" w14:textId="5946946E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and D</w:t>
                  </w:r>
                  <w:r w:rsidR="00473849" w:rsidRPr="000232A3">
                    <w:rPr>
                      <w:rFonts w:cs="Times New Roman"/>
                      <w:sz w:val="20"/>
                      <w:szCs w:val="20"/>
                    </w:rPr>
                    <w:t>ata Base</w:t>
                  </w:r>
                  <w:r w:rsidRPr="000232A3">
                    <w:rPr>
                      <w:rFonts w:cs="Times New Roman"/>
                      <w:sz w:val="20"/>
                      <w:szCs w:val="20"/>
                    </w:rPr>
                    <w:t xml:space="preserve"> developer</w:t>
                  </w:r>
                </w:p>
                <w:p w14:paraId="0AA63777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warehousing (DW)</w:t>
                  </w:r>
                </w:p>
                <w:p w14:paraId="25AA7758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governance</w:t>
                  </w:r>
                </w:p>
                <w:p w14:paraId="17B13DC4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Systems integration, ETL/ELT</w:t>
                  </w:r>
                </w:p>
                <w:p w14:paraId="059B5708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Business analysis and requirements</w:t>
                  </w:r>
                </w:p>
                <w:p w14:paraId="336684AE" w14:textId="77777777"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Alternative investments, Real Estate (RE) and Private Equity (PE) fund accounting and calculations</w:t>
                  </w:r>
                </w:p>
              </w:tc>
            </w:tr>
          </w:tbl>
          <w:p w14:paraId="450DB002" w14:textId="77777777" w:rsidR="005958E2" w:rsidRDefault="005958E2">
            <w:pPr>
              <w:pStyle w:val="Standard"/>
            </w:pPr>
          </w:p>
        </w:tc>
      </w:tr>
    </w:tbl>
    <w:p w14:paraId="6CBB9E81" w14:textId="77777777" w:rsidR="001D30A6" w:rsidRDefault="001D30A6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</w:p>
    <w:p w14:paraId="03989896" w14:textId="06FC6C22" w:rsidR="005958E2" w:rsidRDefault="003C576A" w:rsidP="005D6B97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Systems, </w:t>
      </w:r>
      <w:r w:rsidR="005D6B97">
        <w:rPr>
          <w:rFonts w:eastAsia="Times New Roman" w:cs="Times New Roman"/>
          <w:b/>
          <w:smallCaps/>
          <w:spacing w:val="30"/>
          <w:sz w:val="24"/>
          <w:szCs w:val="24"/>
        </w:rPr>
        <w:t xml:space="preserve">Applications &amp; </w:t>
      </w:r>
      <w:r>
        <w:rPr>
          <w:rFonts w:eastAsia="Times New Roman" w:cs="Times New Roman"/>
          <w:b/>
          <w:smallCaps/>
          <w:spacing w:val="30"/>
          <w:sz w:val="24"/>
          <w:szCs w:val="24"/>
        </w:rPr>
        <w:t>Tools</w:t>
      </w:r>
    </w:p>
    <w:p w14:paraId="1CCD1551" w14:textId="77777777" w:rsidR="005D6B97" w:rsidRDefault="005D6B97" w:rsidP="005D6B97">
      <w:pPr>
        <w:pStyle w:val="Standard"/>
        <w:jc w:val="center"/>
      </w:pPr>
    </w:p>
    <w:tbl>
      <w:tblPr>
        <w:tblW w:w="10759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8"/>
        <w:gridCol w:w="7991"/>
      </w:tblGrid>
      <w:tr w:rsidR="005958E2" w:rsidRPr="005E5610" w14:paraId="5B92E4EE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B37" w14:textId="77777777" w:rsidR="005958E2" w:rsidRPr="005E5610" w:rsidRDefault="003C576A">
            <w:pPr>
              <w:pStyle w:val="Standard"/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>Databases: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8609" w14:textId="483AD0BD" w:rsidR="005958E2" w:rsidRPr="005E5610" w:rsidRDefault="003C576A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Oracle, Sybase, Microsoft SQL Server, Ingres, MS Access; Exposure to MongoDB, PostgreSQL, AWS Redshift, AWS Dynamo</w:t>
            </w:r>
            <w:r w:rsidR="00473849" w:rsidRPr="005E5610">
              <w:rPr>
                <w:rFonts w:cs="Times New Roman"/>
              </w:rPr>
              <w:t xml:space="preserve"> </w:t>
            </w:r>
            <w:r w:rsidRPr="005E5610">
              <w:rPr>
                <w:rFonts w:cs="Times New Roman"/>
              </w:rPr>
              <w:t xml:space="preserve">Db, </w:t>
            </w:r>
            <w:hyperlink r:id="rId14" w:history="1">
              <w:r w:rsidRPr="005E5610">
                <w:rPr>
                  <w:rFonts w:cs="Times New Roman"/>
                </w:rPr>
                <w:t>Snowflake</w:t>
              </w:r>
            </w:hyperlink>
            <w:r w:rsidR="00701076">
              <w:rPr>
                <w:rFonts w:cs="Times New Roman"/>
              </w:rPr>
              <w:t>,</w:t>
            </w:r>
          </w:p>
        </w:tc>
      </w:tr>
      <w:tr w:rsidR="005958E2" w:rsidRPr="005E5610" w14:paraId="62317B7D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5A40" w14:textId="77777777" w:rsidR="005958E2" w:rsidRPr="005E5610" w:rsidRDefault="003C576A">
            <w:pPr>
              <w:pStyle w:val="Standard"/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>Cloud technologies: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1049" w14:textId="6E2E2A01" w:rsidR="005958E2" w:rsidRPr="005E5610" w:rsidRDefault="003C576A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AWS: S3 storage, EC2, Dynamo</w:t>
            </w:r>
            <w:r w:rsidR="00473849" w:rsidRPr="005E5610">
              <w:rPr>
                <w:rFonts w:cs="Times New Roman"/>
              </w:rPr>
              <w:t xml:space="preserve"> </w:t>
            </w:r>
            <w:r w:rsidRPr="005E5610">
              <w:rPr>
                <w:rFonts w:cs="Times New Roman"/>
              </w:rPr>
              <w:t>Db, Lambdas &amp; Step Functions</w:t>
            </w:r>
          </w:p>
        </w:tc>
      </w:tr>
      <w:tr w:rsidR="00D5655C" w:rsidRPr="005E5610" w14:paraId="3CC00BDC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B4261" w14:textId="74CADA01" w:rsidR="00D5655C" w:rsidRPr="005E5610" w:rsidRDefault="00D5655C">
            <w:pPr>
              <w:pStyle w:val="Standard"/>
              <w:ind w:right="232"/>
              <w:rPr>
                <w:rFonts w:cs="Times New Roman"/>
                <w:b/>
                <w:strike/>
              </w:rPr>
            </w:pPr>
            <w:r w:rsidRPr="005E5610">
              <w:rPr>
                <w:rFonts w:cs="Times New Roman"/>
                <w:b/>
              </w:rPr>
              <w:t>Data Modeling: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4029" w14:textId="7E48E9E8" w:rsidR="00D5655C" w:rsidRPr="005E5610" w:rsidRDefault="00D5655C">
            <w:pPr>
              <w:pStyle w:val="Standard"/>
              <w:ind w:left="-90" w:right="-90"/>
              <w:rPr>
                <w:rFonts w:cs="Times New Roman"/>
                <w:strike/>
              </w:rPr>
            </w:pPr>
            <w:r w:rsidRPr="005E5610">
              <w:rPr>
                <w:rFonts w:cs="Times New Roman"/>
              </w:rPr>
              <w:t>Erwin, ER-Studio, Unified Modeling Language (UML)</w:t>
            </w:r>
          </w:p>
        </w:tc>
      </w:tr>
      <w:tr w:rsidR="00D5655C" w:rsidRPr="005E5610" w14:paraId="7C7C9B97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BBC8" w14:textId="6293C5DC" w:rsidR="00D5655C" w:rsidRPr="005E5610" w:rsidRDefault="00D5655C">
            <w:pPr>
              <w:pStyle w:val="Standard"/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 xml:space="preserve">DW, BI and ETL/ELT: 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7BEB8" w14:textId="46B8060C" w:rsidR="00D5655C" w:rsidRPr="005E5610" w:rsidRDefault="00D5655C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ALTERYX, SNOWFLAKE, Golden Gate, SSIS, DATA STAGE, INFORMATICA</w:t>
            </w:r>
          </w:p>
        </w:tc>
      </w:tr>
      <w:tr w:rsidR="00D5655C" w:rsidRPr="005E5610" w14:paraId="2F7D897E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EEB5" w14:textId="798DD357" w:rsidR="00D5655C" w:rsidRPr="005E5610" w:rsidRDefault="00D5655C" w:rsidP="00562004">
            <w:pPr>
              <w:pStyle w:val="Standard"/>
              <w:tabs>
                <w:tab w:val="left" w:pos="-41"/>
              </w:tabs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>Languages and Tools: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8387" w14:textId="64CAD37E" w:rsidR="00D5655C" w:rsidRPr="005E5610" w:rsidRDefault="00D5655C" w:rsidP="00513CEA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SQL, PL/SQL, T-SQL, UNIX Shell, Python, Java Script, C/C++, Java, Visual Basic; HTML, XML, Git/GitHub, ClearCase, and Perforce</w:t>
            </w:r>
          </w:p>
        </w:tc>
      </w:tr>
      <w:tr w:rsidR="00D5655C" w:rsidRPr="005E5610" w14:paraId="4B5C5A18" w14:textId="77777777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06A21" w14:textId="61409164" w:rsidR="00D5655C" w:rsidRPr="005E5610" w:rsidRDefault="00D5655C" w:rsidP="00562004">
            <w:pPr>
              <w:pStyle w:val="Standard"/>
              <w:tabs>
                <w:tab w:val="left" w:pos="-41"/>
              </w:tabs>
              <w:ind w:right="232"/>
              <w:rPr>
                <w:rFonts w:cs="Times New Roman"/>
              </w:rPr>
            </w:pP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F81" w14:textId="468E6EE1" w:rsidR="00D5655C" w:rsidRPr="005E5610" w:rsidRDefault="00D5655C">
            <w:pPr>
              <w:pStyle w:val="Standard"/>
              <w:ind w:left="-90" w:right="-90"/>
              <w:rPr>
                <w:rFonts w:cs="Times New Roman"/>
              </w:rPr>
            </w:pPr>
          </w:p>
        </w:tc>
      </w:tr>
    </w:tbl>
    <w:p w14:paraId="278E8AD4" w14:textId="77777777" w:rsidR="005958E2" w:rsidRPr="00562004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 w:rsidRPr="00562004">
        <w:rPr>
          <w:rFonts w:eastAsia="Times New Roman" w:cs="Times New Roman"/>
          <w:b/>
          <w:smallCaps/>
          <w:spacing w:val="30"/>
          <w:sz w:val="24"/>
          <w:szCs w:val="24"/>
        </w:rPr>
        <w:t>Professional Experience</w:t>
      </w:r>
    </w:p>
    <w:p w14:paraId="2270A7FB" w14:textId="77777777" w:rsidR="006D516B" w:rsidRPr="00F65AA0" w:rsidRDefault="006D516B">
      <w:pPr>
        <w:pStyle w:val="Standard"/>
        <w:jc w:val="center"/>
        <w:rPr>
          <w:rFonts w:eastAsia="Times New Roman" w:cs="Times New Roman"/>
          <w:smallCaps/>
          <w:spacing w:val="30"/>
          <w:sz w:val="24"/>
          <w:szCs w:val="24"/>
        </w:rPr>
      </w:pPr>
    </w:p>
    <w:p w14:paraId="56E90E2A" w14:textId="77777777" w:rsidR="00F65AA0" w:rsidRPr="00AA3865" w:rsidRDefault="00F65AA0" w:rsidP="00F65AA0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5/2022 – present</w:t>
      </w:r>
    </w:p>
    <w:p w14:paraId="45D1541F" w14:textId="77777777" w:rsidR="00F65AA0" w:rsidRPr="00AA3865" w:rsidRDefault="00F65AA0" w:rsidP="00F65AA0">
      <w:pPr>
        <w:pStyle w:val="Standard"/>
        <w:rPr>
          <w:b/>
          <w:bCs/>
        </w:rPr>
      </w:pPr>
      <w:r w:rsidRPr="00AA3865">
        <w:rPr>
          <w:b/>
          <w:bCs/>
        </w:rPr>
        <w:t>Vice President</w:t>
      </w:r>
      <w:r w:rsidR="006D516B" w:rsidRPr="00AA3865">
        <w:rPr>
          <w:b/>
          <w:bCs/>
        </w:rPr>
        <w:t xml:space="preserve">, </w:t>
      </w:r>
      <w:r w:rsidRPr="00AA3865">
        <w:rPr>
          <w:b/>
          <w:bCs/>
        </w:rPr>
        <w:t>Lead Developer</w:t>
      </w:r>
      <w:r w:rsidR="00123C8B" w:rsidRPr="00AA3865">
        <w:rPr>
          <w:b/>
          <w:bCs/>
        </w:rPr>
        <w:t>, SME.</w:t>
      </w:r>
    </w:p>
    <w:p w14:paraId="3C659A5A" w14:textId="77777777" w:rsidR="006D516B" w:rsidRPr="001D30A6" w:rsidRDefault="006D516B" w:rsidP="00F65AA0">
      <w:pPr>
        <w:pStyle w:val="Standard"/>
      </w:pPr>
    </w:p>
    <w:p w14:paraId="3255D147" w14:textId="6A642691" w:rsidR="00C55C40" w:rsidRDefault="001D30A6" w:rsidP="005E5610">
      <w:pPr>
        <w:pStyle w:val="ListParagraph"/>
        <w:numPr>
          <w:ilvl w:val="0"/>
          <w:numId w:val="1"/>
        </w:numPr>
        <w:ind w:left="270" w:hanging="270"/>
      </w:pPr>
      <w:bookmarkStart w:id="0" w:name="_Hlk131173697"/>
      <w:r w:rsidRPr="001D30A6">
        <w:t xml:space="preserve">Lead developer on </w:t>
      </w:r>
      <w:r>
        <w:t>s</w:t>
      </w:r>
      <w:r w:rsidRPr="001D30A6">
        <w:t xml:space="preserve">trategic </w:t>
      </w:r>
      <w:r>
        <w:t>r</w:t>
      </w:r>
      <w:r w:rsidRPr="001D30A6">
        <w:t xml:space="preserve">e-tooling </w:t>
      </w:r>
      <w:r>
        <w:t xml:space="preserve">project for </w:t>
      </w:r>
      <w:r w:rsidRPr="001D30A6">
        <w:t xml:space="preserve">the </w:t>
      </w:r>
      <w:r w:rsidR="00C55C40">
        <w:t xml:space="preserve">Real Estate </w:t>
      </w:r>
      <w:r w:rsidRPr="001D30A6">
        <w:t xml:space="preserve">Fund Accounting Calculation System for </w:t>
      </w:r>
      <w:r w:rsidR="00C55C40">
        <w:t>Morgan Stanley</w:t>
      </w:r>
      <w:r w:rsidRPr="001D30A6">
        <w:t>.</w:t>
      </w:r>
      <w:r>
        <w:t xml:space="preserve"> </w:t>
      </w:r>
    </w:p>
    <w:p w14:paraId="69CE4258" w14:textId="3AC6C748" w:rsidR="00816E95" w:rsidRDefault="00384A64" w:rsidP="005E5610">
      <w:pPr>
        <w:pStyle w:val="ListParagraph"/>
        <w:numPr>
          <w:ilvl w:val="0"/>
          <w:numId w:val="1"/>
        </w:numPr>
        <w:ind w:left="270" w:hanging="270"/>
      </w:pPr>
      <w:r>
        <w:t>Defined</w:t>
      </w:r>
      <w:r w:rsidR="006D516B">
        <w:t xml:space="preserve"> the </w:t>
      </w:r>
      <w:r>
        <w:t xml:space="preserve">goal and the </w:t>
      </w:r>
      <w:r w:rsidR="006D516B">
        <w:t xml:space="preserve">approach the for modularization of the </w:t>
      </w:r>
      <w:r w:rsidR="00CA4EFD">
        <w:t xml:space="preserve">Calculation </w:t>
      </w:r>
      <w:r w:rsidR="006D516B">
        <w:t>Workflow</w:t>
      </w:r>
      <w:r w:rsidR="00CA4EFD">
        <w:t>s using Alteryx macros</w:t>
      </w:r>
      <w:r w:rsidR="006D516B">
        <w:t xml:space="preserve">. </w:t>
      </w:r>
    </w:p>
    <w:p w14:paraId="3C62D79F" w14:textId="00E19999" w:rsidR="006D516B" w:rsidRDefault="00816E95" w:rsidP="005E5610">
      <w:pPr>
        <w:pStyle w:val="ListParagraph"/>
        <w:numPr>
          <w:ilvl w:val="0"/>
          <w:numId w:val="1"/>
        </w:numPr>
        <w:ind w:left="270" w:hanging="270"/>
      </w:pPr>
      <w:r>
        <w:t>Suggested decomposition of Distributions, NAV and FEE calculations into reusable modules for Alteryx implementation.</w:t>
      </w:r>
    </w:p>
    <w:p w14:paraId="36F6CEAC" w14:textId="0CC02878" w:rsidR="001D30A6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Implemented Unfunded Commitment module and </w:t>
      </w:r>
      <w:r w:rsidR="0020416F">
        <w:t>f</w:t>
      </w:r>
      <w:r>
        <w:t>eed to Investor Correspondence module for Draw Down calculation.</w:t>
      </w:r>
    </w:p>
    <w:p w14:paraId="7979A937" w14:textId="0A01A537" w:rsidR="002851F8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Designed </w:t>
      </w:r>
      <w:r w:rsidR="002851F8">
        <w:t xml:space="preserve">a </w:t>
      </w:r>
      <w:r>
        <w:t xml:space="preserve">database to support </w:t>
      </w:r>
      <w:r w:rsidR="002851F8">
        <w:t>b</w:t>
      </w:r>
      <w:r w:rsidR="00CA4EFD">
        <w:t>usiness</w:t>
      </w:r>
      <w:r>
        <w:t xml:space="preserve"> </w:t>
      </w:r>
      <w:r w:rsidR="002851F8">
        <w:t>p</w:t>
      </w:r>
      <w:r>
        <w:t xml:space="preserve">rocess around the </w:t>
      </w:r>
      <w:r w:rsidR="002851F8">
        <w:t>Alteryx Flows</w:t>
      </w:r>
      <w:r>
        <w:t xml:space="preserve"> and future feeds to SSCD.</w:t>
      </w:r>
    </w:p>
    <w:p w14:paraId="13738193" w14:textId="77777777" w:rsidR="005E5610" w:rsidRDefault="0049655C" w:rsidP="00384A64">
      <w:pPr>
        <w:pStyle w:val="ListParagraph"/>
        <w:numPr>
          <w:ilvl w:val="0"/>
          <w:numId w:val="1"/>
        </w:numPr>
        <w:ind w:left="270" w:hanging="270"/>
        <w:rPr>
          <w:b/>
          <w:bCs/>
          <w:u w:val="single"/>
        </w:rPr>
      </w:pPr>
      <w:r w:rsidRPr="001D30A6">
        <w:t>Participated in a continuous support and enhancement of the DHUB – State Street back-office trade settlement, reconciliation, valuation and accounting system.</w:t>
      </w:r>
      <w:r w:rsidR="00AA3865" w:rsidRPr="005E5610">
        <w:rPr>
          <w:u w:val="single"/>
        </w:rPr>
        <w:br/>
      </w:r>
    </w:p>
    <w:bookmarkEnd w:id="0"/>
    <w:p w14:paraId="562BEEFF" w14:textId="68A5DA6C" w:rsidR="005958E2" w:rsidRPr="005E5610" w:rsidRDefault="005E5610" w:rsidP="005E5610">
      <w:pPr>
        <w:pStyle w:val="Standard"/>
        <w:tabs>
          <w:tab w:val="right" w:pos="10800"/>
        </w:tabs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3C576A" w:rsidRPr="005E5610">
        <w:rPr>
          <w:b/>
          <w:bCs/>
          <w:u w:val="single"/>
        </w:rPr>
        <w:lastRenderedPageBreak/>
        <w:t>BROADRIDGE, Jersey City, NJ</w:t>
      </w:r>
      <w:r w:rsidR="00454B42" w:rsidRPr="005E5610">
        <w:rPr>
          <w:b/>
          <w:bCs/>
          <w:u w:val="single"/>
        </w:rPr>
        <w:t xml:space="preserve">                                                                                                        </w:t>
      </w:r>
      <w:r w:rsidR="00F65AA0" w:rsidRPr="005E5610">
        <w:rPr>
          <w:b/>
          <w:bCs/>
          <w:u w:val="single"/>
        </w:rPr>
        <w:t>5/</w:t>
      </w:r>
      <w:r w:rsidR="003C576A" w:rsidRPr="005E5610">
        <w:rPr>
          <w:b/>
          <w:bCs/>
          <w:u w:val="single"/>
        </w:rPr>
        <w:t>20</w:t>
      </w:r>
      <w:r w:rsidR="008F6CAC" w:rsidRPr="005E5610">
        <w:rPr>
          <w:b/>
          <w:bCs/>
          <w:u w:val="single"/>
        </w:rPr>
        <w:t>21</w:t>
      </w:r>
      <w:r w:rsidR="003C576A" w:rsidRPr="005E5610">
        <w:rPr>
          <w:b/>
          <w:bCs/>
          <w:u w:val="single"/>
        </w:rPr>
        <w:t xml:space="preserve"> – </w:t>
      </w:r>
      <w:r w:rsidR="00F65AA0" w:rsidRPr="005E5610">
        <w:rPr>
          <w:b/>
          <w:bCs/>
          <w:u w:val="single"/>
        </w:rPr>
        <w:t>5/2022</w:t>
      </w:r>
    </w:p>
    <w:p w14:paraId="6E7C8BCB" w14:textId="2652A89B" w:rsidR="005958E2" w:rsidRPr="00E06889" w:rsidRDefault="003C576A">
      <w:pPr>
        <w:pStyle w:val="Standard"/>
        <w:rPr>
          <w:b/>
        </w:rPr>
      </w:pPr>
      <w:r w:rsidRPr="00E06889">
        <w:rPr>
          <w:b/>
        </w:rPr>
        <w:t>Dev Lead – Consultant</w:t>
      </w:r>
    </w:p>
    <w:p w14:paraId="4C1B1A93" w14:textId="77777777" w:rsidR="00AA3865" w:rsidRDefault="00AA3865">
      <w:pPr>
        <w:pStyle w:val="Standard"/>
        <w:rPr>
          <w:b/>
          <w:u w:val="single"/>
        </w:rPr>
      </w:pPr>
    </w:p>
    <w:p w14:paraId="6368E3D7" w14:textId="086D3AC2" w:rsidR="00980276" w:rsidRDefault="003C576A" w:rsidP="005E5610">
      <w:pPr>
        <w:pStyle w:val="Standard"/>
        <w:numPr>
          <w:ilvl w:val="0"/>
          <w:numId w:val="15"/>
        </w:numPr>
        <w:ind w:left="360"/>
      </w:pPr>
      <w:r>
        <w:t xml:space="preserve">Lead a team of data engineers in implementation of a data flows to </w:t>
      </w:r>
      <w:r w:rsidR="00F65AA0">
        <w:t>deliver</w:t>
      </w:r>
      <w:r>
        <w:t xml:space="preserve"> data from the company's Fee Calculation Revenue and Billing System </w:t>
      </w:r>
      <w:r w:rsidR="00F65AA0">
        <w:t>(</w:t>
      </w:r>
      <w:proofErr w:type="spellStart"/>
      <w:r>
        <w:t>Revport</w:t>
      </w:r>
      <w:proofErr w:type="spellEnd"/>
      <w:r w:rsidR="00F65AA0">
        <w:t>)</w:t>
      </w:r>
      <w:r>
        <w:t xml:space="preserve"> to a major Client. The ELT</w:t>
      </w:r>
      <w:r w:rsidR="00247085">
        <w:t xml:space="preserve"> flows</w:t>
      </w:r>
      <w:r>
        <w:t xml:space="preserve"> </w:t>
      </w:r>
      <w:r w:rsidR="00247085">
        <w:t>were</w:t>
      </w:r>
      <w:r>
        <w:t xml:space="preserve"> configured within in-house server-less pipeline framework implemented in AWS. </w:t>
      </w:r>
      <w:r w:rsidR="00473849">
        <w:t>Delivered to Client in time within budget.</w:t>
      </w:r>
    </w:p>
    <w:p w14:paraId="6D48ABFA" w14:textId="77777777" w:rsidR="00D25E32" w:rsidRDefault="00D25E32" w:rsidP="00D25E32">
      <w:pPr>
        <w:pStyle w:val="ListParagraph"/>
        <w:ind w:left="360"/>
      </w:pPr>
    </w:p>
    <w:p w14:paraId="0A402174" w14:textId="77777777"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2/2012 – 4/2021</w:t>
      </w:r>
    </w:p>
    <w:p w14:paraId="5950140A" w14:textId="77777777" w:rsidR="005958E2" w:rsidRDefault="003C576A">
      <w:pPr>
        <w:pStyle w:val="Standard"/>
        <w:rPr>
          <w:b/>
        </w:rPr>
      </w:pPr>
      <w:r>
        <w:rPr>
          <w:b/>
        </w:rPr>
        <w:t>Vice President</w:t>
      </w:r>
    </w:p>
    <w:p w14:paraId="701DA69C" w14:textId="64C48EC7" w:rsidR="005958E2" w:rsidRDefault="003C576A">
      <w:pPr>
        <w:pStyle w:val="Standard"/>
        <w:rPr>
          <w:b/>
        </w:rPr>
      </w:pPr>
      <w:r>
        <w:rPr>
          <w:b/>
        </w:rPr>
        <w:t>System and Data Architect, Lead Developer</w:t>
      </w:r>
      <w:r w:rsidR="00744891">
        <w:rPr>
          <w:b/>
        </w:rPr>
        <w:t>, SME.</w:t>
      </w:r>
    </w:p>
    <w:p w14:paraId="3C8DACDA" w14:textId="77777777" w:rsidR="005958E2" w:rsidRDefault="005958E2">
      <w:pPr>
        <w:pStyle w:val="Standard"/>
        <w:rPr>
          <w:b/>
        </w:rPr>
      </w:pPr>
    </w:p>
    <w:p w14:paraId="222CFC8A" w14:textId="77777777" w:rsidR="005958E2" w:rsidRDefault="003C576A">
      <w:pPr>
        <w:pStyle w:val="Standard"/>
        <w:rPr>
          <w:b/>
        </w:rPr>
      </w:pPr>
      <w:r>
        <w:rPr>
          <w:b/>
        </w:rPr>
        <w:t>11/2018 -</w:t>
      </w:r>
      <w:r w:rsidR="00980276" w:rsidRPr="00980276">
        <w:rPr>
          <w:b/>
        </w:rPr>
        <w:t xml:space="preserve"> 4/2021</w:t>
      </w:r>
    </w:p>
    <w:p w14:paraId="68C682C1" w14:textId="56FB3978" w:rsidR="00513CEA" w:rsidRDefault="00744891" w:rsidP="005E5610">
      <w:pPr>
        <w:pStyle w:val="Standard"/>
        <w:numPr>
          <w:ilvl w:val="0"/>
          <w:numId w:val="14"/>
        </w:numPr>
        <w:ind w:left="360"/>
      </w:pPr>
      <w:r>
        <w:t>I</w:t>
      </w:r>
      <w:r w:rsidR="003C576A">
        <w:t>mplemented data strategy solution for private equity (PE) and real assets (RA) data integration and data warehousing</w:t>
      </w:r>
      <w:r w:rsidR="00974556">
        <w:t xml:space="preserve"> </w:t>
      </w:r>
      <w:r w:rsidR="003C576A">
        <w:t xml:space="preserve"> using enterprise-wide data service platform (ESP). Ensured data was fed from fund accounting, portfolio management, general ledger, and other internal systems, then integrated, transformed, enhanced, and delivered or presented in a holistic unified view to the business and diverse groups of clients.</w:t>
      </w:r>
      <w:r w:rsidR="00974556">
        <w:t xml:space="preserve"> </w:t>
      </w:r>
    </w:p>
    <w:p w14:paraId="787310E3" w14:textId="77777777" w:rsidR="002851F8" w:rsidRDefault="002851F8" w:rsidP="00980276">
      <w:pPr>
        <w:pStyle w:val="Standard"/>
        <w:rPr>
          <w:b/>
        </w:rPr>
      </w:pPr>
    </w:p>
    <w:p w14:paraId="22932738" w14:textId="199807E1" w:rsidR="005958E2" w:rsidRDefault="003C576A" w:rsidP="00980276">
      <w:pPr>
        <w:pStyle w:val="Standard"/>
        <w:rPr>
          <w:b/>
        </w:rPr>
      </w:pPr>
      <w:r>
        <w:rPr>
          <w:b/>
        </w:rPr>
        <w:t>2/2012 – 11/2018</w:t>
      </w:r>
    </w:p>
    <w:p w14:paraId="43BA2A17" w14:textId="77777777" w:rsidR="00974556" w:rsidRDefault="00744891" w:rsidP="005E5610">
      <w:pPr>
        <w:pStyle w:val="Standard"/>
        <w:numPr>
          <w:ilvl w:val="0"/>
          <w:numId w:val="13"/>
        </w:numPr>
        <w:ind w:left="360"/>
      </w:pPr>
      <w:r>
        <w:t>E</w:t>
      </w:r>
      <w:r w:rsidR="003C576A">
        <w:t xml:space="preserve">nhanced and maintained the real estate and private equity investment fund accounting platform handling multiple funds with total assets under management (AUM) of approximately $30B USD, and performing complex limited partnership agreement (LPA) investor-level calculations with large volumes of detail transactional data. </w:t>
      </w:r>
      <w:r>
        <w:t xml:space="preserve">Lead a team of onsite, offsite and offshore developers. </w:t>
      </w:r>
    </w:p>
    <w:p w14:paraId="68E183AB" w14:textId="2E851D1A" w:rsidR="00974556" w:rsidRDefault="00974556" w:rsidP="005E5610">
      <w:pPr>
        <w:pStyle w:val="Standard"/>
        <w:numPr>
          <w:ilvl w:val="0"/>
          <w:numId w:val="13"/>
        </w:numPr>
        <w:ind w:left="360"/>
      </w:pPr>
      <w:r>
        <w:t>D</w:t>
      </w:r>
      <w:r w:rsidR="003C576A">
        <w:t>esign</w:t>
      </w:r>
      <w:r>
        <w:t>ed</w:t>
      </w:r>
      <w:r w:rsidR="003C576A">
        <w:t>, develop</w:t>
      </w:r>
      <w:r>
        <w:t>ed</w:t>
      </w:r>
      <w:r w:rsidR="003C576A">
        <w:t>, and support</w:t>
      </w:r>
      <w:r>
        <w:t>ed</w:t>
      </w:r>
      <w:r w:rsidR="003C576A">
        <w:t xml:space="preserve"> the system’s data repositories, </w:t>
      </w:r>
      <w:r>
        <w:t xml:space="preserve">ensured </w:t>
      </w:r>
      <w:r w:rsidR="003C576A">
        <w:t xml:space="preserve">interoperability and integration of the component subsystems. </w:t>
      </w:r>
    </w:p>
    <w:p w14:paraId="0254418D" w14:textId="4BDC98DF" w:rsidR="005958E2" w:rsidRDefault="003C576A" w:rsidP="005E5610">
      <w:pPr>
        <w:pStyle w:val="Standard"/>
        <w:numPr>
          <w:ilvl w:val="0"/>
          <w:numId w:val="13"/>
        </w:numPr>
        <w:ind w:left="360"/>
      </w:pPr>
      <w:r>
        <w:t>Principal developer of the reporting data warehouse that interfaced BI subsystem and integrated with fund-level ledger and investor services subsystems. Ensured consistency and near-real time delivery of calculation results and dimension changes to the data warehouse.</w:t>
      </w:r>
    </w:p>
    <w:p w14:paraId="1AC26F81" w14:textId="77777777" w:rsidR="00D25E32" w:rsidRDefault="00D25E32" w:rsidP="00D25E32">
      <w:pPr>
        <w:pStyle w:val="ListParagraph"/>
      </w:pPr>
    </w:p>
    <w:p w14:paraId="339D0059" w14:textId="77777777"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MORGAN STANLEY, New York, NY</w:t>
      </w:r>
      <w:r w:rsidRPr="00AA3865">
        <w:rPr>
          <w:b/>
          <w:bCs/>
          <w:u w:val="single"/>
        </w:rPr>
        <w:tab/>
        <w:t>1999 – 2/2012</w:t>
      </w:r>
    </w:p>
    <w:p w14:paraId="29231CFE" w14:textId="77777777" w:rsidR="005958E2" w:rsidRDefault="003C576A">
      <w:pPr>
        <w:pStyle w:val="Standard"/>
        <w:rPr>
          <w:b/>
        </w:rPr>
      </w:pPr>
      <w:r>
        <w:rPr>
          <w:b/>
        </w:rPr>
        <w:t>Senior Technical Lead and Architect</w:t>
      </w:r>
    </w:p>
    <w:p w14:paraId="431BFAC4" w14:textId="77777777" w:rsidR="005958E2" w:rsidRDefault="005958E2">
      <w:pPr>
        <w:pStyle w:val="Standard"/>
        <w:rPr>
          <w:b/>
        </w:rPr>
      </w:pPr>
    </w:p>
    <w:p w14:paraId="4D138141" w14:textId="77777777"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Principal architect of the </w:t>
      </w:r>
      <w:r w:rsidR="0020416F" w:rsidRPr="00974556">
        <w:t xml:space="preserve">Real Estate Funds </w:t>
      </w:r>
      <w:r w:rsidRPr="00974556">
        <w:t xml:space="preserve">calculations and reporting system. Provided Morgan Stanley (MS) controllers with an </w:t>
      </w:r>
      <w:r w:rsidR="0020416F" w:rsidRPr="00974556">
        <w:t xml:space="preserve">investor level sub ledger, </w:t>
      </w:r>
      <w:r w:rsidRPr="00974556">
        <w:t xml:space="preserve">analytical and calculation tool for the MSREF family of funds. </w:t>
      </w:r>
      <w:r w:rsidR="0020416F" w:rsidRPr="00974556">
        <w:t>Lead</w:t>
      </w:r>
      <w:r w:rsidRPr="00974556">
        <w:t xml:space="preserve"> a team of onshore and offshore developers in re-engineering, enhancement, and support of the system. </w:t>
      </w:r>
    </w:p>
    <w:p w14:paraId="74EBA796" w14:textId="77777777"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Ensured stability, continuity, and consistency of the implementation. </w:t>
      </w:r>
    </w:p>
    <w:p w14:paraId="1C01F798" w14:textId="77777777"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With minimal resources (three to six people), scaled up processing and support from three funds to a total of nine domestic and international funds, with ever increasing functionality, complexity of algorithms, and volumes of data, serving funds with about $10B of committed capital and assets under management. </w:t>
      </w:r>
    </w:p>
    <w:p w14:paraId="236FF76A" w14:textId="0F89294C" w:rsidR="005958E2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Co-authored and patented the technology which was a key intellectual property asset acquired by State Street as part of the </w:t>
      </w:r>
      <w:r w:rsidR="00DB7A24" w:rsidRPr="00974556">
        <w:t>function</w:t>
      </w:r>
      <w:r w:rsidRPr="00974556">
        <w:t xml:space="preserve"> transfer </w:t>
      </w:r>
      <w:r w:rsidR="00DB7A24" w:rsidRPr="00974556">
        <w:t>from Morgan Stanley</w:t>
      </w:r>
      <w:r w:rsidRPr="00974556">
        <w:t>.</w:t>
      </w:r>
    </w:p>
    <w:p w14:paraId="09D02DAB" w14:textId="77777777" w:rsidR="005958E2" w:rsidRDefault="005958E2">
      <w:pPr>
        <w:pStyle w:val="Standard"/>
        <w:tabs>
          <w:tab w:val="right" w:pos="10800"/>
        </w:tabs>
        <w:rPr>
          <w:u w:val="single"/>
        </w:rPr>
      </w:pPr>
    </w:p>
    <w:p w14:paraId="12749C6B" w14:textId="77777777" w:rsidR="005958E2" w:rsidRDefault="003C576A">
      <w:pPr>
        <w:pStyle w:val="Standard"/>
        <w:tabs>
          <w:tab w:val="right" w:pos="10800"/>
        </w:tabs>
        <w:rPr>
          <w:u w:val="single"/>
        </w:rPr>
      </w:pPr>
      <w:bookmarkStart w:id="1" w:name="Bookmark"/>
      <w:bookmarkEnd w:id="1"/>
      <w:r>
        <w:rPr>
          <w:u w:val="single"/>
        </w:rPr>
        <w:t>Other:</w:t>
      </w:r>
    </w:p>
    <w:p w14:paraId="1EA16E2F" w14:textId="77777777" w:rsidR="005958E2" w:rsidRDefault="003C576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EXEL Reinsurance, Bermuda;  MetLife, NJ;  Republic National Bank,  NY;  </w:t>
      </w:r>
      <w:proofErr w:type="spellStart"/>
      <w:r>
        <w:rPr>
          <w:rFonts w:ascii="Arial" w:hAnsi="Arial" w:cs="Arial"/>
        </w:rPr>
        <w:t>Sandata</w:t>
      </w:r>
      <w:proofErr w:type="spellEnd"/>
      <w:r>
        <w:rPr>
          <w:rFonts w:ascii="Arial" w:hAnsi="Arial" w:cs="Arial"/>
        </w:rPr>
        <w:t xml:space="preserve"> Technologies, NY;</w:t>
      </w:r>
    </w:p>
    <w:p w14:paraId="320CC9F1" w14:textId="77777777" w:rsidR="005958E2" w:rsidRDefault="005958E2">
      <w:pPr>
        <w:pStyle w:val="Standard"/>
      </w:pPr>
    </w:p>
    <w:p w14:paraId="2FAC01F9" w14:textId="77777777" w:rsidR="005958E2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>Education</w:t>
      </w:r>
    </w:p>
    <w:p w14:paraId="74D4805D" w14:textId="77777777" w:rsidR="005958E2" w:rsidRDefault="005958E2">
      <w:pPr>
        <w:pStyle w:val="Standard"/>
      </w:pPr>
    </w:p>
    <w:p w14:paraId="174D5C3F" w14:textId="77777777" w:rsidR="005958E2" w:rsidRDefault="003C576A">
      <w:pPr>
        <w:pStyle w:val="Standard"/>
      </w:pPr>
      <w:r>
        <w:rPr>
          <w:b/>
        </w:rPr>
        <w:t>Master of Science</w:t>
      </w:r>
      <w:r>
        <w:t xml:space="preserve">, Computer Science, minor in Applied Mathematics, with honors, </w:t>
      </w:r>
      <w:proofErr w:type="spellStart"/>
      <w:r>
        <w:rPr>
          <w:smallCaps/>
          <w:u w:val="single"/>
        </w:rPr>
        <w:t>Gubkin</w:t>
      </w:r>
      <w:proofErr w:type="spellEnd"/>
      <w:r>
        <w:rPr>
          <w:smallCaps/>
          <w:u w:val="single"/>
        </w:rPr>
        <w:t xml:space="preserve"> Russian State University of Oil and Gas</w:t>
      </w:r>
      <w:r>
        <w:t>, USSR</w:t>
      </w:r>
    </w:p>
    <w:p w14:paraId="0DD8A0B3" w14:textId="77777777" w:rsidR="005958E2" w:rsidRDefault="00000000">
      <w:pPr>
        <w:pStyle w:val="Title"/>
        <w:pBdr>
          <w:bottom w:val="none" w:sz="0" w:space="0" w:color="auto"/>
        </w:pBdr>
      </w:pPr>
      <w:hyperlink r:id="rId15" w:history="1"/>
    </w:p>
    <w:p w14:paraId="4A99B543" w14:textId="77777777" w:rsidR="005958E2" w:rsidRPr="00513CEA" w:rsidRDefault="00000000">
      <w:pPr>
        <w:pStyle w:val="Title"/>
        <w:pBdr>
          <w:bottom w:val="none" w:sz="0" w:space="0" w:color="auto"/>
        </w:pBdr>
        <w:jc w:val="left"/>
        <w:rPr>
          <w:color w:val="0070C0"/>
          <w:u w:val="single"/>
        </w:rPr>
      </w:pPr>
      <w:hyperlink r:id="rId16" w:history="1">
        <w:r w:rsidR="003C576A" w:rsidRPr="00513CEA">
          <w:rPr>
            <w:color w:val="0070C0"/>
            <w:u w:val="single"/>
          </w:rPr>
          <w:t>Patent, Recent Trainings and Certifications</w:t>
        </w:r>
      </w:hyperlink>
    </w:p>
    <w:p w14:paraId="05CBBB10" w14:textId="77777777" w:rsidR="005958E2" w:rsidRDefault="005958E2">
      <w:pPr>
        <w:pStyle w:val="Standard"/>
      </w:pPr>
    </w:p>
    <w:sectPr w:rsidR="005958E2" w:rsidSect="005958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450" w:bottom="540" w:left="9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BA8D" w14:textId="77777777" w:rsidR="00F43F41" w:rsidRDefault="00F43F41" w:rsidP="005958E2">
      <w:pPr>
        <w:spacing w:after="0" w:line="240" w:lineRule="auto"/>
      </w:pPr>
      <w:r>
        <w:separator/>
      </w:r>
    </w:p>
  </w:endnote>
  <w:endnote w:type="continuationSeparator" w:id="0">
    <w:p w14:paraId="176079BE" w14:textId="77777777" w:rsidR="00F43F41" w:rsidRDefault="00F43F41" w:rsidP="0059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DDA2" w14:textId="77777777" w:rsidR="008F5C24" w:rsidRDefault="008F5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D52F" w14:textId="71F2D05E" w:rsidR="00CA4EFD" w:rsidRDefault="00CA4EFD" w:rsidP="00CA4EFD">
    <w:pPr>
      <w:pStyle w:val="Footer"/>
    </w:pPr>
    <w:bookmarkStart w:id="2" w:name="SSCStd1FooterPrimary"/>
    <w:r w:rsidRPr="00CA4EFD">
      <w:rPr>
        <w:rFonts w:ascii="Arial" w:hAnsi="Arial" w:cs="Arial"/>
        <w:color w:val="000000"/>
        <w:sz w:val="18"/>
      </w:rPr>
      <w:t>Information Classification: Limited Access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E078" w14:textId="391BED0A" w:rsidR="00CA4EFD" w:rsidRDefault="00CA4EFD" w:rsidP="00CA4EFD">
    <w:pPr>
      <w:pStyle w:val="Footer"/>
    </w:pPr>
    <w:bookmarkStart w:id="3" w:name="SSCStd1FooterFirstPage"/>
    <w:r w:rsidRPr="00CA4EFD">
      <w:rPr>
        <w:rFonts w:ascii="Arial" w:hAnsi="Arial" w:cs="Arial"/>
        <w:color w:val="000000"/>
        <w:sz w:val="18"/>
      </w:rPr>
      <w:t>Information Classification: Limited Access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9F97" w14:textId="77777777" w:rsidR="00F43F41" w:rsidRDefault="00F43F41" w:rsidP="005958E2">
      <w:pPr>
        <w:spacing w:after="0" w:line="240" w:lineRule="auto"/>
      </w:pPr>
      <w:r w:rsidRPr="005958E2">
        <w:rPr>
          <w:color w:val="000000"/>
        </w:rPr>
        <w:separator/>
      </w:r>
    </w:p>
  </w:footnote>
  <w:footnote w:type="continuationSeparator" w:id="0">
    <w:p w14:paraId="79868216" w14:textId="77777777" w:rsidR="00F43F41" w:rsidRDefault="00F43F41" w:rsidP="0059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9C7F" w14:textId="77777777" w:rsidR="008F5C24" w:rsidRDefault="008F5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471D" w14:textId="77777777" w:rsidR="005958E2" w:rsidRPr="00AA3865" w:rsidRDefault="005958E2">
    <w:pPr>
      <w:pStyle w:val="Header"/>
      <w:pBdr>
        <w:bottom w:val="double" w:sz="2" w:space="0" w:color="00000A"/>
      </w:pBdr>
      <w:tabs>
        <w:tab w:val="clear" w:pos="9360"/>
        <w:tab w:val="right" w:pos="10800"/>
      </w:tabs>
      <w:spacing w:before="60" w:after="200"/>
      <w:rPr>
        <w:color w:val="BFBFBF" w:themeColor="background1" w:themeShade="BF"/>
      </w:rPr>
    </w:pP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>Vladimir Beyder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color w:val="BFBFBF" w:themeColor="background1" w:themeShade="BF"/>
        <w:spacing w:val="20"/>
        <w:sz w:val="24"/>
        <w:szCs w:val="24"/>
      </w:rPr>
      <w:t>Page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 xml:space="preserve"> </w:t>
    </w:r>
    <w:r w:rsidRPr="00AA3865">
      <w:rPr>
        <w:color w:val="BFBFBF" w:themeColor="background1" w:themeShade="BF"/>
      </w:rPr>
      <w:fldChar w:fldCharType="begin"/>
    </w:r>
    <w:r w:rsidRPr="00AA3865">
      <w:rPr>
        <w:color w:val="BFBFBF" w:themeColor="background1" w:themeShade="BF"/>
      </w:rPr>
      <w:instrText xml:space="preserve"> PAGE </w:instrText>
    </w:r>
    <w:r w:rsidRPr="00AA3865">
      <w:rPr>
        <w:color w:val="BFBFBF" w:themeColor="background1" w:themeShade="BF"/>
      </w:rPr>
      <w:fldChar w:fldCharType="separate"/>
    </w:r>
    <w:r w:rsidR="00C55C40" w:rsidRPr="00AA3865">
      <w:rPr>
        <w:noProof/>
        <w:color w:val="BFBFBF" w:themeColor="background1" w:themeShade="BF"/>
      </w:rPr>
      <w:t>4</w:t>
    </w:r>
    <w:r w:rsidRPr="00AA3865">
      <w:rPr>
        <w:noProof/>
        <w:color w:val="BFBFBF" w:themeColor="background1" w:themeShade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A333" w14:textId="77777777" w:rsidR="008F5C24" w:rsidRDefault="008F5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C32"/>
    <w:multiLevelType w:val="hybridMultilevel"/>
    <w:tmpl w:val="D0F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367C"/>
    <w:multiLevelType w:val="hybridMultilevel"/>
    <w:tmpl w:val="D620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BF6"/>
    <w:multiLevelType w:val="multilevel"/>
    <w:tmpl w:val="8780D6DA"/>
    <w:styleLink w:val="WWNum3"/>
    <w:lvl w:ilvl="0">
      <w:numFmt w:val="bullet"/>
      <w:lvlText w:val="-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30E459D"/>
    <w:multiLevelType w:val="hybridMultilevel"/>
    <w:tmpl w:val="9B6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709F"/>
    <w:multiLevelType w:val="multilevel"/>
    <w:tmpl w:val="90B4D52A"/>
    <w:styleLink w:val="WWNum4"/>
    <w:lvl w:ilvl="0">
      <w:numFmt w:val="bullet"/>
      <w:lvlText w:val="-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A0E48F8"/>
    <w:multiLevelType w:val="multilevel"/>
    <w:tmpl w:val="1F3CAF6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05E0020"/>
    <w:multiLevelType w:val="hybridMultilevel"/>
    <w:tmpl w:val="CE86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D6352"/>
    <w:multiLevelType w:val="hybridMultilevel"/>
    <w:tmpl w:val="024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36F8"/>
    <w:multiLevelType w:val="hybridMultilevel"/>
    <w:tmpl w:val="3066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199F"/>
    <w:multiLevelType w:val="multilevel"/>
    <w:tmpl w:val="1DB04BAA"/>
    <w:styleLink w:val="WWNum2"/>
    <w:lvl w:ilvl="0">
      <w:numFmt w:val="bullet"/>
      <w:lvlText w:val="•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 w16cid:durableId="314845277">
    <w:abstractNumId w:val="5"/>
  </w:num>
  <w:num w:numId="2" w16cid:durableId="1334605326">
    <w:abstractNumId w:val="9"/>
  </w:num>
  <w:num w:numId="3" w16cid:durableId="1393233081">
    <w:abstractNumId w:val="2"/>
  </w:num>
  <w:num w:numId="4" w16cid:durableId="553008199">
    <w:abstractNumId w:val="4"/>
  </w:num>
  <w:num w:numId="5" w16cid:durableId="1952929995">
    <w:abstractNumId w:val="5"/>
  </w:num>
  <w:num w:numId="6" w16cid:durableId="303891240">
    <w:abstractNumId w:val="2"/>
  </w:num>
  <w:num w:numId="7" w16cid:durableId="600261191">
    <w:abstractNumId w:val="5"/>
  </w:num>
  <w:num w:numId="8" w16cid:durableId="1195004233">
    <w:abstractNumId w:val="2"/>
  </w:num>
  <w:num w:numId="9" w16cid:durableId="1087577183">
    <w:abstractNumId w:val="5"/>
  </w:num>
  <w:num w:numId="10" w16cid:durableId="1563835277">
    <w:abstractNumId w:val="7"/>
  </w:num>
  <w:num w:numId="11" w16cid:durableId="803616874">
    <w:abstractNumId w:val="1"/>
  </w:num>
  <w:num w:numId="12" w16cid:durableId="407458818">
    <w:abstractNumId w:val="3"/>
  </w:num>
  <w:num w:numId="13" w16cid:durableId="1935632087">
    <w:abstractNumId w:val="0"/>
  </w:num>
  <w:num w:numId="14" w16cid:durableId="348146610">
    <w:abstractNumId w:val="6"/>
  </w:num>
  <w:num w:numId="15" w16cid:durableId="489445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8E2"/>
    <w:rsid w:val="000232A3"/>
    <w:rsid w:val="00057FB3"/>
    <w:rsid w:val="000728D6"/>
    <w:rsid w:val="000A2D57"/>
    <w:rsid w:val="00120B0C"/>
    <w:rsid w:val="00123C8B"/>
    <w:rsid w:val="0018354D"/>
    <w:rsid w:val="001A34C2"/>
    <w:rsid w:val="001D30A6"/>
    <w:rsid w:val="0020416F"/>
    <w:rsid w:val="00247085"/>
    <w:rsid w:val="002851F8"/>
    <w:rsid w:val="002C3394"/>
    <w:rsid w:val="00310D34"/>
    <w:rsid w:val="003311B3"/>
    <w:rsid w:val="00347309"/>
    <w:rsid w:val="0037553B"/>
    <w:rsid w:val="00383EAA"/>
    <w:rsid w:val="00384A64"/>
    <w:rsid w:val="003C1D62"/>
    <w:rsid w:val="003C576A"/>
    <w:rsid w:val="003E51D9"/>
    <w:rsid w:val="00454B42"/>
    <w:rsid w:val="00473849"/>
    <w:rsid w:val="0049655C"/>
    <w:rsid w:val="004F605A"/>
    <w:rsid w:val="00513CEA"/>
    <w:rsid w:val="00562004"/>
    <w:rsid w:val="00564921"/>
    <w:rsid w:val="005958E2"/>
    <w:rsid w:val="005C6F99"/>
    <w:rsid w:val="005D0404"/>
    <w:rsid w:val="005D6B97"/>
    <w:rsid w:val="005E5610"/>
    <w:rsid w:val="005F46E3"/>
    <w:rsid w:val="0061452A"/>
    <w:rsid w:val="00666721"/>
    <w:rsid w:val="006745EC"/>
    <w:rsid w:val="006968E6"/>
    <w:rsid w:val="006D3FEA"/>
    <w:rsid w:val="006D516B"/>
    <w:rsid w:val="006E0897"/>
    <w:rsid w:val="00701076"/>
    <w:rsid w:val="007013CA"/>
    <w:rsid w:val="007066DE"/>
    <w:rsid w:val="00706FF2"/>
    <w:rsid w:val="00744891"/>
    <w:rsid w:val="007769B0"/>
    <w:rsid w:val="00795294"/>
    <w:rsid w:val="007A5C3B"/>
    <w:rsid w:val="007B2873"/>
    <w:rsid w:val="00816E95"/>
    <w:rsid w:val="008F5C24"/>
    <w:rsid w:val="008F6CAC"/>
    <w:rsid w:val="00906051"/>
    <w:rsid w:val="0091019B"/>
    <w:rsid w:val="00961C20"/>
    <w:rsid w:val="00974556"/>
    <w:rsid w:val="00980276"/>
    <w:rsid w:val="0098723A"/>
    <w:rsid w:val="009B15A1"/>
    <w:rsid w:val="00A83A95"/>
    <w:rsid w:val="00A91B11"/>
    <w:rsid w:val="00AA3865"/>
    <w:rsid w:val="00AE1947"/>
    <w:rsid w:val="00B22067"/>
    <w:rsid w:val="00B57021"/>
    <w:rsid w:val="00C31491"/>
    <w:rsid w:val="00C5358C"/>
    <w:rsid w:val="00C536C0"/>
    <w:rsid w:val="00C55C40"/>
    <w:rsid w:val="00CA4EFD"/>
    <w:rsid w:val="00CB525B"/>
    <w:rsid w:val="00D060A7"/>
    <w:rsid w:val="00D25E32"/>
    <w:rsid w:val="00D5655C"/>
    <w:rsid w:val="00D870E5"/>
    <w:rsid w:val="00DA2100"/>
    <w:rsid w:val="00DB7A24"/>
    <w:rsid w:val="00DE75E7"/>
    <w:rsid w:val="00E06889"/>
    <w:rsid w:val="00E80454"/>
    <w:rsid w:val="00EB51A7"/>
    <w:rsid w:val="00EC503C"/>
    <w:rsid w:val="00EC55C7"/>
    <w:rsid w:val="00F43F41"/>
    <w:rsid w:val="00F65AA0"/>
    <w:rsid w:val="00F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2CA46"/>
  <w15:docId w15:val="{E54C479C-CEC4-469A-9B02-33D4E9C9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58E2"/>
    <w:pPr>
      <w:widowControl/>
      <w:spacing w:after="0" w:line="240" w:lineRule="auto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rsid w:val="005958E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5958E2"/>
    <w:pPr>
      <w:spacing w:after="120"/>
    </w:pPr>
  </w:style>
  <w:style w:type="paragraph" w:styleId="List">
    <w:name w:val="List"/>
    <w:basedOn w:val="Textbody"/>
    <w:rsid w:val="005958E2"/>
    <w:rPr>
      <w:rFonts w:cs="Arial"/>
    </w:rPr>
  </w:style>
  <w:style w:type="paragraph" w:styleId="Caption">
    <w:name w:val="caption"/>
    <w:basedOn w:val="Standard"/>
    <w:rsid w:val="00595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5958E2"/>
    <w:pPr>
      <w:suppressLineNumbers/>
    </w:pPr>
    <w:rPr>
      <w:rFonts w:cs="Arial"/>
    </w:rPr>
  </w:style>
  <w:style w:type="paragraph" w:styleId="Title">
    <w:name w:val="Title"/>
    <w:basedOn w:val="Standard"/>
    <w:next w:val="Subtitle"/>
    <w:rsid w:val="005958E2"/>
    <w:pPr>
      <w:pBdr>
        <w:bottom w:val="single" w:sz="6" w:space="0" w:color="00000A"/>
      </w:pBdr>
      <w:jc w:val="center"/>
    </w:pPr>
    <w:rPr>
      <w:rFonts w:eastAsia="Times New Roman" w:cs="Times New Roman"/>
      <w:b/>
      <w:bCs/>
      <w:sz w:val="24"/>
      <w:szCs w:val="24"/>
    </w:rPr>
  </w:style>
  <w:style w:type="paragraph" w:styleId="Subtitle">
    <w:name w:val="Subtitle"/>
    <w:basedOn w:val="Heading"/>
    <w:next w:val="Textbody"/>
    <w:rsid w:val="005958E2"/>
    <w:pPr>
      <w:jc w:val="center"/>
    </w:pPr>
    <w:rPr>
      <w:i/>
      <w:iCs/>
    </w:rPr>
  </w:style>
  <w:style w:type="paragraph" w:styleId="ListParagraph">
    <w:name w:val="List Paragraph"/>
    <w:basedOn w:val="Standard"/>
    <w:rsid w:val="005958E2"/>
    <w:pPr>
      <w:ind w:left="720"/>
    </w:pPr>
  </w:style>
  <w:style w:type="paragraph" w:styleId="Header">
    <w:name w:val="head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rsid w:val="005958E2"/>
    <w:pPr>
      <w:suppressLineNumbers/>
    </w:pPr>
  </w:style>
  <w:style w:type="paragraph" w:customStyle="1" w:styleId="TableHeading">
    <w:name w:val="Table Heading"/>
    <w:basedOn w:val="TableContents"/>
    <w:rsid w:val="005958E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rsid w:val="005958E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nternetlink">
    <w:name w:val="Internet link"/>
    <w:basedOn w:val="DefaultParagraphFont"/>
    <w:rsid w:val="005958E2"/>
    <w:rPr>
      <w:color w:val="0563C1"/>
      <w:u w:val="single"/>
    </w:rPr>
  </w:style>
  <w:style w:type="character" w:styleId="FollowedHyperlink">
    <w:name w:val="FollowedHyperlink"/>
    <w:basedOn w:val="DefaultParagraphFont"/>
    <w:rsid w:val="005958E2"/>
    <w:rPr>
      <w:color w:val="954F72"/>
      <w:u w:val="single"/>
    </w:rPr>
  </w:style>
  <w:style w:type="character" w:customStyle="1" w:styleId="HeaderChar">
    <w:name w:val="Header Char"/>
    <w:basedOn w:val="DefaultParagraphFont"/>
    <w:rsid w:val="005958E2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5958E2"/>
    <w:rPr>
      <w:rFonts w:ascii="Times New Roman" w:hAnsi="Times New Roman"/>
    </w:rPr>
  </w:style>
  <w:style w:type="character" w:customStyle="1" w:styleId="ListLabel1">
    <w:name w:val="ListLabel 1"/>
    <w:rsid w:val="005958E2"/>
    <w:rPr>
      <w:rFonts w:cs="Courier New"/>
    </w:rPr>
  </w:style>
  <w:style w:type="character" w:customStyle="1" w:styleId="ListLabel2">
    <w:name w:val="ListLabel 2"/>
    <w:rsid w:val="005958E2"/>
    <w:rPr>
      <w:rFonts w:cs="Times New Roman"/>
    </w:rPr>
  </w:style>
  <w:style w:type="character" w:customStyle="1" w:styleId="BulletSymbols">
    <w:name w:val="Bullet Symbols"/>
    <w:rsid w:val="005958E2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958E2"/>
    <w:rPr>
      <w:color w:val="800000"/>
      <w:u w:val="single"/>
    </w:rPr>
  </w:style>
  <w:style w:type="numbering" w:customStyle="1" w:styleId="WWNum1">
    <w:name w:val="WWNum1"/>
    <w:basedOn w:val="NoList"/>
    <w:rsid w:val="005958E2"/>
    <w:pPr>
      <w:numPr>
        <w:numId w:val="1"/>
      </w:numPr>
    </w:pPr>
  </w:style>
  <w:style w:type="numbering" w:customStyle="1" w:styleId="WWNum2">
    <w:name w:val="WWNum2"/>
    <w:basedOn w:val="NoList"/>
    <w:rsid w:val="005958E2"/>
    <w:pPr>
      <w:numPr>
        <w:numId w:val="2"/>
      </w:numPr>
    </w:pPr>
  </w:style>
  <w:style w:type="numbering" w:customStyle="1" w:styleId="WWNum3">
    <w:name w:val="WWNum3"/>
    <w:basedOn w:val="NoList"/>
    <w:rsid w:val="005958E2"/>
    <w:pPr>
      <w:numPr>
        <w:numId w:val="3"/>
      </w:numPr>
    </w:pPr>
  </w:style>
  <w:style w:type="numbering" w:customStyle="1" w:styleId="WWNum4">
    <w:name w:val="WWNum4"/>
    <w:basedOn w:val="NoList"/>
    <w:rsid w:val="005958E2"/>
    <w:pPr>
      <w:numPr>
        <w:numId w:val="4"/>
      </w:numPr>
    </w:pPr>
  </w:style>
  <w:style w:type="paragraph" w:styleId="Revision">
    <w:name w:val="Revision"/>
    <w:hidden/>
    <w:uiPriority w:val="99"/>
    <w:semiHidden/>
    <w:rsid w:val="0091019B"/>
    <w:pPr>
      <w:widowControl/>
      <w:suppressAutoHyphens w:val="0"/>
      <w:autoSpaceDN/>
      <w:spacing w:after="0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imir-beyder-6008628" TargetMode="External"/><Relationship Id="rId13" Type="http://schemas.openxmlformats.org/officeDocument/2006/relationships/hyperlink" Target="https://vbeyder.github.io/Introduction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vbeyder@comcast.ne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vbeyder.github.io/Introduction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beyder.github.io/Introductio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credly.com/users/vladimir-beyder/badge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5268</Characters>
  <Application>Microsoft Office Word</Application>
  <DocSecurity>0</DocSecurity>
  <Lines>128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Janus, Gail</dc:creator>
  <cp:keywords>Limited Access</cp:keywords>
  <cp:lastModifiedBy>Beyder, Vladimir</cp:lastModifiedBy>
  <cp:revision>17</cp:revision>
  <cp:lastPrinted>2023-04-24T16:39:00Z</cp:lastPrinted>
  <dcterms:created xsi:type="dcterms:W3CDTF">2023-03-28T21:05:00Z</dcterms:created>
  <dcterms:modified xsi:type="dcterms:W3CDTF">2023-04-24T16:40:00Z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5f5c534b-c50f-4ab0-9c70-9261f3dfeed3</vt:lpwstr>
  </property>
  <property fmtid="{D5CDD505-2E9C-101B-9397-08002B2CF9AE}" pid="10" name="SSCClassification">
    <vt:lpwstr>LA</vt:lpwstr>
  </property>
  <property fmtid="{D5CDD505-2E9C-101B-9397-08002B2CF9AE}" pid="11" name="SSCVisualMarks">
    <vt:lpwstr>Y</vt:lpwstr>
  </property>
  <property fmtid="{D5CDD505-2E9C-101B-9397-08002B2CF9AE}" pid="12" name="_AdHocReviewCycleID">
    <vt:i4>-931800611</vt:i4>
  </property>
  <property fmtid="{D5CDD505-2E9C-101B-9397-08002B2CF9AE}" pid="13" name="_NewReviewCycle">
    <vt:lpwstr/>
  </property>
  <property fmtid="{D5CDD505-2E9C-101B-9397-08002B2CF9AE}" pid="14" name="_EmailSubject">
    <vt:lpwstr>Res</vt:lpwstr>
  </property>
  <property fmtid="{D5CDD505-2E9C-101B-9397-08002B2CF9AE}" pid="15" name="_AuthorEmail">
    <vt:lpwstr>VBeyder1@StateStreet.com</vt:lpwstr>
  </property>
  <property fmtid="{D5CDD505-2E9C-101B-9397-08002B2CF9AE}" pid="16" name="_AuthorEmailDisplayName">
    <vt:lpwstr>Beyder, Vladimir</vt:lpwstr>
  </property>
</Properties>
</file>