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44"/>
          <w:szCs w:val="44"/>
        </w:rPr>
        <w:t xml:space="preserve">INDIAN LAW PROFESSIONALS</w:t>
      </w:r>
    </w:p>
    <w:p>
      <w:pPr>
        <w:spacing w:after="100"/>
        <w:jc w:val="center"/>
      </w:pPr>
      <w:r>
        <w:rPr>
          <w:color w:val="2E5395"/>
          <w:sz w:val="26"/>
          <w:szCs w:val="26"/>
        </w:rPr>
        <w:t xml:space="preserve">Digital Presence, Marketing &amp; Social Automation Project</w:t>
      </w:r>
    </w:p>
    <w:p>
      <w:pPr>
        <w:spacing w:after="500"/>
        <w:jc w:val="center"/>
      </w:pPr>
      <w:r>
        <w:rPr>
          <w:i/>
          <w:iCs/>
          <w:color w:val="595959"/>
          <w:sz w:val="20"/>
          <w:szCs w:val="20"/>
        </w:rPr>
        <w:t xml:space="preserve">Consolidated Project Brief — Contract, Requirements &amp; Technical Plan</w:t>
      </w:r>
    </w:p>
    <w:tbl>
      <w:tblPr>
        <w:tblW w:type="dxa" w:w="9350"/>
        <w:tblBorders>
          <w:top w:val="single" w:color="1F3864" w:sz="4"/>
          <w:left w:val="single" w:color="1F3864" w:sz="4"/>
          <w:bottom w:val="single" w:color="1F3864" w:sz="4"/>
          <w:right w:val="single" w:color="1F3864" w:sz="4"/>
          <w:insideH w:val="single" w:color="BFBFBF" w:sz="2"/>
          <w:insideV w:val="none" w:color="FFFFFF" w:sz="0"/>
        </w:tblBorders>
      </w:tblPr>
      <w:tblGrid>
        <w:gridCol w:w="100"/>
        <w:gridCol w:w="100"/>
      </w:tblGrid>
      <w:tr>
        <w:tc>
          <w:tcPr>
            <w:tcW w:type="dxa" w:w="2800"/>
            <w:shd w:fill="EAF0F8" w:val="clear"/>
            <w:tcMar>
              <w:top w:type="dxa" w:w="100"/>
              <w:left w:type="dxa" w:w="150"/>
              <w:bottom w:type="dxa" w:w="100"/>
              <w:right w:type="dxa" w:w="150"/>
            </w:tcMar>
          </w:tcPr>
          <w:p>
            <w:r>
              <w:rPr>
                <w:b/>
                <w:bCs/>
                <w:color w:val="1F3864"/>
                <w:sz w:val="20"/>
                <w:szCs w:val="20"/>
              </w:rPr>
              <w:t xml:space="preserve">Client</w:t>
            </w:r>
          </w:p>
        </w:tc>
        <w:tc>
          <w:tcPr>
            <w:tcW w:type="dxa" w:w="6550"/>
            <w:tcMar>
              <w:top w:type="dxa" w:w="100"/>
              <w:left w:type="dxa" w:w="150"/>
              <w:bottom w:type="dxa" w:w="100"/>
              <w:right w:type="dxa" w:w="150"/>
            </w:tcMar>
          </w:tcPr>
          <w:p>
            <w:r>
              <w:rPr>
                <w:sz w:val="20"/>
                <w:szCs w:val="20"/>
              </w:rPr>
              <w:t xml:space="preserve">Hari Krishna (Manager@zenoralifesciences.com / +61 433 215 971)</w:t>
            </w:r>
          </w:p>
        </w:tc>
      </w:tr>
      <w:tr>
        <w:tc>
          <w:tcPr>
            <w:tcW w:type="dxa" w:w="2800"/>
            <w:shd w:fill="EAF0F8" w:val="clear"/>
            <w:tcMar>
              <w:top w:type="dxa" w:w="100"/>
              <w:left w:type="dxa" w:w="150"/>
              <w:bottom w:type="dxa" w:w="100"/>
              <w:right w:type="dxa" w:w="150"/>
            </w:tcMar>
          </w:tcPr>
          <w:p>
            <w:r>
              <w:rPr>
                <w:b/>
                <w:bCs/>
                <w:color w:val="1F3864"/>
                <w:sz w:val="20"/>
                <w:szCs w:val="20"/>
              </w:rPr>
              <w:t xml:space="preserve">Advocate / End Client</w:t>
            </w:r>
          </w:p>
        </w:tc>
        <w:tc>
          <w:tcPr>
            <w:tcW w:type="dxa" w:w="6550"/>
            <w:tcMar>
              <w:top w:type="dxa" w:w="100"/>
              <w:left w:type="dxa" w:w="150"/>
              <w:bottom w:type="dxa" w:w="100"/>
              <w:right w:type="dxa" w:w="150"/>
            </w:tcMar>
          </w:tcPr>
          <w:p>
            <w:r>
              <w:rPr>
                <w:sz w:val="20"/>
                <w:szCs w:val="20"/>
              </w:rPr>
              <w:t xml:space="preserve">Client's sister — Advocate based in Kavali, Andhra Pradesh</w:t>
            </w:r>
          </w:p>
        </w:tc>
      </w:tr>
      <w:tr>
        <w:tc>
          <w:tcPr>
            <w:tcW w:type="dxa" w:w="2800"/>
            <w:shd w:fill="EAF0F8" w:val="clear"/>
            <w:tcMar>
              <w:top w:type="dxa" w:w="100"/>
              <w:left w:type="dxa" w:w="150"/>
              <w:bottom w:type="dxa" w:w="100"/>
              <w:right w:type="dxa" w:w="150"/>
            </w:tcMar>
          </w:tcPr>
          <w:p>
            <w:r>
              <w:rPr>
                <w:b/>
                <w:bCs/>
                <w:color w:val="1F3864"/>
                <w:sz w:val="20"/>
                <w:szCs w:val="20"/>
              </w:rPr>
              <w:t xml:space="preserve">Service Provider</w:t>
            </w:r>
          </w:p>
        </w:tc>
        <w:tc>
          <w:tcPr>
            <w:tcW w:type="dxa" w:w="6550"/>
            <w:tcMar>
              <w:top w:type="dxa" w:w="100"/>
              <w:left w:type="dxa" w:w="150"/>
              <w:bottom w:type="dxa" w:w="100"/>
              <w:right w:type="dxa" w:w="150"/>
            </w:tcMar>
          </w:tcPr>
          <w:p>
            <w:r>
              <w:rPr>
                <w:sz w:val="20"/>
                <w:szCs w:val="20"/>
              </w:rPr>
              <w:t xml:space="preserve">AbhiSandeep (collabwithAbhisandeep@gmail.com / +91 7799699783)</w:t>
            </w:r>
          </w:p>
        </w:tc>
      </w:tr>
      <w:tr>
        <w:tc>
          <w:tcPr>
            <w:tcW w:type="dxa" w:w="2800"/>
            <w:shd w:fill="EAF0F8" w:val="clear"/>
            <w:tcMar>
              <w:top w:type="dxa" w:w="100"/>
              <w:left w:type="dxa" w:w="150"/>
              <w:bottom w:type="dxa" w:w="100"/>
              <w:right w:type="dxa" w:w="150"/>
            </w:tcMar>
          </w:tcPr>
          <w:p>
            <w:r>
              <w:rPr>
                <w:b/>
                <w:bCs/>
                <w:color w:val="1F3864"/>
                <w:sz w:val="20"/>
                <w:szCs w:val="20"/>
              </w:rPr>
              <w:t xml:space="preserve">Contract Signed</w:t>
            </w:r>
          </w:p>
        </w:tc>
        <w:tc>
          <w:tcPr>
            <w:tcW w:type="dxa" w:w="6550"/>
            <w:tcMar>
              <w:top w:type="dxa" w:w="100"/>
              <w:left w:type="dxa" w:w="150"/>
              <w:bottom w:type="dxa" w:w="100"/>
              <w:right w:type="dxa" w:w="150"/>
            </w:tcMar>
          </w:tcPr>
          <w:p>
            <w:r>
              <w:rPr>
                <w:sz w:val="20"/>
                <w:szCs w:val="20"/>
              </w:rPr>
              <w:t xml:space="preserve">21-Aug-2026 (Service Provider) — client countersignature pending</w:t>
            </w:r>
          </w:p>
        </w:tc>
      </w:tr>
      <w:tr>
        <w:tc>
          <w:tcPr>
            <w:tcW w:type="dxa" w:w="2800"/>
            <w:shd w:fill="EAF0F8" w:val="clear"/>
            <w:tcMar>
              <w:top w:type="dxa" w:w="100"/>
              <w:left w:type="dxa" w:w="150"/>
              <w:bottom w:type="dxa" w:w="100"/>
              <w:right w:type="dxa" w:w="150"/>
            </w:tcMar>
          </w:tcPr>
          <w:p>
            <w:r>
              <w:rPr>
                <w:b/>
                <w:bCs/>
                <w:color w:val="1F3864"/>
                <w:sz w:val="20"/>
                <w:szCs w:val="20"/>
              </w:rPr>
              <w:t xml:space="preserve">Initial Contract Period</w:t>
            </w:r>
          </w:p>
        </w:tc>
        <w:tc>
          <w:tcPr>
            <w:tcW w:type="dxa" w:w="6550"/>
            <w:tcMar>
              <w:top w:type="dxa" w:w="100"/>
              <w:left w:type="dxa" w:w="150"/>
              <w:bottom w:type="dxa" w:w="100"/>
              <w:right w:type="dxa" w:w="150"/>
            </w:tcMar>
          </w:tcPr>
          <w:p>
            <w:r>
              <w:rPr>
                <w:sz w:val="20"/>
                <w:szCs w:val="20"/>
              </w:rPr>
              <w:t xml:space="preserve">3 months, renewable at ₹35,000/month thereafter</w:t>
            </w:r>
          </w:p>
        </w:tc>
      </w:tr>
      <w:tr>
        <w:tc>
          <w:tcPr>
            <w:tcW w:type="dxa" w:w="2800"/>
            <w:shd w:fill="EAF0F8" w:val="clear"/>
            <w:tcMar>
              <w:top w:type="dxa" w:w="100"/>
              <w:left w:type="dxa" w:w="150"/>
              <w:bottom w:type="dxa" w:w="100"/>
              <w:right w:type="dxa" w:w="150"/>
            </w:tcMar>
          </w:tcPr>
          <w:p>
            <w:r>
              <w:rPr>
                <w:b/>
                <w:bCs/>
                <w:color w:val="1F3864"/>
                <w:sz w:val="20"/>
                <w:szCs w:val="20"/>
              </w:rPr>
              <w:t xml:space="preserve">Primary Focus</w:t>
            </w:r>
          </w:p>
        </w:tc>
        <w:tc>
          <w:tcPr>
            <w:tcW w:type="dxa" w:w="6550"/>
            <w:tcMar>
              <w:top w:type="dxa" w:w="100"/>
              <w:left w:type="dxa" w:w="150"/>
              <w:bottom w:type="dxa" w:w="100"/>
              <w:right w:type="dxa" w:w="150"/>
            </w:tcMar>
          </w:tcPr>
          <w:p>
            <w:r>
              <w:rPr>
                <w:sz w:val="20"/>
                <w:szCs w:val="20"/>
              </w:rPr>
              <w:t xml:space="preserve">Will Writing / Will-related legal services, positioned as preventive family planning</w:t>
            </w:r>
          </w:p>
        </w:tc>
      </w:tr>
    </w:tbl>
    <w:p>
      <w:r>
        <w:br w:type="page"/>
      </w:r>
    </w:p>
    <w:p>
      <w:pPr>
        <w:pStyle w:val="Heading1"/>
        <w:pBdr>
          <w:bottom w:val="single" w:color="1F3864" w:sz="6" w:space="4"/>
        </w:pBdr>
        <w:spacing w:after="160" w:before="320"/>
      </w:pPr>
      <w:r>
        <w:rPr>
          <w:b/>
          <w:bCs/>
          <w:color w:val="1F3864"/>
          <w:sz w:val="28"/>
          <w:szCs w:val="28"/>
        </w:rPr>
        <w:t xml:space="preserve">1. Executive Summary</w:t>
      </w:r>
    </w:p>
    <w:p>
      <w:pPr>
        <w:spacing w:after="140" w:line="300"/>
      </w:pPr>
      <w:r>
        <w:rPr>
          <w:sz w:val="21"/>
          <w:szCs w:val="21"/>
        </w:rPr>
        <w:t xml:space="preserve">This project delivers a complete digital presence and marketing system for an Advocate practising in Kavali, Andhra Pradesh, referred to the Service Provider by the client, Hari Krishna. The engagement was agreed informally over chat and then formalised in a signed Digital Presence &amp; Marketing Services Agreement (21-Aug-2026).</w:t>
      </w:r>
    </w:p>
    <w:p>
      <w:pPr>
        <w:spacing w:after="140" w:line="300"/>
      </w:pPr>
      <w:r>
        <w:rPr>
          <w:sz w:val="21"/>
          <w:szCs w:val="21"/>
        </w:rPr>
        <w:t xml:space="preserve">The system centres on a professional website, six social media profiles, local SEO, a modest paid-advertising budget, and an n8n-based automation pipeline for social publishing. The primary marketing message is that Will Writing is a preventive legal step every family should consider — not something addressed only after a dispute arises.</w:t>
      </w:r>
    </w:p>
    <w:p>
      <w:pPr>
        <w:spacing w:after="140" w:line="300"/>
      </w:pPr>
      <w:r>
        <w:rPr>
          <w:sz w:val="21"/>
          <w:szCs w:val="21"/>
        </w:rPr>
        <w:t xml:space="preserve">This document consolidates three source materials into one reference: (1) the signed commercial agreement, (2) the client's original WhatsApp/chat brief, and (3) the verified technical implementation plan for the n8n + Postiz social automation layer.</w:t>
      </w:r>
    </w:p>
    <w:p>
      <w:pPr>
        <w:pStyle w:val="Heading1"/>
        <w:pBdr>
          <w:bottom w:val="single" w:color="1F3864" w:sz="6" w:space="4"/>
        </w:pBdr>
        <w:spacing w:after="160" w:before="320"/>
      </w:pPr>
      <w:r>
        <w:rPr>
          <w:b/>
          <w:bCs/>
          <w:color w:val="1F3864"/>
          <w:sz w:val="28"/>
          <w:szCs w:val="28"/>
        </w:rPr>
        <w:t xml:space="preserve">2. Client's Original Request (As Given)</w:t>
      </w:r>
    </w:p>
    <w:p>
      <w:pPr>
        <w:spacing w:after="140" w:line="300"/>
      </w:pPr>
      <w:r>
        <w:rPr>
          <w:sz w:val="21"/>
          <w:szCs w:val="21"/>
        </w:rPr>
        <w:t xml:space="preserve">The client's brief was received informally over chat, in two messages. It is reproduced here in summary for traceability:</w:t>
      </w:r>
    </w:p>
    <w:p>
      <w:pPr>
        <w:pStyle w:val="Heading2"/>
        <w:spacing w:after="120" w:before="240"/>
      </w:pPr>
      <w:r>
        <w:rPr>
          <w:b/>
          <w:bCs/>
          <w:color w:val="2E5395"/>
          <w:sz w:val="24"/>
          <w:szCs w:val="24"/>
        </w:rPr>
        <w:t xml:space="preserve">2.1 Initial Brief</w:t>
      </w:r>
    </w:p>
    <w:p>
      <w:pPr>
        <w:pStyle w:val="ListParagraph"/>
        <w:numPr>
          <w:ilvl w:val="0"/>
          <w:numId w:val="2"/>
        </w:numPr>
        <w:spacing w:after="80" w:line="280"/>
      </w:pPr>
      <w:r>
        <w:rPr>
          <w:sz w:val="21"/>
          <w:szCs w:val="21"/>
        </w:rPr>
        <w:t xml:space="preserve">Project offered as a "small project" for the client's sister, an Advocate in Kavali.</w:t>
      </w:r>
    </w:p>
    <w:p>
      <w:pPr>
        <w:pStyle w:val="ListParagraph"/>
        <w:numPr>
          <w:ilvl w:val="0"/>
          <w:numId w:val="2"/>
        </w:numPr>
        <w:spacing w:after="80" w:line="280"/>
      </w:pPr>
      <w:r>
        <w:rPr>
          <w:sz w:val="21"/>
          <w:szCs w:val="21"/>
        </w:rPr>
        <w:t xml:space="preserve">Client asked for a "complete package": website, social media, organic search, and some ad budget.</w:t>
      </w:r>
    </w:p>
    <w:p>
      <w:pPr>
        <w:pStyle w:val="ListParagraph"/>
        <w:numPr>
          <w:ilvl w:val="0"/>
          <w:numId w:val="2"/>
        </w:numPr>
        <w:spacing w:after="80" w:line="280"/>
      </w:pPr>
      <w:r>
        <w:rPr>
          <w:sz w:val="21"/>
          <w:szCs w:val="21"/>
        </w:rPr>
        <w:t xml:space="preserve">Social media: Instagram, Facebook, YouTube specified by name; the Service Provider was asked to choose three additional platforms.</w:t>
      </w:r>
    </w:p>
    <w:p>
      <w:pPr>
        <w:pStyle w:val="ListParagraph"/>
        <w:numPr>
          <w:ilvl w:val="0"/>
          <w:numId w:val="2"/>
        </w:numPr>
        <w:spacing w:after="80" w:line="280"/>
      </w:pPr>
      <w:r>
        <w:rPr>
          <w:sz w:val="21"/>
          <w:szCs w:val="21"/>
        </w:rPr>
        <w:t xml:space="preserve">Primary focus: Will Writing — explained by the client as parents writing a will during their lifetime, framed as a preventive step every family should take.</w:t>
      </w:r>
    </w:p>
    <w:p>
      <w:pPr>
        <w:pStyle w:val="ListParagraph"/>
        <w:numPr>
          <w:ilvl w:val="0"/>
          <w:numId w:val="2"/>
        </w:numPr>
        <w:spacing w:after="80" w:line="280"/>
      </w:pPr>
      <w:r>
        <w:rPr>
          <w:sz w:val="21"/>
          <w:szCs w:val="21"/>
        </w:rPr>
        <w:t xml:space="preserve">Website must include a payment gateway and a document-upload facility to complete service transactions.</w:t>
      </w:r>
    </w:p>
    <w:p>
      <w:pPr>
        <w:pStyle w:val="ListParagraph"/>
        <w:numPr>
          <w:ilvl w:val="0"/>
          <w:numId w:val="2"/>
        </w:numPr>
        <w:spacing w:after="80" w:line="280"/>
      </w:pPr>
      <w:r>
        <w:rPr>
          <w:sz w:val="21"/>
          <w:szCs w:val="21"/>
        </w:rPr>
        <w:t xml:space="preserve">Client asked for a reasonable quote, citing a larger future nutraceuticals project as a potential follow-on engagement.</w:t>
      </w:r>
    </w:p>
    <w:p>
      <w:pPr>
        <w:pStyle w:val="Heading2"/>
        <w:spacing w:after="120" w:before="240"/>
      </w:pPr>
      <w:r>
        <w:rPr>
          <w:b/>
          <w:bCs/>
          <w:color w:val="2E5395"/>
          <w:sz w:val="24"/>
          <w:szCs w:val="24"/>
        </w:rPr>
        <w:t xml:space="preserve">2.2 Follow-Up Message</w:t>
      </w:r>
    </w:p>
    <w:p>
      <w:pPr>
        <w:pStyle w:val="ListParagraph"/>
        <w:numPr>
          <w:ilvl w:val="0"/>
          <w:numId w:val="2"/>
        </w:numPr>
        <w:spacing w:after="80" w:line="280"/>
      </w:pPr>
      <w:r>
        <w:rPr>
          <w:sz w:val="21"/>
          <w:szCs w:val="21"/>
        </w:rPr>
        <w:t xml:space="preserve">Client flagged that n8n auto-posting automation had been missed in the original scope and asked for confirmation it would be included.</w:t>
      </w:r>
    </w:p>
    <w:p>
      <w:pPr>
        <w:pStyle w:val="ListParagraph"/>
        <w:numPr>
          <w:ilvl w:val="0"/>
          <w:numId w:val="2"/>
        </w:numPr>
        <w:spacing w:after="80" w:line="280"/>
      </w:pPr>
      <w:r>
        <w:rPr>
          <w:sz w:val="21"/>
          <w:szCs w:val="21"/>
        </w:rPr>
        <w:t xml:space="preserve">Client confirmed Instagram, Facebook and YouTube as the three platforms common to automated posting, and reiterated that the Service Provider should select three more platforms.</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Action arising from the client's brief</w:t>
            </w:r>
          </w:p>
          <w:p>
            <w:pPr>
              <w:spacing w:after="60" w:line="270"/>
            </w:pPr>
            <w:r>
              <w:rPr>
                <w:color w:val="222222"/>
                <w:sz w:val="20"/>
                <w:szCs w:val="20"/>
              </w:rPr>
              <w:t xml:space="preserve">•  n8n automated publishing has since been added to the signed agreement (Section 1D and Section 2).</w:t>
            </w:r>
          </w:p>
          <w:p>
            <w:pPr>
              <w:spacing w:after="60" w:line="270"/>
            </w:pPr>
            <w:r>
              <w:rPr>
                <w:color w:val="222222"/>
                <w:sz w:val="20"/>
                <w:szCs w:val="20"/>
              </w:rPr>
              <w:t xml:space="preserve">•  Three additional platforms still need to be finalised — see Section 5 (Platform Selection) for the recommended options and the open decision.</w:t>
            </w:r>
          </w:p>
        </w:tc>
      </w:tr>
    </w:tbl>
    <w:p>
      <w:pPr>
        <w:pStyle w:val="Heading1"/>
        <w:pBdr>
          <w:bottom w:val="single" w:color="1F3864" w:sz="6" w:space="4"/>
        </w:pBdr>
        <w:spacing w:after="160" w:before="320"/>
      </w:pPr>
      <w:r>
        <w:rPr>
          <w:b/>
          <w:bCs/>
          <w:color w:val="1F3864"/>
          <w:sz w:val="28"/>
          <w:szCs w:val="28"/>
        </w:rPr>
        <w:t xml:space="preserve">3. Signed Agreement Summary</w:t>
      </w:r>
    </w:p>
    <w:p>
      <w:pPr>
        <w:spacing w:after="140" w:line="300"/>
      </w:pPr>
      <w:r>
        <w:rPr>
          <w:sz w:val="21"/>
          <w:szCs w:val="21"/>
        </w:rPr>
        <w:t xml:space="preserve">The commercial terms below are taken directly from the signed Digital Presence &amp; Marketing Services Agreement between AbhiSandeep (Service Provider) and Hari Krishna (Client), for the "Indian Law Professionals" project.</w:t>
      </w:r>
    </w:p>
    <w:p>
      <w:pPr>
        <w:pStyle w:val="Heading2"/>
        <w:spacing w:after="120" w:before="240"/>
      </w:pPr>
      <w:r>
        <w:rPr>
          <w:b/>
          <w:bCs/>
          <w:color w:val="2E5395"/>
          <w:sz w:val="24"/>
          <w:szCs w:val="24"/>
        </w:rPr>
        <w:t xml:space="preserve">3.1 One-Time Setup — ₹40,000</w:t>
      </w:r>
    </w:p>
    <w:p>
      <w:pPr>
        <w:pStyle w:val="ListParagraph"/>
        <w:numPr>
          <w:ilvl w:val="0"/>
          <w:numId w:val="2"/>
        </w:numPr>
        <w:spacing w:after="80" w:line="280"/>
      </w:pPr>
      <w:r>
        <w:rPr>
          <w:sz w:val="21"/>
          <w:szCs w:val="21"/>
        </w:rPr>
        <w:t xml:space="preserve">Professional responsive website with an Advocate profile, Will Writing as the primary focus, and other legal practice areas.</w:t>
      </w:r>
    </w:p>
    <w:p>
      <w:pPr>
        <w:pStyle w:val="ListParagraph"/>
        <w:numPr>
          <w:ilvl w:val="0"/>
          <w:numId w:val="2"/>
        </w:numPr>
        <w:spacing w:after="80" w:line="280"/>
      </w:pPr>
      <w:r>
        <w:rPr>
          <w:sz w:val="21"/>
          <w:szCs w:val="21"/>
        </w:rPr>
        <w:t xml:space="preserve">Contact/enquiry system, WhatsApp integration, Razorpay payment gateway, and secure document upload.</w:t>
      </w:r>
    </w:p>
    <w:p>
      <w:pPr>
        <w:pStyle w:val="ListParagraph"/>
        <w:numPr>
          <w:ilvl w:val="0"/>
          <w:numId w:val="2"/>
        </w:numPr>
        <w:spacing w:after="80" w:line="280"/>
      </w:pPr>
      <w:r>
        <w:rPr>
          <w:sz w:val="21"/>
          <w:szCs w:val="21"/>
        </w:rPr>
        <w:t xml:space="preserve">Basic on-page and local SEO: keyword research, Google Search Console, Google Business Profile, Justdial, Sulekha and other relevant listings.</w:t>
      </w:r>
    </w:p>
    <w:p>
      <w:pPr>
        <w:pStyle w:val="ListParagraph"/>
        <w:numPr>
          <w:ilvl w:val="0"/>
          <w:numId w:val="2"/>
        </w:numPr>
        <w:spacing w:after="80" w:line="280"/>
      </w:pPr>
      <w:r>
        <w:rPr>
          <w:sz w:val="21"/>
          <w:szCs w:val="21"/>
        </w:rPr>
        <w:t xml:space="preserve">Six social media profiles set up and optimised: Instagram, Facebook, YouTube, LinkedIn, Threads and X.</w:t>
      </w:r>
    </w:p>
    <w:p>
      <w:pPr>
        <w:pStyle w:val="ListParagraph"/>
        <w:numPr>
          <w:ilvl w:val="0"/>
          <w:numId w:val="2"/>
        </w:numPr>
        <w:spacing w:after="80" w:line="280"/>
      </w:pPr>
      <w:r>
        <w:rPr>
          <w:sz w:val="21"/>
          <w:szCs w:val="21"/>
        </w:rPr>
        <w:t xml:space="preserve">An initial n8n workflow configured for automated social publishing, using available official APIs or suitable third-party tools, with the explicit caveat that not every platform/format is guaranteed to support full automation.</w:t>
      </w:r>
    </w:p>
    <w:p>
      <w:pPr>
        <w:pStyle w:val="Heading2"/>
        <w:spacing w:after="120" w:before="240"/>
      </w:pPr>
      <w:r>
        <w:rPr>
          <w:b/>
          <w:bCs/>
          <w:color w:val="2E5395"/>
          <w:sz w:val="24"/>
          <w:szCs w:val="24"/>
        </w:rPr>
        <w:t xml:space="preserve">3.2 Monthly Management — ₹25,000 / month (first 3 months)</w:t>
      </w:r>
    </w:p>
    <w:p>
      <w:pPr>
        <w:pStyle w:val="ListParagraph"/>
        <w:numPr>
          <w:ilvl w:val="0"/>
          <w:numId w:val="2"/>
        </w:numPr>
        <w:spacing w:after="80" w:line="280"/>
      </w:pPr>
      <w:r>
        <w:rPr>
          <w:sz w:val="21"/>
          <w:szCs w:val="21"/>
        </w:rPr>
        <w:t xml:space="preserve">One monthly content-shoot visit to Kavali; monthly planning, scripting and batch shooting.</w:t>
      </w:r>
    </w:p>
    <w:p>
      <w:pPr>
        <w:pStyle w:val="ListParagraph"/>
        <w:numPr>
          <w:ilvl w:val="0"/>
          <w:numId w:val="2"/>
        </w:numPr>
        <w:spacing w:after="80" w:line="280"/>
      </w:pPr>
      <w:r>
        <w:rPr>
          <w:sz w:val="21"/>
          <w:szCs w:val="21"/>
        </w:rPr>
        <w:t xml:space="preserve">8–12 short-form videos/reels per month, edited, captioned and platform-optimised.</w:t>
      </w:r>
    </w:p>
    <w:p>
      <w:pPr>
        <w:pStyle w:val="ListParagraph"/>
        <w:numPr>
          <w:ilvl w:val="0"/>
          <w:numId w:val="2"/>
        </w:numPr>
        <w:spacing w:after="80" w:line="280"/>
      </w:pPr>
      <w:r>
        <w:rPr>
          <w:sz w:val="21"/>
          <w:szCs w:val="21"/>
        </w:rPr>
        <w:t xml:space="preserve">Publishing and management across the agreed platforms, combining manual and n8n-assisted automated publishing.</w:t>
      </w:r>
    </w:p>
    <w:p>
      <w:pPr>
        <w:pStyle w:val="ListParagraph"/>
        <w:numPr>
          <w:ilvl w:val="0"/>
          <w:numId w:val="2"/>
        </w:numPr>
        <w:spacing w:after="80" w:line="280"/>
      </w:pPr>
      <w:r>
        <w:rPr>
          <w:sz w:val="21"/>
          <w:szCs w:val="21"/>
        </w:rPr>
        <w:t xml:space="preserve">Google Business Profile maintenance, posters/creatives, and a monthly performance report.</w:t>
      </w:r>
    </w:p>
    <w:p>
      <w:pPr>
        <w:pStyle w:val="Heading2"/>
        <w:spacing w:after="120" w:before="240"/>
      </w:pPr>
      <w:r>
        <w:rPr>
          <w:b/>
          <w:bCs/>
          <w:color w:val="2E5395"/>
          <w:sz w:val="24"/>
          <w:szCs w:val="24"/>
        </w:rPr>
        <w:t xml:space="preserve">3.3 Advertising &amp; Third-Party Costs</w:t>
      </w:r>
    </w:p>
    <w:p>
      <w:pPr>
        <w:pStyle w:val="ListParagraph"/>
        <w:numPr>
          <w:ilvl w:val="0"/>
          <w:numId w:val="2"/>
        </w:numPr>
        <w:spacing w:after="80" w:line="280"/>
      </w:pPr>
      <w:r>
        <w:rPr>
          <w:sz w:val="21"/>
          <w:szCs w:val="21"/>
        </w:rPr>
        <w:t xml:space="preserve">₹5,000/month initial Meta ad budget, funded directly by the client — separate from the management fee; increases require prior approval.</w:t>
      </w:r>
    </w:p>
    <w:p>
      <w:pPr>
        <w:pStyle w:val="ListParagraph"/>
        <w:numPr>
          <w:ilvl w:val="0"/>
          <w:numId w:val="2"/>
        </w:numPr>
        <w:spacing w:after="80" w:line="280"/>
      </w:pPr>
      <w:r>
        <w:rPr>
          <w:sz w:val="21"/>
          <w:szCs w:val="21"/>
        </w:rPr>
        <w:t xml:space="preserve">Domain, hosting, Razorpay charges, n8n hosting, third-party API/publishing costs and premium subscriptions are billed separately at actual cost, with no subscription purchased without prior client approval.</w:t>
      </w:r>
    </w:p>
    <w:p>
      <w:pPr>
        <w:pStyle w:val="Heading2"/>
        <w:spacing w:after="120" w:before="240"/>
      </w:pPr>
      <w:r>
        <w:rPr>
          <w:b/>
          <w:bCs/>
          <w:color w:val="2E5395"/>
          <w:sz w:val="24"/>
          <w:szCs w:val="24"/>
        </w:rPr>
        <w:t xml:space="preserve">3.4 Fees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37"/>
        <w:gridCol w:w="2338"/>
      </w:tblGrid>
      <w:tr>
        <w:tc>
          <w:tcPr>
            <w:tcW w:type="dxa" w:w="3117"/>
            <w:shd w:fill="1F3864" w:val="clear"/>
            <w:tcMar>
              <w:top w:type="dxa" w:w="100"/>
              <w:left w:type="dxa" w:w="120"/>
              <w:bottom w:type="dxa" w:w="100"/>
              <w:right w:type="dxa" w:w="120"/>
            </w:tcMar>
          </w:tcPr>
          <w:p>
            <w:r>
              <w:rPr>
                <w:b/>
                <w:bCs/>
                <w:color w:val="FFFFFF"/>
                <w:sz w:val="20"/>
                <w:szCs w:val="20"/>
              </w:rPr>
              <w:t xml:space="preserve">Item</w:t>
            </w:r>
          </w:p>
        </w:tc>
        <w:tc>
          <w:tcPr>
            <w:tcW w:type="dxa" w:w="3117"/>
            <w:shd w:fill="1F3864" w:val="clear"/>
            <w:tcMar>
              <w:top w:type="dxa" w:w="100"/>
              <w:left w:type="dxa" w:w="120"/>
              <w:bottom w:type="dxa" w:w="100"/>
              <w:right w:type="dxa" w:w="120"/>
            </w:tcMar>
          </w:tcPr>
          <w:p>
            <w:r>
              <w:rPr>
                <w:b/>
                <w:bCs/>
                <w:color w:val="FFFFFF"/>
                <w:sz w:val="20"/>
                <w:szCs w:val="20"/>
              </w:rPr>
              <w:t xml:space="preserve">Qty / Period</w:t>
            </w:r>
          </w:p>
        </w:tc>
        <w:tc>
          <w:tcPr>
            <w:tcW w:type="dxa" w:w="3117"/>
            <w:shd w:fill="1F3864" w:val="clear"/>
            <w:tcMar>
              <w:top w:type="dxa" w:w="100"/>
              <w:left w:type="dxa" w:w="120"/>
              <w:bottom w:type="dxa" w:w="100"/>
              <w:right w:type="dxa" w:w="120"/>
            </w:tcMar>
          </w:tcPr>
          <w:p>
            <w:r>
              <w:rPr>
                <w:b/>
                <w:bCs/>
                <w:color w:val="FFFFFF"/>
                <w:sz w:val="20"/>
                <w:szCs w:val="20"/>
              </w:rPr>
              <w:t xml:space="preserve">Amount (₹)</w:t>
            </w:r>
          </w:p>
        </w:tc>
      </w:tr>
      <w:tr>
        <w:tc>
          <w:tcPr>
            <w:tcW w:type="dxa" w:w="3117"/>
            <w:tcMar>
              <w:top w:type="dxa" w:w="90"/>
              <w:left w:type="dxa" w:w="120"/>
              <w:bottom w:type="dxa" w:w="90"/>
              <w:right w:type="dxa" w:w="120"/>
            </w:tcMar>
          </w:tcPr>
          <w:p>
            <w:r>
              <w:rPr>
                <w:sz w:val="20"/>
                <w:szCs w:val="20"/>
              </w:rPr>
              <w:t xml:space="preserve">One-Time Setup Fee</w:t>
            </w:r>
          </w:p>
        </w:tc>
        <w:tc>
          <w:tcPr>
            <w:tcW w:type="dxa" w:w="3117"/>
            <w:tcMar>
              <w:top w:type="dxa" w:w="90"/>
              <w:left w:type="dxa" w:w="120"/>
              <w:bottom w:type="dxa" w:w="90"/>
              <w:right w:type="dxa" w:w="120"/>
            </w:tcMar>
          </w:tcPr>
          <w:p>
            <w:r>
              <w:rPr>
                <w:sz w:val="20"/>
                <w:szCs w:val="20"/>
              </w:rPr>
              <w:t xml:space="preserve">1</w:t>
            </w:r>
          </w:p>
        </w:tc>
        <w:tc>
          <w:tcPr>
            <w:tcW w:type="dxa" w:w="3117"/>
            <w:tcMar>
              <w:top w:type="dxa" w:w="90"/>
              <w:left w:type="dxa" w:w="120"/>
              <w:bottom w:type="dxa" w:w="90"/>
              <w:right w:type="dxa" w:w="120"/>
            </w:tcMar>
          </w:tcPr>
          <w:p>
            <w:r>
              <w:rPr>
                <w:sz w:val="20"/>
                <w:szCs w:val="20"/>
              </w:rPr>
              <w:t xml:space="preserve">40,000</w:t>
            </w:r>
          </w:p>
        </w:tc>
      </w:tr>
      <w:tr>
        <w:tc>
          <w:tcPr>
            <w:tcW w:type="dxa" w:w="3117"/>
            <w:tcMar>
              <w:top w:type="dxa" w:w="90"/>
              <w:left w:type="dxa" w:w="120"/>
              <w:bottom w:type="dxa" w:w="90"/>
              <w:right w:type="dxa" w:w="120"/>
            </w:tcMar>
          </w:tcPr>
          <w:p>
            <w:r>
              <w:rPr>
                <w:sz w:val="20"/>
                <w:szCs w:val="20"/>
              </w:rPr>
              <w:t xml:space="preserve">Monthly Management Fee</w:t>
            </w:r>
          </w:p>
        </w:tc>
        <w:tc>
          <w:tcPr>
            <w:tcW w:type="dxa" w:w="3117"/>
            <w:tcMar>
              <w:top w:type="dxa" w:w="90"/>
              <w:left w:type="dxa" w:w="120"/>
              <w:bottom w:type="dxa" w:w="90"/>
              <w:right w:type="dxa" w:w="120"/>
            </w:tcMar>
          </w:tcPr>
          <w:p>
            <w:r>
              <w:rPr>
                <w:sz w:val="20"/>
                <w:szCs w:val="20"/>
              </w:rPr>
              <w:t xml:space="preserve">3 months</w:t>
            </w:r>
          </w:p>
        </w:tc>
        <w:tc>
          <w:tcPr>
            <w:tcW w:type="dxa" w:w="3117"/>
            <w:tcMar>
              <w:top w:type="dxa" w:w="90"/>
              <w:left w:type="dxa" w:w="120"/>
              <w:bottom w:type="dxa" w:w="90"/>
              <w:right w:type="dxa" w:w="120"/>
            </w:tcMar>
          </w:tcPr>
          <w:p>
            <w:r>
              <w:rPr>
                <w:sz w:val="20"/>
                <w:szCs w:val="20"/>
              </w:rPr>
              <w:t xml:space="preserve">25,000 / month</w:t>
            </w:r>
          </w:p>
        </w:tc>
      </w:tr>
      <w:tr>
        <w:tc>
          <w:tcPr>
            <w:tcW w:type="dxa" w:w="3117"/>
            <w:tcMar>
              <w:top w:type="dxa" w:w="90"/>
              <w:left w:type="dxa" w:w="120"/>
              <w:bottom w:type="dxa" w:w="90"/>
              <w:right w:type="dxa" w:w="120"/>
            </w:tcMar>
          </w:tcPr>
          <w:p>
            <w:r>
              <w:rPr>
                <w:b/>
                <w:bCs/>
                <w:sz w:val="20"/>
                <w:szCs w:val="20"/>
              </w:rPr>
              <w:t xml:space="preserve">Monthly Management Subtotal</w:t>
            </w:r>
          </w:p>
        </w:tc>
        <w:tc>
          <w:tcPr>
            <w:tcW w:type="dxa" w:w="3117"/>
            <w:tcMar>
              <w:top w:type="dxa" w:w="90"/>
              <w:left w:type="dxa" w:w="120"/>
              <w:bottom w:type="dxa" w:w="90"/>
              <w:right w:type="dxa" w:w="120"/>
            </w:tcMar>
          </w:tcPr>
          <w:p>
            <w:r>
              <w:rPr>
                <w:sz w:val="20"/>
                <w:szCs w:val="20"/>
              </w:rPr>
              <w:t xml:space="preserve"/>
            </w:r>
          </w:p>
        </w:tc>
        <w:tc>
          <w:tcPr>
            <w:tcW w:type="dxa" w:w="3117"/>
            <w:tcMar>
              <w:top w:type="dxa" w:w="90"/>
              <w:left w:type="dxa" w:w="120"/>
              <w:bottom w:type="dxa" w:w="90"/>
              <w:right w:type="dxa" w:w="120"/>
            </w:tcMar>
          </w:tcPr>
          <w:p>
            <w:r>
              <w:rPr>
                <w:b/>
                <w:bCs/>
                <w:sz w:val="20"/>
                <w:szCs w:val="20"/>
              </w:rPr>
              <w:t xml:space="preserve">75,000</w:t>
            </w:r>
          </w:p>
        </w:tc>
      </w:tr>
      <w:tr>
        <w:tc>
          <w:tcPr>
            <w:tcW w:type="dxa" w:w="4675"/>
            <w:shd w:fill="EAF0F8" w:val="clear"/>
            <w:tcMar>
              <w:top w:type="dxa" w:w="100"/>
              <w:left w:type="dxa" w:w="120"/>
              <w:bottom w:type="dxa" w:w="100"/>
              <w:right w:type="dxa" w:w="120"/>
            </w:tcMar>
          </w:tcPr>
          <w:p>
            <w:r>
              <w:rPr>
                <w:b/>
                <w:bCs/>
                <w:color w:val="1F3864"/>
                <w:sz w:val="20"/>
                <w:szCs w:val="20"/>
              </w:rPr>
              <w:t xml:space="preserve">TOTAL — Initial 3 Months</w:t>
            </w:r>
          </w:p>
        </w:tc>
        <w:tc>
          <w:tcPr>
            <w:tcW w:type="dxa" w:w="2337"/>
            <w:shd w:fill="EAF0F8" w:val="clear"/>
            <w:tcMar>
              <w:top w:type="dxa" w:w="100"/>
              <w:left w:type="dxa" w:w="120"/>
              <w:bottom w:type="dxa" w:w="100"/>
              <w:right w:type="dxa" w:w="120"/>
            </w:tcMar>
          </w:tcPr>
          <w:p>
            <w:r>
              <w:rPr>
                <w:sz w:val="20"/>
                <w:szCs w:val="20"/>
              </w:rPr>
              <w:t xml:space="preserve"/>
            </w:r>
          </w:p>
        </w:tc>
        <w:tc>
          <w:tcPr>
            <w:tcW w:type="dxa" w:w="2338"/>
            <w:shd w:fill="EAF0F8" w:val="clear"/>
            <w:tcMar>
              <w:top w:type="dxa" w:w="100"/>
              <w:left w:type="dxa" w:w="120"/>
              <w:bottom w:type="dxa" w:w="100"/>
              <w:right w:type="dxa" w:w="120"/>
            </w:tcMar>
          </w:tcPr>
          <w:p>
            <w:r>
              <w:rPr>
                <w:b/>
                <w:bCs/>
                <w:color w:val="1F3864"/>
                <w:sz w:val="20"/>
                <w:szCs w:val="20"/>
              </w:rPr>
              <w:t xml:space="preserve">₹ 1,15,000</w:t>
            </w:r>
          </w:p>
        </w:tc>
      </w:tr>
      <w:tr>
        <w:tc>
          <w:tcPr>
            <w:tcW w:type="dxa" w:w="3117"/>
            <w:tcMar>
              <w:top w:type="dxa" w:w="90"/>
              <w:left w:type="dxa" w:w="120"/>
              <w:bottom w:type="dxa" w:w="90"/>
              <w:right w:type="dxa" w:w="120"/>
            </w:tcMar>
          </w:tcPr>
          <w:p>
            <w:r>
              <w:rPr>
                <w:sz w:val="20"/>
                <w:szCs w:val="20"/>
              </w:rPr>
              <w:t xml:space="preserve">Renewal fee (month 4 onward, on mutual agreement)</w:t>
            </w:r>
          </w:p>
        </w:tc>
        <w:tc>
          <w:tcPr>
            <w:tcW w:type="dxa" w:w="3117"/>
            <w:tcMar>
              <w:top w:type="dxa" w:w="90"/>
              <w:left w:type="dxa" w:w="120"/>
              <w:bottom w:type="dxa" w:w="90"/>
              <w:right w:type="dxa" w:w="120"/>
            </w:tcMar>
          </w:tcPr>
          <w:p>
            <w:r>
              <w:rPr>
                <w:sz w:val="20"/>
                <w:szCs w:val="20"/>
              </w:rPr>
              <w:t xml:space="preserve">per month</w:t>
            </w:r>
          </w:p>
        </w:tc>
        <w:tc>
          <w:tcPr>
            <w:tcW w:type="dxa" w:w="3117"/>
            <w:tcMar>
              <w:top w:type="dxa" w:w="90"/>
              <w:left w:type="dxa" w:w="120"/>
              <w:bottom w:type="dxa" w:w="90"/>
              <w:right w:type="dxa" w:w="120"/>
            </w:tcMar>
          </w:tcPr>
          <w:p>
            <w:r>
              <w:rPr>
                <w:sz w:val="20"/>
                <w:szCs w:val="20"/>
              </w:rPr>
              <w:t xml:space="preserve">35,000</w:t>
            </w:r>
          </w:p>
        </w:tc>
      </w:tr>
      <w:tr>
        <w:tc>
          <w:tcPr>
            <w:tcW w:type="dxa" w:w="3117"/>
            <w:tcMar>
              <w:top w:type="dxa" w:w="90"/>
              <w:left w:type="dxa" w:w="120"/>
              <w:bottom w:type="dxa" w:w="90"/>
              <w:right w:type="dxa" w:w="120"/>
            </w:tcMar>
          </w:tcPr>
          <w:p>
            <w:r>
              <w:rPr>
                <w:sz w:val="20"/>
                <w:szCs w:val="20"/>
              </w:rPr>
              <w:t xml:space="preserve">Meta advertising budget (client-funded, separate)</w:t>
            </w:r>
          </w:p>
        </w:tc>
        <w:tc>
          <w:tcPr>
            <w:tcW w:type="dxa" w:w="3117"/>
            <w:tcMar>
              <w:top w:type="dxa" w:w="90"/>
              <w:left w:type="dxa" w:w="120"/>
              <w:bottom w:type="dxa" w:w="90"/>
              <w:right w:type="dxa" w:w="120"/>
            </w:tcMar>
          </w:tcPr>
          <w:p>
            <w:r>
              <w:rPr>
                <w:sz w:val="20"/>
                <w:szCs w:val="20"/>
              </w:rPr>
              <w:t xml:space="preserve">per month</w:t>
            </w:r>
          </w:p>
        </w:tc>
        <w:tc>
          <w:tcPr>
            <w:tcW w:type="dxa" w:w="3117"/>
            <w:tcMar>
              <w:top w:type="dxa" w:w="90"/>
              <w:left w:type="dxa" w:w="120"/>
              <w:bottom w:type="dxa" w:w="90"/>
              <w:right w:type="dxa" w:w="120"/>
            </w:tcMar>
          </w:tcPr>
          <w:p>
            <w:r>
              <w:rPr>
                <w:sz w:val="20"/>
                <w:szCs w:val="20"/>
              </w:rPr>
              <w:t xml:space="preserve">5,000 (initial)</w:t>
            </w:r>
          </w:p>
        </w:tc>
      </w:tr>
    </w:tbl>
    <w:p>
      <w:pPr>
        <w:pStyle w:val="Heading2"/>
        <w:spacing w:after="120" w:before="240"/>
      </w:pPr>
      <w:r>
        <w:rPr>
          <w:b/>
          <w:bCs/>
          <w:color w:val="2E5395"/>
          <w:sz w:val="24"/>
          <w:szCs w:val="24"/>
        </w:rPr>
        <w:t xml:space="preserve">3.5 Key Contract Terms</w:t>
      </w:r>
    </w:p>
    <w:p>
      <w:pPr>
        <w:pStyle w:val="ListParagraph"/>
        <w:numPr>
          <w:ilvl w:val="0"/>
          <w:numId w:val="2"/>
        </w:numPr>
        <w:spacing w:after="80" w:line="280"/>
      </w:pPr>
      <w:r>
        <w:rPr>
          <w:sz w:val="21"/>
          <w:szCs w:val="21"/>
        </w:rPr>
        <w:t xml:space="preserve">Payment: ₹20,000 advance before commencement; remaining ₹20,000 of setup on completion; ₹25,000 payable each month; work may pause on outstanding payment.</w:t>
      </w:r>
    </w:p>
    <w:p>
      <w:pPr>
        <w:pStyle w:val="ListParagraph"/>
        <w:numPr>
          <w:ilvl w:val="0"/>
          <w:numId w:val="2"/>
        </w:numPr>
        <w:spacing w:after="80" w:line="280"/>
      </w:pPr>
      <w:r>
        <w:rPr>
          <w:sz w:val="21"/>
          <w:szCs w:val="21"/>
        </w:rPr>
        <w:t xml:space="preserve">Content approval: all legal content, claims and educational material require Advocate/client review before publication.</w:t>
      </w:r>
    </w:p>
    <w:p>
      <w:pPr>
        <w:pStyle w:val="ListParagraph"/>
        <w:numPr>
          <w:ilvl w:val="0"/>
          <w:numId w:val="2"/>
        </w:numPr>
        <w:spacing w:after="80" w:line="280"/>
      </w:pPr>
      <w:r>
        <w:rPr>
          <w:sz w:val="21"/>
          <w:szCs w:val="21"/>
        </w:rPr>
        <w:t xml:space="preserve">Ownership: client-specific website content, social accounts and business profiles remain the client's; assets are handed over on receipt of all applicable payments.</w:t>
      </w:r>
    </w:p>
    <w:p>
      <w:pPr>
        <w:pStyle w:val="ListParagraph"/>
        <w:numPr>
          <w:ilvl w:val="0"/>
          <w:numId w:val="2"/>
        </w:numPr>
        <w:spacing w:after="80" w:line="280"/>
      </w:pPr>
      <w:r>
        <w:rPr>
          <w:sz w:val="21"/>
          <w:szCs w:val="21"/>
        </w:rPr>
        <w:t xml:space="preserve">Revisions: reasonable revisions within scope are included; material changes to scope (extra shoots, videos, automation, or development) are quoted separately.</w:t>
      </w:r>
    </w:p>
    <w:p>
      <w:pPr>
        <w:pStyle w:val="ListParagraph"/>
        <w:numPr>
          <w:ilvl w:val="0"/>
          <w:numId w:val="2"/>
        </w:numPr>
        <w:spacing w:after="80" w:line="280"/>
      </w:pPr>
      <w:r>
        <w:rPr>
          <w:sz w:val="21"/>
          <w:szCs w:val="21"/>
        </w:rPr>
        <w:t xml:space="preserve">n8n automation limitation (Section 13): the automation is an initial workflow, not unlimited automation development, and depends on platform API availability, account permissions, and third-party tool limits.</w:t>
      </w:r>
    </w:p>
    <w:p>
      <w:pPr>
        <w:pStyle w:val="ListParagraph"/>
        <w:numPr>
          <w:ilvl w:val="0"/>
          <w:numId w:val="2"/>
        </w:numPr>
        <w:spacing w:after="80" w:line="280"/>
      </w:pPr>
      <w:r>
        <w:rPr>
          <w:sz w:val="21"/>
          <w:szCs w:val="21"/>
        </w:rPr>
        <w:t xml:space="preserve">Renewal: after the initial 3 months, the parties may mutually renew at ₹35,000/month from month 4 onward.</w:t>
      </w:r>
    </w:p>
    <w:p>
      <w:pPr>
        <w:pStyle w:val="ListParagraph"/>
        <w:numPr>
          <w:ilvl w:val="0"/>
          <w:numId w:val="2"/>
        </w:numPr>
        <w:spacing w:after="80" w:line="280"/>
      </w:pPr>
      <w:r>
        <w:rPr>
          <w:sz w:val="21"/>
          <w:szCs w:val="21"/>
        </w:rPr>
        <w:t xml:space="preserve">Compliance: the Advocate/client is responsible for the legal accuracy and professional compliance of all published content; the Service Provider will not knowingly publish content flagged as non-compliant.</w:t>
      </w:r>
    </w:p>
    <w:p>
      <w:pPr>
        <w:pStyle w:val="Heading1"/>
        <w:pBdr>
          <w:bottom w:val="single" w:color="1F3864" w:sz="6" w:space="4"/>
        </w:pBdr>
        <w:spacing w:after="160" w:before="320"/>
      </w:pPr>
      <w:r>
        <w:rPr>
          <w:b/>
          <w:bCs/>
          <w:color w:val="1F3864"/>
          <w:sz w:val="28"/>
          <w:szCs w:val="28"/>
        </w:rPr>
        <w:t xml:space="preserve">4. Contract Status</w:t>
      </w:r>
    </w:p>
    <w:p>
      <w:pPr>
        <w:pStyle w:val="ListParagraph"/>
        <w:numPr>
          <w:ilvl w:val="0"/>
          <w:numId w:val="2"/>
        </w:numPr>
        <w:spacing w:after="80" w:line="280"/>
      </w:pPr>
      <w:r>
        <w:rPr>
          <w:sz w:val="21"/>
          <w:szCs w:val="21"/>
        </w:rPr>
        <w:t xml:space="preserve">Signed by Service Provider (AbhiSandeep) on 21-Aug-2026.</w:t>
      </w:r>
    </w:p>
    <w:p>
      <w:pPr>
        <w:pStyle w:val="ListParagraph"/>
        <w:numPr>
          <w:ilvl w:val="0"/>
          <w:numId w:val="2"/>
        </w:numPr>
        <w:spacing w:after="80" w:line="280"/>
      </w:pPr>
      <w:r>
        <w:rPr>
          <w:sz w:val="21"/>
          <w:szCs w:val="21"/>
        </w:rPr>
        <w:t xml:space="preserve">Client (Hari Krishna) signature and date are still pending on the copy reviewed.</w:t>
      </w:r>
    </w:p>
    <w:p>
      <w:pPr>
        <w:pStyle w:val="ListParagraph"/>
        <w:numPr>
          <w:ilvl w:val="0"/>
          <w:numId w:val="2"/>
        </w:numPr>
        <w:spacing w:after="80" w:line="280"/>
      </w:pPr>
      <w:r>
        <w:rPr>
          <w:sz w:val="21"/>
          <w:szCs w:val="21"/>
        </w:rPr>
        <w:t xml:space="preserve">Recommend obtaining the client's countersignature before commencing paid work or spending the setup advance.</w:t>
      </w:r>
    </w:p>
    <w:p>
      <w:r>
        <w:br w:type="page"/>
      </w:r>
    </w:p>
    <w:p>
      <w:pPr>
        <w:pStyle w:val="Heading1"/>
        <w:pBdr>
          <w:bottom w:val="single" w:color="1F3864" w:sz="6" w:space="4"/>
        </w:pBdr>
        <w:spacing w:after="160" w:before="320"/>
      </w:pPr>
      <w:r>
        <w:rPr>
          <w:b/>
          <w:bCs/>
          <w:color w:val="1F3864"/>
          <w:sz w:val="28"/>
          <w:szCs w:val="28"/>
        </w:rPr>
        <w:t xml:space="preserve">5. Social Media Platform Selection</w:t>
      </w:r>
    </w:p>
    <w:p>
      <w:pPr>
        <w:spacing w:after="140" w:line="300"/>
      </w:pPr>
      <w:r>
        <w:rPr>
          <w:sz w:val="21"/>
          <w:szCs w:val="21"/>
        </w:rPr>
        <w:t xml:space="preserve">The client specified Instagram, Facebook and YouTube, and asked the Service Provider to choose three additional platforms. The signed agreement currently lists LinkedIn, Threads and X as those three. The independent technical feasibility review (Section 6) was instead run against LinkedIn, Pinterest and Telegram, because that combination has the strongest verified automation support in Postiz — in particular, Telegram needs no OAuth and is the fastest platform to validate the pipeline on, while X's automation API sits behind a paid tier and Threads has no dedicated Postiz/n8n publishing path verified in this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825"/>
        <w:gridCol w:w="2825"/>
      </w:tblGrid>
      <w:tr>
        <w:tc>
          <w:tcPr>
            <w:tcW w:type="dxa" w:w="1800"/>
            <w:shd w:fill="1F3864" w:val="clear"/>
            <w:tcMar>
              <w:top w:type="dxa" w:w="100"/>
              <w:left w:type="dxa" w:w="120"/>
              <w:bottom w:type="dxa" w:w="100"/>
              <w:right w:type="dxa" w:w="120"/>
            </w:tcMar>
          </w:tcPr>
          <w:p>
            <w:r>
              <w:rPr>
                <w:b/>
                <w:bCs/>
                <w:color w:val="FFFFFF"/>
                <w:sz w:val="19"/>
                <w:szCs w:val="19"/>
              </w:rPr>
              <w:t xml:space="preserve">Platform</w:t>
            </w:r>
          </w:p>
        </w:tc>
        <w:tc>
          <w:tcPr>
            <w:tcW w:type="dxa" w:w="1900"/>
            <w:shd w:fill="1F3864" w:val="clear"/>
            <w:tcMar>
              <w:top w:type="dxa" w:w="100"/>
              <w:left w:type="dxa" w:w="120"/>
              <w:bottom w:type="dxa" w:w="100"/>
              <w:right w:type="dxa" w:w="120"/>
            </w:tcMar>
          </w:tcPr>
          <w:p>
            <w:r>
              <w:rPr>
                <w:b/>
                <w:bCs/>
                <w:color w:val="FFFFFF"/>
                <w:sz w:val="19"/>
                <w:szCs w:val="19"/>
              </w:rPr>
              <w:t xml:space="preserve">Role</w:t>
            </w:r>
          </w:p>
        </w:tc>
        <w:tc>
          <w:tcPr>
            <w:tcW w:type="dxa" w:w="2825"/>
            <w:shd w:fill="1F3864" w:val="clear"/>
            <w:tcMar>
              <w:top w:type="dxa" w:w="100"/>
              <w:left w:type="dxa" w:w="120"/>
              <w:bottom w:type="dxa" w:w="100"/>
              <w:right w:type="dxa" w:w="120"/>
            </w:tcMar>
          </w:tcPr>
          <w:p>
            <w:r>
              <w:rPr>
                <w:b/>
                <w:bCs/>
                <w:color w:val="FFFFFF"/>
                <w:sz w:val="19"/>
                <w:szCs w:val="19"/>
              </w:rPr>
              <w:t xml:space="preserve">Notes</w:t>
            </w:r>
          </w:p>
        </w:tc>
        <w:tc>
          <w:tcPr>
            <w:tcW w:type="dxa" w:w="2825"/>
            <w:shd w:fill="1F3864" w:val="clear"/>
            <w:tcMar>
              <w:top w:type="dxa" w:w="100"/>
              <w:left w:type="dxa" w:w="120"/>
              <w:bottom w:type="dxa" w:w="100"/>
              <w:right w:type="dxa" w:w="120"/>
            </w:tcMar>
          </w:tcPr>
          <w:p>
            <w:r>
              <w:rPr>
                <w:b/>
                <w:bCs/>
                <w:color w:val="FFFFFF"/>
                <w:sz w:val="19"/>
                <w:szCs w:val="19"/>
              </w:rPr>
              <w:t xml:space="preserve">Automation Status</w:t>
            </w:r>
          </w:p>
        </w:tc>
      </w:tr>
      <w:tr>
        <w:tc>
          <w:tcPr>
            <w:tcW w:type="dxa" w:w="1800"/>
            <w:tcMar>
              <w:top w:type="dxa" w:w="90"/>
              <w:left w:type="dxa" w:w="120"/>
              <w:bottom w:type="dxa" w:w="90"/>
              <w:right w:type="dxa" w:w="120"/>
            </w:tcMar>
          </w:tcPr>
          <w:p>
            <w:r>
              <w:rPr>
                <w:sz w:val="19"/>
                <w:szCs w:val="19"/>
              </w:rPr>
              <w:t xml:space="preserve">Instagram</w:t>
            </w:r>
          </w:p>
        </w:tc>
        <w:tc>
          <w:tcPr>
            <w:tcW w:type="dxa" w:w="1900"/>
            <w:tcMar>
              <w:top w:type="dxa" w:w="90"/>
              <w:left w:type="dxa" w:w="120"/>
              <w:bottom w:type="dxa" w:w="90"/>
              <w:right w:type="dxa" w:w="120"/>
            </w:tcMar>
          </w:tcPr>
          <w:p>
            <w:r>
              <w:rPr>
                <w:sz w:val="19"/>
                <w:szCs w:val="19"/>
              </w:rPr>
              <w:t xml:space="preserve">Fixed (client-specified)</w:t>
            </w:r>
          </w:p>
        </w:tc>
        <w:tc>
          <w:tcPr>
            <w:tcW w:type="dxa" w:w="2825"/>
            <w:tcMar>
              <w:top w:type="dxa" w:w="90"/>
              <w:left w:type="dxa" w:w="120"/>
              <w:bottom w:type="dxa" w:w="90"/>
              <w:right w:type="dxa" w:w="120"/>
            </w:tcMar>
          </w:tcPr>
          <w:p>
            <w:r>
              <w:rPr>
                <w:sz w:val="19"/>
                <w:szCs w:val="19"/>
              </w:rPr>
              <w:t xml:space="preserve">Feed, Reels, Stories — video supported</w:t>
            </w:r>
          </w:p>
        </w:tc>
        <w:tc>
          <w:tcPr>
            <w:tcW w:type="dxa" w:w="2825"/>
            <w:tcMar>
              <w:top w:type="dxa" w:w="90"/>
              <w:left w:type="dxa" w:w="120"/>
              <w:bottom w:type="dxa" w:w="90"/>
              <w:right w:type="dxa" w:w="120"/>
            </w:tcMar>
          </w:tcPr>
          <w:p>
            <w:r>
              <w:rPr>
                <w:sz w:val="19"/>
                <w:szCs w:val="19"/>
              </w:rPr>
              <w:t xml:space="preserve">Confirmed</w:t>
            </w:r>
          </w:p>
        </w:tc>
      </w:tr>
      <w:tr>
        <w:tc>
          <w:tcPr>
            <w:tcW w:type="dxa" w:w="1800"/>
            <w:tcMar>
              <w:top w:type="dxa" w:w="90"/>
              <w:left w:type="dxa" w:w="120"/>
              <w:bottom w:type="dxa" w:w="90"/>
              <w:right w:type="dxa" w:w="120"/>
            </w:tcMar>
          </w:tcPr>
          <w:p>
            <w:r>
              <w:rPr>
                <w:sz w:val="19"/>
                <w:szCs w:val="19"/>
              </w:rPr>
              <w:t xml:space="preserve">Facebook</w:t>
            </w:r>
          </w:p>
        </w:tc>
        <w:tc>
          <w:tcPr>
            <w:tcW w:type="dxa" w:w="1900"/>
            <w:tcMar>
              <w:top w:type="dxa" w:w="90"/>
              <w:left w:type="dxa" w:w="120"/>
              <w:bottom w:type="dxa" w:w="90"/>
              <w:right w:type="dxa" w:w="120"/>
            </w:tcMar>
          </w:tcPr>
          <w:p>
            <w:r>
              <w:rPr>
                <w:sz w:val="19"/>
                <w:szCs w:val="19"/>
              </w:rPr>
              <w:t xml:space="preserve">Fixed (client-specified)</w:t>
            </w:r>
          </w:p>
        </w:tc>
        <w:tc>
          <w:tcPr>
            <w:tcW w:type="dxa" w:w="2825"/>
            <w:tcMar>
              <w:top w:type="dxa" w:w="90"/>
              <w:left w:type="dxa" w:w="120"/>
              <w:bottom w:type="dxa" w:w="90"/>
              <w:right w:type="dxa" w:w="120"/>
            </w:tcMar>
          </w:tcPr>
          <w:p>
            <w:r>
              <w:rPr>
                <w:sz w:val="19"/>
                <w:szCs w:val="19"/>
              </w:rPr>
              <w:t xml:space="preserve">Page video/Reels; requires a Facebook Page</w:t>
            </w:r>
          </w:p>
        </w:tc>
        <w:tc>
          <w:tcPr>
            <w:tcW w:type="dxa" w:w="2825"/>
            <w:tcMar>
              <w:top w:type="dxa" w:w="90"/>
              <w:left w:type="dxa" w:w="120"/>
              <w:bottom w:type="dxa" w:w="90"/>
              <w:right w:type="dxa" w:w="120"/>
            </w:tcMar>
          </w:tcPr>
          <w:p>
            <w:r>
              <w:rPr>
                <w:sz w:val="19"/>
                <w:szCs w:val="19"/>
              </w:rPr>
              <w:t xml:space="preserve">Confirmed</w:t>
            </w:r>
          </w:p>
        </w:tc>
      </w:tr>
      <w:tr>
        <w:tc>
          <w:tcPr>
            <w:tcW w:type="dxa" w:w="1800"/>
            <w:tcMar>
              <w:top w:type="dxa" w:w="90"/>
              <w:left w:type="dxa" w:w="120"/>
              <w:bottom w:type="dxa" w:w="90"/>
              <w:right w:type="dxa" w:w="120"/>
            </w:tcMar>
          </w:tcPr>
          <w:p>
            <w:r>
              <w:rPr>
                <w:sz w:val="19"/>
                <w:szCs w:val="19"/>
              </w:rPr>
              <w:t xml:space="preserve">YouTube</w:t>
            </w:r>
          </w:p>
        </w:tc>
        <w:tc>
          <w:tcPr>
            <w:tcW w:type="dxa" w:w="1900"/>
            <w:tcMar>
              <w:top w:type="dxa" w:w="90"/>
              <w:left w:type="dxa" w:w="120"/>
              <w:bottom w:type="dxa" w:w="90"/>
              <w:right w:type="dxa" w:w="120"/>
            </w:tcMar>
          </w:tcPr>
          <w:p>
            <w:r>
              <w:rPr>
                <w:sz w:val="19"/>
                <w:szCs w:val="19"/>
              </w:rPr>
              <w:t xml:space="preserve">Fixed (client-specified)</w:t>
            </w:r>
          </w:p>
        </w:tc>
        <w:tc>
          <w:tcPr>
            <w:tcW w:type="dxa" w:w="2825"/>
            <w:tcMar>
              <w:top w:type="dxa" w:w="90"/>
              <w:left w:type="dxa" w:w="120"/>
              <w:bottom w:type="dxa" w:w="90"/>
              <w:right w:type="dxa" w:w="120"/>
            </w:tcMar>
          </w:tcPr>
          <w:p>
            <w:r>
              <w:rPr>
                <w:sz w:val="19"/>
                <w:szCs w:val="19"/>
              </w:rPr>
              <w:t xml:space="preserve">Native video/Shorts upload + scheduling</w:t>
            </w:r>
          </w:p>
        </w:tc>
        <w:tc>
          <w:tcPr>
            <w:tcW w:type="dxa" w:w="2825"/>
            <w:tcMar>
              <w:top w:type="dxa" w:w="90"/>
              <w:left w:type="dxa" w:w="120"/>
              <w:bottom w:type="dxa" w:w="90"/>
              <w:right w:type="dxa" w:w="120"/>
            </w:tcMar>
          </w:tcPr>
          <w:p>
            <w:r>
              <w:rPr>
                <w:sz w:val="19"/>
                <w:szCs w:val="19"/>
              </w:rPr>
              <w:t xml:space="preserve">Confirmed</w:t>
            </w:r>
          </w:p>
        </w:tc>
      </w:tr>
      <w:tr>
        <w:tc>
          <w:tcPr>
            <w:tcW w:type="dxa" w:w="1800"/>
            <w:tcMar>
              <w:top w:type="dxa" w:w="90"/>
              <w:left w:type="dxa" w:w="120"/>
              <w:bottom w:type="dxa" w:w="90"/>
              <w:right w:type="dxa" w:w="120"/>
            </w:tcMar>
          </w:tcPr>
          <w:p>
            <w:r>
              <w:rPr>
                <w:sz w:val="19"/>
                <w:szCs w:val="19"/>
              </w:rPr>
              <w:t xml:space="preserve">LinkedIn</w:t>
            </w:r>
          </w:p>
        </w:tc>
        <w:tc>
          <w:tcPr>
            <w:tcW w:type="dxa" w:w="1900"/>
            <w:tcMar>
              <w:top w:type="dxa" w:w="90"/>
              <w:left w:type="dxa" w:w="120"/>
              <w:bottom w:type="dxa" w:w="90"/>
              <w:right w:type="dxa" w:w="120"/>
            </w:tcMar>
          </w:tcPr>
          <w:p>
            <w:r>
              <w:rPr>
                <w:sz w:val="19"/>
                <w:szCs w:val="19"/>
              </w:rPr>
              <w:t xml:space="preserve">Proposed 4th platform</w:t>
            </w:r>
          </w:p>
        </w:tc>
        <w:tc>
          <w:tcPr>
            <w:tcW w:type="dxa" w:w="2825"/>
            <w:tcMar>
              <w:top w:type="dxa" w:w="90"/>
              <w:left w:type="dxa" w:w="120"/>
              <w:bottom w:type="dxa" w:w="90"/>
              <w:right w:type="dxa" w:w="120"/>
            </w:tcMar>
          </w:tcPr>
          <w:p>
            <w:r>
              <w:rPr>
                <w:sz w:val="19"/>
                <w:szCs w:val="19"/>
              </w:rPr>
              <w:t xml:space="preserve">Personal profile and/or Company Page video</w:t>
            </w:r>
          </w:p>
        </w:tc>
        <w:tc>
          <w:tcPr>
            <w:tcW w:type="dxa" w:w="2825"/>
            <w:tcMar>
              <w:top w:type="dxa" w:w="90"/>
              <w:left w:type="dxa" w:w="120"/>
              <w:bottom w:type="dxa" w:w="90"/>
              <w:right w:type="dxa" w:w="120"/>
            </w:tcMar>
          </w:tcPr>
          <w:p>
            <w:r>
              <w:rPr>
                <w:sz w:val="19"/>
                <w:szCs w:val="19"/>
              </w:rPr>
              <w:t xml:space="preserve">Confirmed</w:t>
            </w:r>
          </w:p>
        </w:tc>
      </w:tr>
      <w:tr>
        <w:tc>
          <w:tcPr>
            <w:tcW w:type="dxa" w:w="1800"/>
            <w:tcMar>
              <w:top w:type="dxa" w:w="90"/>
              <w:left w:type="dxa" w:w="120"/>
              <w:bottom w:type="dxa" w:w="90"/>
              <w:right w:type="dxa" w:w="120"/>
            </w:tcMar>
          </w:tcPr>
          <w:p>
            <w:r>
              <w:rPr>
                <w:sz w:val="19"/>
                <w:szCs w:val="19"/>
              </w:rPr>
              <w:t xml:space="preserve">Pinterest / X / Threads</w:t>
            </w:r>
          </w:p>
        </w:tc>
        <w:tc>
          <w:tcPr>
            <w:tcW w:type="dxa" w:w="1900"/>
            <w:tcMar>
              <w:top w:type="dxa" w:w="90"/>
              <w:left w:type="dxa" w:w="120"/>
              <w:bottom w:type="dxa" w:w="90"/>
              <w:right w:type="dxa" w:w="120"/>
            </w:tcMar>
          </w:tcPr>
          <w:p>
            <w:r>
              <w:rPr>
                <w:sz w:val="19"/>
                <w:szCs w:val="19"/>
              </w:rPr>
              <w:t xml:space="preserve">Proposed 5th platform (pick one) — see note below</w:t>
            </w:r>
          </w:p>
        </w:tc>
        <w:tc>
          <w:tcPr>
            <w:tcW w:type="dxa" w:w="2825"/>
            <w:tcMar>
              <w:top w:type="dxa" w:w="90"/>
              <w:left w:type="dxa" w:w="120"/>
              <w:bottom w:type="dxa" w:w="90"/>
              <w:right w:type="dxa" w:w="120"/>
            </w:tcMar>
          </w:tcPr>
          <w:p>
            <w:r>
              <w:rPr>
                <w:sz w:val="19"/>
                <w:szCs w:val="19"/>
              </w:rPr>
              <w:t xml:space="preserve">Pinterest: video Pins. X: paid API tier for automation. Threads: free via Meta Graph API</w:t>
            </w:r>
          </w:p>
        </w:tc>
        <w:tc>
          <w:tcPr>
            <w:tcW w:type="dxa" w:w="2825"/>
            <w:tcMar>
              <w:top w:type="dxa" w:w="90"/>
              <w:left w:type="dxa" w:w="120"/>
              <w:bottom w:type="dxa" w:w="90"/>
              <w:right w:type="dxa" w:w="120"/>
            </w:tcMar>
          </w:tcPr>
          <w:p>
            <w:r>
              <w:rPr>
                <w:sz w:val="19"/>
                <w:szCs w:val="19"/>
              </w:rPr>
              <w:t xml:space="preserve">Needs decision</w:t>
            </w:r>
          </w:p>
        </w:tc>
      </w:tr>
      <w:tr>
        <w:tc>
          <w:tcPr>
            <w:tcW w:type="dxa" w:w="1800"/>
            <w:tcMar>
              <w:top w:type="dxa" w:w="90"/>
              <w:left w:type="dxa" w:w="120"/>
              <w:bottom w:type="dxa" w:w="90"/>
              <w:right w:type="dxa" w:w="120"/>
            </w:tcMar>
          </w:tcPr>
          <w:p>
            <w:r>
              <w:rPr>
                <w:sz w:val="19"/>
                <w:szCs w:val="19"/>
              </w:rPr>
              <w:t xml:space="preserve">Telegram</w:t>
            </w:r>
          </w:p>
        </w:tc>
        <w:tc>
          <w:tcPr>
            <w:tcW w:type="dxa" w:w="1900"/>
            <w:tcMar>
              <w:top w:type="dxa" w:w="90"/>
              <w:left w:type="dxa" w:w="120"/>
              <w:bottom w:type="dxa" w:w="90"/>
              <w:right w:type="dxa" w:w="120"/>
            </w:tcMar>
          </w:tcPr>
          <w:p>
            <w:r>
              <w:rPr>
                <w:sz w:val="19"/>
                <w:szCs w:val="19"/>
              </w:rPr>
              <w:t xml:space="preserve">Proposed 6th platform</w:t>
            </w:r>
          </w:p>
        </w:tc>
        <w:tc>
          <w:tcPr>
            <w:tcW w:type="dxa" w:w="2825"/>
            <w:tcMar>
              <w:top w:type="dxa" w:w="90"/>
              <w:left w:type="dxa" w:w="120"/>
              <w:bottom w:type="dxa" w:w="90"/>
              <w:right w:type="dxa" w:w="120"/>
            </w:tcMar>
          </w:tcPr>
          <w:p>
            <w:r>
              <w:rPr>
                <w:sz w:val="19"/>
                <w:szCs w:val="19"/>
              </w:rPr>
              <w:t xml:space="preserve">Video to channel via Bot API — no OAuth required, fastest to set up</w:t>
            </w:r>
          </w:p>
        </w:tc>
        <w:tc>
          <w:tcPr>
            <w:tcW w:type="dxa" w:w="2825"/>
            <w:tcMar>
              <w:top w:type="dxa" w:w="90"/>
              <w:left w:type="dxa" w:w="120"/>
              <w:bottom w:type="dxa" w:w="90"/>
              <w:right w:type="dxa" w:w="120"/>
            </w:tcMar>
          </w:tcPr>
          <w:p>
            <w:r>
              <w:rPr>
                <w:sz w:val="19"/>
                <w:szCs w:val="19"/>
              </w:rPr>
              <w:t xml:space="preserve">Confirmed</w:t>
            </w:r>
          </w:p>
        </w:tc>
      </w:tr>
    </w:tbl>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Open decision needed before automation build begins</w:t>
            </w:r>
          </w:p>
          <w:p>
            <w:pPr>
              <w:spacing w:after="60" w:line="270"/>
            </w:pPr>
            <w:r>
              <w:rPr>
                <w:color w:val="222222"/>
                <w:sz w:val="20"/>
                <w:szCs w:val="20"/>
              </w:rPr>
              <w:t xml:space="preserve">•  Confirm final platform #5 (and re-confirm #4/#6) with the client: Threads/X (as currently signed) vs. Pinterest/Telegram (as technically verified for automation).</w:t>
            </w:r>
          </w:p>
          <w:p>
            <w:pPr>
              <w:spacing w:after="60" w:line="270"/>
            </w:pPr>
            <w:r>
              <w:rPr>
                <w:color w:val="222222"/>
                <w:sz w:val="20"/>
                <w:szCs w:val="20"/>
              </w:rPr>
              <w:t xml:space="preserve">•  Telegram is recommended as an early addition regardless of the final list — it is free, requires no OAuth/business verification, and is the fastest way to prove the full n8n → Postiz pipeline end-to-end.</w:t>
            </w:r>
          </w:p>
          <w:p>
            <w:pPr>
              <w:spacing w:after="60" w:line="270"/>
            </w:pPr>
            <w:r>
              <w:rPr>
                <w:color w:val="222222"/>
                <w:sz w:val="20"/>
                <w:szCs w:val="20"/>
              </w:rPr>
              <w:t xml:space="preserve">•  X (Twitter) automation carries an ongoing paid API cost if included — flag this to the client as a third-party cost under Section 4 of the agreement.</w:t>
            </w:r>
          </w:p>
        </w:tc>
      </w:tr>
    </w:tbl>
    <w:p>
      <w:pPr>
        <w:pStyle w:val="Heading1"/>
        <w:pBdr>
          <w:bottom w:val="single" w:color="1F3864" w:sz="6" w:space="4"/>
        </w:pBdr>
        <w:spacing w:after="160" w:before="320"/>
      </w:pPr>
      <w:r>
        <w:rPr>
          <w:b/>
          <w:bCs/>
          <w:color w:val="1F3864"/>
          <w:sz w:val="28"/>
          <w:szCs w:val="28"/>
        </w:rPr>
        <w:t xml:space="preserve">6. Technical Plan — n8n + Postiz Social Automation</w:t>
      </w:r>
    </w:p>
    <w:p>
      <w:pPr>
        <w:spacing w:after="140" w:line="300"/>
      </w:pPr>
      <w:r>
        <w:rPr>
          <w:sz w:val="21"/>
          <w:szCs w:val="21"/>
        </w:rPr>
        <w:t xml:space="preserve">A separate technical feasibility review (verified against the Postiz GitHub repository, its documentation, and n8n.io as of 22-Aug-2026) confirms the automation architecture the client asked to be added is realistic and largely reuses existing open-source tooling rather than custom development.</w:t>
      </w:r>
    </w:p>
    <w:p>
      <w:pPr>
        <w:pStyle w:val="Heading2"/>
        <w:spacing w:after="120" w:before="240"/>
      </w:pPr>
      <w:r>
        <w:rPr>
          <w:b/>
          <w:bCs/>
          <w:color w:val="2E5395"/>
          <w:sz w:val="24"/>
          <w:szCs w:val="24"/>
        </w:rPr>
        <w:t xml:space="preserve">6.1 Recommended Architecture</w:t>
      </w:r>
    </w:p>
    <w:p>
      <w:pPr>
        <w:pStyle w:val="ListParagraph"/>
        <w:numPr>
          <w:ilvl w:val="0"/>
          <w:numId w:val="2"/>
        </w:numPr>
        <w:spacing w:after="80" w:line="280"/>
      </w:pPr>
      <w:r>
        <w:rPr>
          <w:sz w:val="21"/>
          <w:szCs w:val="21"/>
        </w:rPr>
        <w:t xml:space="preserve">Google Drive — stores source video/image assets for each post.</w:t>
      </w:r>
    </w:p>
    <w:p>
      <w:pPr>
        <w:pStyle w:val="ListParagraph"/>
        <w:numPr>
          <w:ilvl w:val="0"/>
          <w:numId w:val="2"/>
        </w:numPr>
        <w:spacing w:after="80" w:line="280"/>
      </w:pPr>
      <w:r>
        <w:rPr>
          <w:sz w:val="21"/>
          <w:szCs w:val="21"/>
        </w:rPr>
        <w:t xml:space="preserve">Google Sheets — acts as the content calendar: asset link, caption, scheduled date/time, target platforms and publication status per platform.</w:t>
      </w:r>
    </w:p>
    <w:p>
      <w:pPr>
        <w:pStyle w:val="ListParagraph"/>
        <w:numPr>
          <w:ilvl w:val="0"/>
          <w:numId w:val="2"/>
        </w:numPr>
        <w:spacing w:after="80" w:line="280"/>
      </w:pPr>
      <w:r>
        <w:rPr>
          <w:sz w:val="21"/>
          <w:szCs w:val="21"/>
        </w:rPr>
        <w:t xml:space="preserve">n8n (self-hosted) — orchestrates the workflow: reads due rows from the Sheet, retrieves the matching Drive file, and calls Postiz.</w:t>
      </w:r>
    </w:p>
    <w:p>
      <w:pPr>
        <w:pStyle w:val="ListParagraph"/>
        <w:numPr>
          <w:ilvl w:val="0"/>
          <w:numId w:val="2"/>
        </w:numPr>
        <w:spacing w:after="80" w:line="280"/>
      </w:pPr>
      <w:r>
        <w:rPr>
          <w:sz w:val="21"/>
          <w:szCs w:val="21"/>
        </w:rPr>
        <w:t xml:space="preserve">Postiz (self-hosted, Docker: app + PostgreSQL + Redis + Temporal) — owns OAuth connections, media handling and scheduling for every platform.</w:t>
      </w:r>
    </w:p>
    <w:p>
      <w:pPr>
        <w:pStyle w:val="ListParagraph"/>
        <w:numPr>
          <w:ilvl w:val="0"/>
          <w:numId w:val="2"/>
        </w:numPr>
        <w:spacing w:after="80" w:line="280"/>
      </w:pPr>
      <w:r>
        <w:rPr>
          <w:sz w:val="21"/>
          <w:szCs w:val="21"/>
        </w:rPr>
        <w:t xml:space="preserve">The official n8n-nodes-postiz community node connects the two; an existing n8n.io community template (#6653) covers roughly 80% of this exact flow and will be adapted rather than built from scratch.</w:t>
      </w:r>
    </w:p>
    <w:p>
      <w:pPr>
        <w:pStyle w:val="Heading2"/>
        <w:spacing w:after="120" w:before="240"/>
      </w:pPr>
      <w:r>
        <w:rPr>
          <w:b/>
          <w:bCs/>
          <w:color w:val="2E5395"/>
          <w:sz w:val="24"/>
          <w:szCs w:val="24"/>
        </w:rPr>
        <w:t xml:space="preserve">6.2 Platform Verification Highlights</w:t>
      </w:r>
    </w:p>
    <w:p>
      <w:pPr>
        <w:pStyle w:val="ListParagraph"/>
        <w:numPr>
          <w:ilvl w:val="0"/>
          <w:numId w:val="2"/>
        </w:numPr>
        <w:spacing w:after="80" w:line="280"/>
      </w:pPr>
      <w:r>
        <w:rPr>
          <w:sz w:val="21"/>
          <w:szCs w:val="21"/>
        </w:rPr>
        <w:t xml:space="preserve">All required platforms (Instagram, Facebook, YouTube, LinkedIn, Pinterest, Telegram) are confirmed supported by Postiz, including video/Reels publishing and scheduling.</w:t>
      </w:r>
    </w:p>
    <w:p>
      <w:pPr>
        <w:pStyle w:val="ListParagraph"/>
        <w:numPr>
          <w:ilvl w:val="0"/>
          <w:numId w:val="2"/>
        </w:numPr>
        <w:spacing w:after="80" w:line="280"/>
      </w:pPr>
      <w:r>
        <w:rPr>
          <w:sz w:val="21"/>
          <w:szCs w:val="21"/>
        </w:rPr>
        <w:t xml:space="preserve">Instagram and Facebook share one Meta developer app; a Professional (Business/Creator) Instagram account and a Facebook Page are required. Because this is single-business personal use, full Meta App Review is likely not required — only Tester access and Live mode.</w:t>
      </w:r>
    </w:p>
    <w:p>
      <w:pPr>
        <w:pStyle w:val="ListParagraph"/>
        <w:numPr>
          <w:ilvl w:val="0"/>
          <w:numId w:val="2"/>
        </w:numPr>
        <w:spacing w:after="80" w:line="280"/>
      </w:pPr>
      <w:r>
        <w:rPr>
          <w:sz w:val="21"/>
          <w:szCs w:val="21"/>
        </w:rPr>
        <w:t xml:space="preserve">YouTube needs a Google Cloud project with the YouTube Data/Analytics/Reporting APIs enabled.</w:t>
      </w:r>
    </w:p>
    <w:p>
      <w:pPr>
        <w:pStyle w:val="ListParagraph"/>
        <w:numPr>
          <w:ilvl w:val="0"/>
          <w:numId w:val="2"/>
        </w:numPr>
        <w:spacing w:after="80" w:line="280"/>
      </w:pPr>
      <w:r>
        <w:rPr>
          <w:sz w:val="21"/>
          <w:szCs w:val="21"/>
        </w:rPr>
        <w:t xml:space="preserve">LinkedIn distinguishes personal-profile and Company Page integrations, connected separately.</w:t>
      </w:r>
    </w:p>
    <w:p>
      <w:pPr>
        <w:pStyle w:val="ListParagraph"/>
        <w:numPr>
          <w:ilvl w:val="0"/>
          <w:numId w:val="2"/>
        </w:numPr>
        <w:spacing w:after="80" w:line="280"/>
      </w:pPr>
      <w:r>
        <w:rPr>
          <w:sz w:val="21"/>
          <w:szCs w:val="21"/>
        </w:rPr>
        <w:t xml:space="preserve">Telegram needs only a bot token from @BotFather added as a channel admin — no OAuth, works instantly on localhost, and is the recommended first platform to validate the pipeline.</w:t>
      </w:r>
    </w:p>
    <w:p>
      <w:pPr>
        <w:pStyle w:val="ListParagraph"/>
        <w:numPr>
          <w:ilvl w:val="0"/>
          <w:numId w:val="2"/>
        </w:numPr>
        <w:spacing w:after="80" w:line="280"/>
      </w:pPr>
      <w:r>
        <w:rPr>
          <w:sz w:val="21"/>
          <w:szCs w:val="21"/>
        </w:rPr>
        <w:t xml:space="preserve">Instagram, Facebook, YouTube, LinkedIn and Pinterest all require a public HTTPS OAuth callback for the one-time "connect channel" step; a temporary Cloudflare Tunnel is sufficient and does not need to stay running afterward.</w:t>
      </w:r>
    </w:p>
    <w:p>
      <w:pPr>
        <w:pStyle w:val="Heading2"/>
        <w:spacing w:after="120" w:before="240"/>
      </w:pPr>
      <w:r>
        <w:rPr>
          <w:b/>
          <w:bCs/>
          <w:color w:val="2E5395"/>
          <w:sz w:val="24"/>
          <w:szCs w:val="24"/>
        </w:rPr>
        <w:t xml:space="preserve">6.3 Costs</w:t>
      </w:r>
    </w:p>
    <w:p>
      <w:pPr>
        <w:pStyle w:val="ListParagraph"/>
        <w:numPr>
          <w:ilvl w:val="0"/>
          <w:numId w:val="2"/>
        </w:numPr>
        <w:spacing w:after="80" w:line="280"/>
      </w:pPr>
      <w:r>
        <w:rPr>
          <w:sz w:val="21"/>
          <w:szCs w:val="21"/>
        </w:rPr>
        <w:t xml:space="preserve">Self-hosted n8n, Postiz, Docker, Google Sheets/Drive and Telegram: free.</w:t>
      </w:r>
    </w:p>
    <w:p>
      <w:pPr>
        <w:pStyle w:val="ListParagraph"/>
        <w:numPr>
          <w:ilvl w:val="0"/>
          <w:numId w:val="2"/>
        </w:numPr>
        <w:spacing w:after="80" w:line="280"/>
      </w:pPr>
      <w:r>
        <w:rPr>
          <w:sz w:val="21"/>
          <w:szCs w:val="21"/>
        </w:rPr>
        <w:t xml:space="preserve">A small VPS (~$5–12/month) is only needed if the automation should run 24/7 independent of a laptop, plus a domain once moving to a public server.</w:t>
      </w:r>
    </w:p>
    <w:p>
      <w:pPr>
        <w:pStyle w:val="ListParagraph"/>
        <w:numPr>
          <w:ilvl w:val="0"/>
          <w:numId w:val="2"/>
        </w:numPr>
        <w:spacing w:after="80" w:line="280"/>
      </w:pPr>
      <w:r>
        <w:rPr>
          <w:sz w:val="21"/>
          <w:szCs w:val="21"/>
        </w:rPr>
        <w:t xml:space="preserve">X (Twitter) is the one platform in this space with a real paid API tier if automated posting to it is required.</w:t>
      </w:r>
    </w:p>
    <w:p>
      <w:pPr>
        <w:pStyle w:val="ListParagraph"/>
        <w:numPr>
          <w:ilvl w:val="0"/>
          <w:numId w:val="2"/>
        </w:numPr>
        <w:spacing w:after="80" w:line="280"/>
      </w:pPr>
      <w:r>
        <w:rPr>
          <w:sz w:val="21"/>
          <w:szCs w:val="21"/>
        </w:rPr>
        <w:t xml:space="preserve">Time cost, not money, is the main risk: Meta business verification, if triggered, can take 2–4 weeks.</w:t>
      </w:r>
    </w:p>
    <w:p>
      <w:pPr>
        <w:pStyle w:val="Heading2"/>
        <w:spacing w:after="120" w:before="240"/>
      </w:pPr>
      <w:r>
        <w:rPr>
          <w:b/>
          <w:bCs/>
          <w:color w:val="2E5395"/>
          <w:sz w:val="24"/>
          <w:szCs w:val="24"/>
        </w:rPr>
        <w:t xml:space="preserve">6.4 Implementation Order (Condensed)</w:t>
      </w:r>
    </w:p>
    <w:p>
      <w:pPr>
        <w:pStyle w:val="ListParagraph"/>
        <w:numPr>
          <w:ilvl w:val="0"/>
          <w:numId w:val="2"/>
        </w:numPr>
        <w:spacing w:after="80" w:line="280"/>
      </w:pPr>
      <w:r>
        <w:rPr>
          <w:sz w:val="21"/>
          <w:szCs w:val="21"/>
        </w:rPr>
        <w:t xml:space="preserve">Stand up Postiz + n8n locally via Docker; confirm both load and register the org owner account.</w:t>
      </w:r>
    </w:p>
    <w:p>
      <w:pPr>
        <w:pStyle w:val="ListParagraph"/>
        <w:numPr>
          <w:ilvl w:val="0"/>
          <w:numId w:val="2"/>
        </w:numPr>
        <w:spacing w:after="80" w:line="280"/>
      </w:pPr>
      <w:r>
        <w:rPr>
          <w:sz w:val="21"/>
          <w:szCs w:val="21"/>
        </w:rPr>
        <w:t xml:space="preserve">Connect Telegram first to validate the full pipeline end-to-end with zero OAuth friction.</w:t>
      </w:r>
    </w:p>
    <w:p>
      <w:pPr>
        <w:pStyle w:val="ListParagraph"/>
        <w:numPr>
          <w:ilvl w:val="0"/>
          <w:numId w:val="2"/>
        </w:numPr>
        <w:spacing w:after="80" w:line="280"/>
      </w:pPr>
      <w:r>
        <w:rPr>
          <w:sz w:val="21"/>
          <w:szCs w:val="21"/>
        </w:rPr>
        <w:t xml:space="preserve">Install n8n-nodes-postiz and import community template #6653 as the workflow skeleton.</w:t>
      </w:r>
    </w:p>
    <w:p>
      <w:pPr>
        <w:pStyle w:val="ListParagraph"/>
        <w:numPr>
          <w:ilvl w:val="0"/>
          <w:numId w:val="2"/>
        </w:numPr>
        <w:spacing w:after="80" w:line="280"/>
      </w:pPr>
      <w:r>
        <w:rPr>
          <w:sz w:val="21"/>
          <w:szCs w:val="21"/>
        </w:rPr>
        <w:t xml:space="preserve">Build the Google Sheet content calendar (asset link, caption, schedule, per-platform status).</w:t>
      </w:r>
    </w:p>
    <w:p>
      <w:pPr>
        <w:pStyle w:val="ListParagraph"/>
        <w:numPr>
          <w:ilvl w:val="0"/>
          <w:numId w:val="2"/>
        </w:numPr>
        <w:spacing w:after="80" w:line="280"/>
      </w:pPr>
      <w:r>
        <w:rPr>
          <w:sz w:val="21"/>
          <w:szCs w:val="21"/>
        </w:rPr>
        <w:t xml:space="preserve">Adapt the template: swap in Sheet-driven scheduling, the confirmed platform list, and a Sheets status write-back step.</w:t>
      </w:r>
    </w:p>
    <w:p>
      <w:pPr>
        <w:pStyle w:val="ListParagraph"/>
        <w:numPr>
          <w:ilvl w:val="0"/>
          <w:numId w:val="2"/>
        </w:numPr>
        <w:spacing w:after="80" w:line="280"/>
      </w:pPr>
      <w:r>
        <w:rPr>
          <w:sz w:val="21"/>
          <w:szCs w:val="21"/>
        </w:rPr>
        <w:t xml:space="preserve">Register developer apps one at a time, easiest first: Pinterest → LinkedIn → YouTube → Instagram+Facebook (same Meta app), using a temporary Cloudflare Tunnel for each OAuth handshake.</w:t>
      </w:r>
    </w:p>
    <w:p>
      <w:pPr>
        <w:pStyle w:val="ListParagraph"/>
        <w:numPr>
          <w:ilvl w:val="0"/>
          <w:numId w:val="2"/>
        </w:numPr>
        <w:spacing w:after="80" w:line="280"/>
      </w:pPr>
      <w:r>
        <w:rPr>
          <w:sz w:val="21"/>
          <w:szCs w:val="21"/>
        </w:rPr>
        <w:t xml:space="preserve">Re-test the pipeline against each newly connected platform individually, then switch the trigger from manual to a scheduled cadence once all platforms are stable.</w:t>
      </w:r>
    </w:p>
    <w:p>
      <w:pPr>
        <w:pStyle w:val="ListParagraph"/>
        <w:numPr>
          <w:ilvl w:val="0"/>
          <w:numId w:val="2"/>
        </w:numPr>
        <w:spacing w:after="80" w:line="280"/>
      </w:pPr>
      <w:r>
        <w:rPr>
          <w:sz w:val="21"/>
          <w:szCs w:val="21"/>
        </w:rPr>
        <w:t xml:space="preserve">Move to a small VPS with a domain only after the local pipeline is proven stable.</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Human approval safeguard</w:t>
            </w:r>
          </w:p>
          <w:p>
            <w:pPr>
              <w:spacing w:after="60" w:line="270"/>
            </w:pPr>
            <w:r>
              <w:rPr>
                <w:color w:val="222222"/>
                <w:sz w:val="20"/>
                <w:szCs w:val="20"/>
              </w:rPr>
              <w:t xml:space="preserve">•  Because this is a legal-services business, content should be reviewed and approved by the Advocate/client before automated publishing runs — consistent with Section 7 and Section 14 of the signed agreement.</w:t>
            </w:r>
          </w:p>
          <w:p>
            <w:pPr>
              <w:spacing w:after="60" w:line="270"/>
            </w:pPr>
            <w:r>
              <w:rPr>
                <w:color w:val="222222"/>
                <w:sz w:val="20"/>
                <w:szCs w:val="20"/>
              </w:rPr>
              <w:t xml:space="preserve">•  AI-assisted caption/content generation (optional, future phase) should assist production but not replace professional legal review.</w:t>
            </w:r>
          </w:p>
        </w:tc>
      </w:tr>
    </w:tbl>
    <w:p>
      <w:r>
        <w:br w:type="page"/>
      </w:r>
    </w:p>
    <w:p>
      <w:pPr>
        <w:pStyle w:val="Heading1"/>
        <w:pBdr>
          <w:bottom w:val="single" w:color="1F3864" w:sz="6" w:space="4"/>
        </w:pBdr>
        <w:spacing w:after="160" w:before="320"/>
      </w:pPr>
      <w:r>
        <w:rPr>
          <w:b/>
          <w:bCs/>
          <w:color w:val="1F3864"/>
          <w:sz w:val="28"/>
          <w:szCs w:val="28"/>
        </w:rPr>
        <w:t xml:space="preserve">7. Delivery Roadmap</w:t>
      </w:r>
    </w:p>
    <w:p>
      <w:pPr>
        <w:pStyle w:val="Heading2"/>
        <w:spacing w:after="120" w:before="240"/>
      </w:pPr>
      <w:r>
        <w:rPr>
          <w:b/>
          <w:bCs/>
          <w:color w:val="2E5395"/>
          <w:sz w:val="24"/>
          <w:szCs w:val="24"/>
        </w:rPr>
        <w:t xml:space="preserve">Phase 1 — Foundation (Weeks 1–2)</w:t>
      </w:r>
    </w:p>
    <w:p>
      <w:pPr>
        <w:pStyle w:val="ListParagraph"/>
        <w:numPr>
          <w:ilvl w:val="0"/>
          <w:numId w:val="2"/>
        </w:numPr>
        <w:spacing w:after="80" w:line="280"/>
      </w:pPr>
      <w:r>
        <w:rPr>
          <w:sz w:val="21"/>
          <w:szCs w:val="21"/>
        </w:rPr>
        <w:t xml:space="preserve">Collect client-supplied information: Advocate profile, photos, branding, legal service list, domain/hosting access.</w:t>
      </w:r>
    </w:p>
    <w:p>
      <w:pPr>
        <w:pStyle w:val="ListParagraph"/>
        <w:numPr>
          <w:ilvl w:val="0"/>
          <w:numId w:val="2"/>
        </w:numPr>
        <w:spacing w:after="80" w:line="280"/>
      </w:pPr>
      <w:r>
        <w:rPr>
          <w:sz w:val="21"/>
          <w:szCs w:val="21"/>
        </w:rPr>
        <w:t xml:space="preserve">Stand up Postiz + n8n locally; set up the Google Sheet content calendar.</w:t>
      </w:r>
    </w:p>
    <w:p>
      <w:pPr>
        <w:pStyle w:val="ListParagraph"/>
        <w:numPr>
          <w:ilvl w:val="0"/>
          <w:numId w:val="2"/>
        </w:numPr>
        <w:spacing w:after="80" w:line="280"/>
      </w:pPr>
      <w:r>
        <w:rPr>
          <w:sz w:val="21"/>
          <w:szCs w:val="21"/>
        </w:rPr>
        <w:t xml:space="preserve">Begin website build and six social profile setup.</w:t>
      </w:r>
    </w:p>
    <w:p>
      <w:pPr>
        <w:pStyle w:val="Heading2"/>
        <w:spacing w:after="120" w:before="240"/>
      </w:pPr>
      <w:r>
        <w:rPr>
          <w:b/>
          <w:bCs/>
          <w:color w:val="2E5395"/>
          <w:sz w:val="24"/>
          <w:szCs w:val="24"/>
        </w:rPr>
        <w:t xml:space="preserve">Phase 2 — Automation Proof of Concept (Weeks 2–3)</w:t>
      </w:r>
    </w:p>
    <w:p>
      <w:pPr>
        <w:pStyle w:val="ListParagraph"/>
        <w:numPr>
          <w:ilvl w:val="0"/>
          <w:numId w:val="2"/>
        </w:numPr>
        <w:spacing w:after="80" w:line="280"/>
      </w:pPr>
      <w:r>
        <w:rPr>
          <w:sz w:val="21"/>
          <w:szCs w:val="21"/>
        </w:rPr>
        <w:t xml:space="preserve">Connect Telegram and validate Google Drive → n8n → Postiz → publish end-to-end.</w:t>
      </w:r>
    </w:p>
    <w:p>
      <w:pPr>
        <w:pStyle w:val="ListParagraph"/>
        <w:numPr>
          <w:ilvl w:val="0"/>
          <w:numId w:val="2"/>
        </w:numPr>
        <w:spacing w:after="80" w:line="280"/>
      </w:pPr>
      <w:r>
        <w:rPr>
          <w:sz w:val="21"/>
          <w:szCs w:val="21"/>
        </w:rPr>
        <w:t xml:space="preserve">Finalise the platform #4–#6 decision with the client (Section 5).</w:t>
      </w:r>
    </w:p>
    <w:p>
      <w:pPr>
        <w:pStyle w:val="Heading2"/>
        <w:spacing w:after="120" w:before="240"/>
      </w:pPr>
      <w:r>
        <w:rPr>
          <w:b/>
          <w:bCs/>
          <w:color w:val="2E5395"/>
          <w:sz w:val="24"/>
          <w:szCs w:val="24"/>
        </w:rPr>
        <w:t xml:space="preserve">Phase 3 — Multi-Platform Rollout (Weeks 3–5)</w:t>
      </w:r>
    </w:p>
    <w:p>
      <w:pPr>
        <w:pStyle w:val="ListParagraph"/>
        <w:numPr>
          <w:ilvl w:val="0"/>
          <w:numId w:val="2"/>
        </w:numPr>
        <w:spacing w:after="80" w:line="280"/>
      </w:pPr>
      <w:r>
        <w:rPr>
          <w:sz w:val="21"/>
          <w:szCs w:val="21"/>
        </w:rPr>
        <w:t xml:space="preserve">Register developer apps and connect Instagram, Facebook, YouTube, LinkedIn and the remaining chosen platforms.</w:t>
      </w:r>
    </w:p>
    <w:p>
      <w:pPr>
        <w:pStyle w:val="ListParagraph"/>
        <w:numPr>
          <w:ilvl w:val="0"/>
          <w:numId w:val="2"/>
        </w:numPr>
        <w:spacing w:after="80" w:line="280"/>
      </w:pPr>
      <w:r>
        <w:rPr>
          <w:sz w:val="21"/>
          <w:szCs w:val="21"/>
        </w:rPr>
        <w:t xml:space="preserve">Test independent per-platform status tracking and retry-without-duplicate-posting behaviour.</w:t>
      </w:r>
    </w:p>
    <w:p>
      <w:pPr>
        <w:pStyle w:val="Heading2"/>
        <w:spacing w:after="120" w:before="240"/>
      </w:pPr>
      <w:r>
        <w:rPr>
          <w:b/>
          <w:bCs/>
          <w:color w:val="2E5395"/>
          <w:sz w:val="24"/>
          <w:szCs w:val="24"/>
        </w:rPr>
        <w:t xml:space="preserve">Phase 4 — Website, Payments &amp; Documents (Weeks 3–6, parallel)</w:t>
      </w:r>
    </w:p>
    <w:p>
      <w:pPr>
        <w:pStyle w:val="ListParagraph"/>
        <w:numPr>
          <w:ilvl w:val="0"/>
          <w:numId w:val="2"/>
        </w:numPr>
        <w:spacing w:after="80" w:line="280"/>
      </w:pPr>
      <w:r>
        <w:rPr>
          <w:sz w:val="21"/>
          <w:szCs w:val="21"/>
        </w:rPr>
        <w:t xml:space="preserve">Build website pages: Home, Will Services, Other Legal Services, About the Advocate, FAQ, Contact.</w:t>
      </w:r>
    </w:p>
    <w:p>
      <w:pPr>
        <w:pStyle w:val="ListParagraph"/>
        <w:numPr>
          <w:ilvl w:val="0"/>
          <w:numId w:val="2"/>
        </w:numPr>
        <w:spacing w:after="80" w:line="280"/>
      </w:pPr>
      <w:r>
        <w:rPr>
          <w:sz w:val="21"/>
          <w:szCs w:val="21"/>
        </w:rPr>
        <w:t xml:space="preserve">Integrate Razorpay payment gateway and secure document upload with access controls.</w:t>
      </w:r>
    </w:p>
    <w:p>
      <w:pPr>
        <w:pStyle w:val="Heading2"/>
        <w:spacing w:after="120" w:before="240"/>
      </w:pPr>
      <w:r>
        <w:rPr>
          <w:b/>
          <w:bCs/>
          <w:color w:val="2E5395"/>
          <w:sz w:val="24"/>
          <w:szCs w:val="24"/>
        </w:rPr>
        <w:t xml:space="preserve">Phase 5 — SEO &amp; Launch (Weeks 5–7)</w:t>
      </w:r>
    </w:p>
    <w:p>
      <w:pPr>
        <w:pStyle w:val="ListParagraph"/>
        <w:numPr>
          <w:ilvl w:val="0"/>
          <w:numId w:val="2"/>
        </w:numPr>
        <w:spacing w:after="80" w:line="280"/>
      </w:pPr>
      <w:r>
        <w:rPr>
          <w:sz w:val="21"/>
          <w:szCs w:val="21"/>
        </w:rPr>
        <w:t xml:space="preserve">Complete on-page, local and technical SEO; Google Business Profile, Search Console and directory listings.</w:t>
      </w:r>
    </w:p>
    <w:p>
      <w:pPr>
        <w:pStyle w:val="ListParagraph"/>
        <w:numPr>
          <w:ilvl w:val="0"/>
          <w:numId w:val="2"/>
        </w:numPr>
        <w:spacing w:after="80" w:line="280"/>
      </w:pPr>
      <w:r>
        <w:rPr>
          <w:sz w:val="21"/>
          <w:szCs w:val="21"/>
        </w:rPr>
        <w:t xml:space="preserve">Launch website and begin monthly content production and publishing cadence.</w:t>
      </w:r>
    </w:p>
    <w:p>
      <w:pPr>
        <w:pStyle w:val="Heading2"/>
        <w:spacing w:after="120" w:before="240"/>
      </w:pPr>
      <w:r>
        <w:rPr>
          <w:b/>
          <w:bCs/>
          <w:color w:val="2E5395"/>
          <w:sz w:val="24"/>
          <w:szCs w:val="24"/>
        </w:rPr>
        <w:t xml:space="preserve">Phase 6 — Paid Advertising &amp; Reporting (Ongoing from Month 2)</w:t>
      </w:r>
    </w:p>
    <w:p>
      <w:pPr>
        <w:pStyle w:val="ListParagraph"/>
        <w:numPr>
          <w:ilvl w:val="0"/>
          <w:numId w:val="2"/>
        </w:numPr>
        <w:spacing w:after="80" w:line="280"/>
      </w:pPr>
      <w:r>
        <w:rPr>
          <w:sz w:val="21"/>
          <w:szCs w:val="21"/>
        </w:rPr>
        <w:t xml:space="preserve">Launch the ₹5,000/month Meta ad budget directed at Will-awareness landing pages.</w:t>
      </w:r>
    </w:p>
    <w:p>
      <w:pPr>
        <w:pStyle w:val="ListParagraph"/>
        <w:numPr>
          <w:ilvl w:val="0"/>
          <w:numId w:val="2"/>
        </w:numPr>
        <w:spacing w:after="80" w:line="280"/>
      </w:pPr>
      <w:r>
        <w:rPr>
          <w:sz w:val="21"/>
          <w:szCs w:val="21"/>
        </w:rPr>
        <w:t xml:space="preserve">Deliver monthly performance reports covering website, social and advertising metrics.</w:t>
      </w:r>
    </w:p>
    <w:p>
      <w:pPr>
        <w:pStyle w:val="Heading1"/>
        <w:pBdr>
          <w:bottom w:val="single" w:color="1F3864" w:sz="6" w:space="4"/>
        </w:pBdr>
        <w:spacing w:after="160" w:before="320"/>
      </w:pPr>
      <w:r>
        <w:rPr>
          <w:b/>
          <w:bCs/>
          <w:color w:val="1F3864"/>
          <w:sz w:val="28"/>
          <w:szCs w:val="28"/>
        </w:rPr>
        <w:t xml:space="preserve">8. Open Items &amp; Decisions Needed</w:t>
      </w:r>
    </w:p>
    <w:p>
      <w:pPr>
        <w:pStyle w:val="ListParagraph"/>
        <w:numPr>
          <w:ilvl w:val="0"/>
          <w:numId w:val="2"/>
        </w:numPr>
        <w:spacing w:after="80" w:line="280"/>
      </w:pPr>
      <w:r>
        <w:rPr>
          <w:sz w:val="21"/>
          <w:szCs w:val="21"/>
        </w:rPr>
        <w:t xml:space="preserve">Client countersignature on the agreement is still pending.</w:t>
      </w:r>
    </w:p>
    <w:p>
      <w:pPr>
        <w:pStyle w:val="ListParagraph"/>
        <w:numPr>
          <w:ilvl w:val="0"/>
          <w:numId w:val="2"/>
        </w:numPr>
        <w:spacing w:after="80" w:line="280"/>
      </w:pPr>
      <w:r>
        <w:rPr>
          <w:sz w:val="21"/>
          <w:szCs w:val="21"/>
        </w:rPr>
        <w:t xml:space="preserve">Final confirmation of platforms #4–#6 (Threads/X vs. Pinterest/Telegram, or a mixed set).</w:t>
      </w:r>
    </w:p>
    <w:p>
      <w:pPr>
        <w:pStyle w:val="ListParagraph"/>
        <w:numPr>
          <w:ilvl w:val="0"/>
          <w:numId w:val="2"/>
        </w:numPr>
        <w:spacing w:after="80" w:line="280"/>
      </w:pPr>
      <w:r>
        <w:rPr>
          <w:sz w:val="21"/>
          <w:szCs w:val="21"/>
        </w:rPr>
        <w:t xml:space="preserve">Advocate's professional details, photographs, branding assets and final legal service list to be supplied by the client.</w:t>
      </w:r>
    </w:p>
    <w:p>
      <w:pPr>
        <w:pStyle w:val="ListParagraph"/>
        <w:numPr>
          <w:ilvl w:val="0"/>
          <w:numId w:val="2"/>
        </w:numPr>
        <w:spacing w:after="80" w:line="280"/>
      </w:pPr>
      <w:r>
        <w:rPr>
          <w:sz w:val="21"/>
          <w:szCs w:val="21"/>
        </w:rPr>
        <w:t xml:space="preserve">Domain and hosting access, and confirmation of who registers third-party accounts (client's own accounts preferred per Section 9 of the agreement).</w:t>
      </w:r>
    </w:p>
    <w:p>
      <w:pPr>
        <w:pStyle w:val="ListParagraph"/>
        <w:numPr>
          <w:ilvl w:val="0"/>
          <w:numId w:val="2"/>
        </w:numPr>
        <w:spacing w:after="80" w:line="280"/>
      </w:pPr>
      <w:r>
        <w:rPr>
          <w:sz w:val="21"/>
          <w:szCs w:val="21"/>
        </w:rPr>
        <w:t xml:space="preserve">Confirmation of the Instagram account type (must be Professional/Business or Creator) and whether it already exists or needs conversion.</w:t>
      </w:r>
    </w:p>
    <w:p>
      <w:pPr>
        <w:pStyle w:val="ListParagraph"/>
        <w:numPr>
          <w:ilvl w:val="0"/>
          <w:numId w:val="2"/>
        </w:numPr>
        <w:spacing w:after="80" w:line="280"/>
      </w:pPr>
      <w:r>
        <w:rPr>
          <w:sz w:val="21"/>
          <w:szCs w:val="21"/>
        </w:rPr>
        <w:t xml:space="preserve">Decision on local vs. VPS hosting for Postiz/n8n, and timing of any move to a paid VPS + domain.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Indian Law Professionals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2026-08-26T15:20:25.952Z</dcterms:created>
  <dcterms:modified xsi:type="dcterms:W3CDTF">2026-08-26T15:20:25.964Z</dcterms:modified>
</cp:coreProperties>
</file>

<file path=docProps/custom.xml><?xml version="1.0" encoding="utf-8"?>
<Properties xmlns="http://schemas.openxmlformats.org/officeDocument/2006/custom-properties" xmlns:vt="http://schemas.openxmlformats.org/officeDocument/2006/docPropsVTypes"/>
</file>