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5"/>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0"/>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6"/>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6"/>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6"/>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7"/>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7"/>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7"/>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7"/>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2"/>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2"/>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3"/>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3"/>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3"/>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3"/>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0"/>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0"/>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0"/>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0"/>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0"/>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5"/>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5"/>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4"/>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4"/>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4"/>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4"/>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3"/>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3"/>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3"/>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3"/>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4"/>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4"/>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4"/>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4"/>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1"/>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1"/>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1"/>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8"/>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28"/>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28"/>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28"/>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28"/>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9"/>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9"/>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9"/>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9"/>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29"/>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29"/>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29"/>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29"/>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4"/>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5"/>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5"/>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2"/>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dev, eng, test, perf, or prod. This prevents users from giving themselves access to the EMR cluster by adding tags on the cluster, opening up access to any user who is allowed to act on resources with that tag</w:t>
      </w:r>
    </w:p>
    <w:p w:rsidR="00000000" w:rsidDel="00000000" w:rsidP="00000000" w:rsidRDefault="00000000" w:rsidRPr="00000000" w14:paraId="000004E6">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Adding a tag to your confidential EMR cluster will allow access to users who have a policy associated with their IAM user account that allows access to resources that allow access via that tag. It will allow access to users who have a policy associated with their user account that allows access to resources that allow access via that tag</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1.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