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9"/>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9"/>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9"/>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9"/>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9"/>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9"/>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8"/>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8"/>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3"/>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3"/>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3"/>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3"/>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3"/>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5"/>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5"/>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5"/>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5"/>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0"/>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0"/>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0"/>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0"/>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2"/>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2"/>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2"/>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2"/>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4"/>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4"/>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4"/>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4"/>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6"/>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6"/>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6"/>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6"/>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3"/>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3"/>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3"/>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3"/>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3"/>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8"/>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8"/>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8"/>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8"/>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6"/>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6"/>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6"/>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6"/>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3"/>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3"/>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0"/>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0"/>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0"/>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9"/>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9"/>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9"/>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2"/>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2"/>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2"/>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2"/>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3"/>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3"/>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3"/>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3"/>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4"/>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4"/>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4"/>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4"/>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0"/>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0"/>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0"/>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0"/>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0"/>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2"/>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2"/>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2"/>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2"/>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7"/>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7"/>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7"/>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7"/>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7"/>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7"/>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9"/>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9"/>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9"/>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9"/>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9"/>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9"/>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9"/>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9"/>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0"/>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0"/>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0"/>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0"/>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4"/>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4"/>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4"/>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0"/>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0"/>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0"/>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7"/>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7"/>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7"/>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7"/>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4"/>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4"/>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4"/>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4"/>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1"/>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1"/>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1"/>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1"/>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1"/>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1"/>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1"/>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1"/>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1"/>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58"/>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58"/>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58"/>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58"/>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5"/>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5"/>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5"/>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5"/>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1"/>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1"/>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1"/>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1"/>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48"/>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48"/>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48"/>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48"/>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5"/>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5"/>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5"/>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5"/>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b w:val="1"/>
          <w:color w:val="444444"/>
        </w:rPr>
      </w:pPr>
      <w:r w:rsidDel="00000000" w:rsidR="00000000" w:rsidRPr="00000000">
        <w:rPr>
          <w:rtl w:val="0"/>
        </w:rPr>
      </w:r>
    </w:p>
    <w:p w:rsidR="00000000" w:rsidDel="00000000" w:rsidP="00000000" w:rsidRDefault="00000000" w:rsidRPr="00000000" w14:paraId="00000856">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