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2"/>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1"/>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1"/>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1"/>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1"/>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1"/>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8"/>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6"/>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6"/>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6"/>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6"/>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2"/>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2"/>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2"/>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2"/>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6"/>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6"/>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6"/>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6"/>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4"/>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4"/>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4"/>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4"/>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4"/>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9"/>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7"/>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7"/>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7"/>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7"/>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3"/>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0"/>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0"/>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0"/>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9"/>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9"/>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2"/>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2"/>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2"/>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2"/>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4"/>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5"/>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5"/>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1"/>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3"/>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3"/>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3"/>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3"/>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9"/>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9"/>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9"/>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9"/>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7"/>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7"/>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0"/>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0"/>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0"/>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0"/>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0"/>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1"/>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1"/>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1"/>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1"/>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4"/>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4"/>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0"/>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0"/>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8"/>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8"/>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8"/>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8"/>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5"/>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5"/>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5"/>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5"/>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1"/>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1"/>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1"/>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1"/>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2"/>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2"/>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2"/>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2"/>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2"/>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0"/>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0"/>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0"/>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0"/>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6"/>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6"/>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6"/>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6"/>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2"/>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2"/>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2"/>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2"/>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49"/>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49"/>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49"/>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49"/>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6"/>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6"/>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6"/>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6"/>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1"/>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1"/>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1"/>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1"/>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58"/>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58"/>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58"/>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58"/>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