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0"/>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43"/>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43"/>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43"/>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43"/>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46"/>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46"/>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4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4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6"/>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6"/>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6"/>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6"/>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1"/>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1"/>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1"/>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1"/>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27"/>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48"/>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48"/>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48"/>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48"/>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48"/>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48"/>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4"/>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4"/>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4"/>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4"/>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4"/>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28"/>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28"/>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28"/>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28"/>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28"/>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0"/>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0"/>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0"/>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0"/>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49"/>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49"/>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49"/>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49"/>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36"/>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3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36"/>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3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29"/>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29"/>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29"/>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29"/>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2"/>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2"/>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2"/>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2"/>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45"/>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45"/>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45"/>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45"/>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45"/>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3"/>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3"/>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3"/>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3"/>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1"/>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1"/>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1"/>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1"/>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19"/>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19"/>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19"/>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19"/>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7"/>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7"/>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7"/>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7"/>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7"/>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5"/>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5"/>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5"/>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5"/>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18"/>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18"/>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18"/>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18"/>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37"/>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37"/>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37"/>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37"/>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38"/>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38"/>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3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3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5"/>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44"/>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44"/>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44"/>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44"/>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47"/>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47"/>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47"/>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47"/>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3"/>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3"/>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3"/>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3"/>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4"/>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4"/>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4"/>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4"/>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3"/>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3"/>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3"/>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3"/>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1"/>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1"/>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1"/>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1"/>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2"/>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2"/>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2"/>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2"/>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0"/>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0"/>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0"/>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0"/>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6"/>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6"/>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6"/>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6"/>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2"/>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2"/>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2"/>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2"/>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120" Type="http://schemas.openxmlformats.org/officeDocument/2006/relationships/hyperlink" Target="https://aws.amazon.com/blogs/aws/new-using-step-functions-to-orchestrate-amazon-emr-workloads/"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114" Type="http://schemas.openxmlformats.org/officeDocument/2006/relationships/hyperlink" Target="https://docs.aws.amazon.com/glue/latest/dg/orchestrate-using-workflows.html" TargetMode="External"/><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