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1"/>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7"/>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3"/>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3"/>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3"/>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3"/>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5"/>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5"/>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5"/>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5"/>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9"/>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0"/>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0"/>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0"/>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0"/>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5"/>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5"/>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5"/>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5"/>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6"/>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6"/>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6"/>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6"/>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6"/>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6"/>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4"/>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9"/>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9"/>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9"/>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9"/>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2"/>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2"/>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2"/>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2"/>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7"/>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7"/>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7"/>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7"/>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6"/>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6"/>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6"/>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6"/>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8"/>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8"/>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8"/>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8"/>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8"/>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2"/>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2"/>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2"/>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2"/>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3"/>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3"/>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3"/>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3"/>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7"/>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7"/>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7"/>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7"/>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0"/>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0"/>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0"/>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0"/>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4"/>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4"/>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4"/>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4"/>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2.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