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0"/>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0"/>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1"/>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1"/>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1"/>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1"/>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2"/>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2"/>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2"/>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11"/>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11"/>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1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1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1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1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3"/>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3"/>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3"/>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3"/>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3"/>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8"/>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8"/>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8"/>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8"/>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4"/>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4"/>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4"/>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4"/>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16"/>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16"/>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16"/>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16"/>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7"/>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8"/>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8"/>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8"/>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2"/>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2"/>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2"/>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2"/>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21"/>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21"/>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21"/>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21"/>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9"/>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9"/>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9"/>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9"/>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2"/>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2"/>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2"/>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2"/>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7"/>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7"/>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9"/>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9"/>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9"/>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9"/>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1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1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1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13"/>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20"/>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20"/>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20"/>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20"/>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b w:val="1"/>
          <w:color w:val="444444"/>
        </w:rPr>
      </w:pPr>
      <w:r w:rsidDel="00000000" w:rsidR="00000000" w:rsidRPr="00000000">
        <w:rPr>
          <w:rtl w:val="0"/>
        </w:rPr>
      </w:r>
    </w:p>
    <w:p w:rsidR="00000000" w:rsidDel="00000000" w:rsidP="00000000" w:rsidRDefault="00000000" w:rsidRPr="00000000" w14:paraId="00000364">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