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3"/>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4"/>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9"/>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7"/>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7"/>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6"/>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6"/>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6"/>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6"/>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9"/>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9"/>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9"/>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9"/>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1"/>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7"/>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7"/>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8"/>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8"/>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8"/>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8"/>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0"/>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0"/>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0"/>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0"/>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6"/>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1"/>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1"/>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4"/>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4"/>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4"/>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4"/>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9"/>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9"/>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9"/>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9"/>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8"/>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8"/>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8"/>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8"/>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0"/>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0"/>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0"/>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0"/>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0"/>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5"/>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5"/>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5"/>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5"/>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8"/>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8"/>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8"/>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8"/>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1"/>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1"/>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1"/>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1"/>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2"/>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2"/>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6"/>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2"/>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2"/>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2"/>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2"/>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2"/>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2"/>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2"/>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2"/>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2"/>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27"/>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27"/>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27"/>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27"/>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color w:val="444444"/>
        </w:rPr>
      </w:pPr>
      <w:r w:rsidDel="00000000" w:rsidR="00000000" w:rsidRPr="00000000">
        <w:rPr>
          <w:rtl w:val="0"/>
        </w:rPr>
      </w:r>
    </w:p>
    <w:p w:rsidR="00000000" w:rsidDel="00000000" w:rsidP="00000000" w:rsidRDefault="00000000" w:rsidRPr="00000000" w14:paraId="00000484">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2.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