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2"/>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2"/>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2"/>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2"/>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3"/>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4"/>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4"/>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4"/>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8"/>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6"/>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6"/>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6"/>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6"/>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5"/>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5"/>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5"/>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5"/>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7"/>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7"/>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7"/>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7"/>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0"/>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2"/>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2"/>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2"/>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2"/>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6"/>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6"/>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6"/>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6"/>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7"/>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7"/>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7"/>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7"/>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8"/>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8"/>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8"/>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8"/>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5"/>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0"/>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0"/>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0"/>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0"/>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3"/>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3"/>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3"/>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3"/>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8"/>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8"/>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8"/>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8"/>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7"/>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7"/>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7"/>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7"/>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9"/>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9"/>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9"/>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9"/>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9"/>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9"/>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9"/>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9"/>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4"/>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4"/>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4"/>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4"/>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4"/>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4"/>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4"/>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4"/>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9"/>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9"/>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9"/>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9"/>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1"/>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1"/>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1"/>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1"/>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5"/>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5"/>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5"/>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5"/>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1"/>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1"/>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1"/>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1"/>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b w:val="1"/>
          <w:color w:val="444444"/>
        </w:rPr>
      </w:pPr>
      <w:r w:rsidDel="00000000" w:rsidR="00000000" w:rsidRPr="00000000">
        <w:rPr>
          <w:rtl w:val="0"/>
        </w:rPr>
      </w:r>
    </w:p>
    <w:p w:rsidR="00000000" w:rsidDel="00000000" w:rsidP="00000000" w:rsidRDefault="00000000" w:rsidRPr="00000000" w14:paraId="0000041E">
      <w:pPr>
        <w:rPr>
          <w:b w:val="1"/>
          <w:color w:val="444444"/>
        </w:rPr>
      </w:pPr>
      <w:r w:rsidDel="00000000" w:rsidR="00000000" w:rsidRPr="00000000">
        <w:rPr>
          <w:rtl w:val="0"/>
        </w:rPr>
      </w:r>
    </w:p>
    <w:p w:rsidR="00000000" w:rsidDel="00000000" w:rsidP="00000000" w:rsidRDefault="00000000" w:rsidRPr="00000000" w14:paraId="0000041F">
      <w:pPr>
        <w:rPr>
          <w:b w:val="1"/>
          <w:color w:val="444444"/>
        </w:rPr>
      </w:pPr>
      <w:r w:rsidDel="00000000" w:rsidR="00000000" w:rsidRPr="00000000">
        <w:rPr>
          <w:rtl w:val="0"/>
        </w:rPr>
      </w:r>
    </w:p>
    <w:p w:rsidR="00000000" w:rsidDel="00000000" w:rsidP="00000000" w:rsidRDefault="00000000" w:rsidRPr="00000000" w14:paraId="00000420">
      <w:pPr>
        <w:rPr>
          <w:color w:val="444444"/>
        </w:rPr>
      </w:pPr>
      <w:r w:rsidDel="00000000" w:rsidR="00000000" w:rsidRPr="00000000">
        <w:rPr>
          <w:rtl w:val="0"/>
        </w:rPr>
      </w:r>
    </w:p>
    <w:p w:rsidR="00000000" w:rsidDel="00000000" w:rsidP="00000000" w:rsidRDefault="00000000" w:rsidRPr="00000000" w14:paraId="00000421">
      <w:pPr>
        <w:rPr>
          <w:color w:val="444444"/>
        </w:rPr>
      </w:pPr>
      <w:r w:rsidDel="00000000" w:rsidR="00000000" w:rsidRPr="00000000">
        <w:rPr>
          <w:rtl w:val="0"/>
        </w:rPr>
      </w:r>
    </w:p>
    <w:p w:rsidR="00000000" w:rsidDel="00000000" w:rsidP="00000000" w:rsidRDefault="00000000" w:rsidRPr="00000000" w14:paraId="00000422">
      <w:pPr>
        <w:rPr>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2.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