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DynamoDB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Had the API Gateway call a Lambda function that calculates the total and estimated cash requests</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ANY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Bias for action: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Lambda job scheduler.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focus:</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Are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Bias for action:</w:t>
        <w:br w:type="textWrapping"/>
        <w:t xml:space="preserve">Our change management process requires a manual approval of every change record by the owning manager. When our developers merge to master for a production elevation, a change record must be created and then approved manually by the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1% change failure rate. Once the team exceeds 1%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Always learning:</w:t>
        <w:br w:type="textWrapping"/>
        <w:t xml:space="preserve">Our firm was spending an inordinate amount of time manually reconciling breaks with our trading partners, including verifying thousands of breaks as auto-reconciliation eligible. We had a staff of reconcilers manually working every reconciliation break. The staff (approximately 30 FTE) across our three trading locations (Australis,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remove dimensionality using principal component analysis. It was experience, we were able to move 10 FTE to more productive tasks, saving the firm approximately 2 million dollars annually. Also, the Drexel intern loved his assignment so much that I was able to hire him full time. </w:t>
        <w:br w:type="textWrapping"/>
        <w:br w:type="textWrapping"/>
        <w:t xml:space="preserve">Bulk exported Oracle tables to CSV on S3, then used EMR Spark jobs to transform the data (remove columns, merger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with two hidden layers and relu activation function; batch size 256 and 10 epochs. Using early stopping. Loss Function: Mean Absolute Error, Optimizer: stochastic gradient descent - Adam.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