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641A5" w14:textId="77777777" w:rsidR="00CD4C2C" w:rsidRDefault="00000000" w:rsidP="00324DFA">
      <w:pPr>
        <w:pStyle w:val="Title"/>
        <w:jc w:val="left"/>
      </w:pPr>
      <w:bookmarkStart w:id="0" w:name="Xc950876f1e1ea20f627cc54952fa83ebebff490"/>
      <w:r>
        <w:t>IPFLang: A Domain-Specific Language for Standardizing Multi-Jurisdiction Intellectual Property Fee Calculation</w:t>
      </w:r>
    </w:p>
    <w:p w14:paraId="7691544B" w14:textId="08BE1FB1" w:rsidR="00CD4C2C" w:rsidRDefault="00000000">
      <w:pPr>
        <w:pStyle w:val="FirstParagraph"/>
      </w:pPr>
      <w:r>
        <w:rPr>
          <w:b/>
          <w:bCs/>
        </w:rPr>
        <w:t>Valer Bocan, PhD, CSSLP</w:t>
      </w:r>
      <w:r w:rsidR="0025530B">
        <w:rPr>
          <w:b/>
          <w:bCs/>
        </w:rPr>
        <w:br/>
      </w:r>
      <w:r>
        <w:t>Department of Computer and Information Technology</w:t>
      </w:r>
      <w:r w:rsidR="0025530B">
        <w:br/>
      </w:r>
      <w:proofErr w:type="spellStart"/>
      <w:r>
        <w:t>Politehnica</w:t>
      </w:r>
      <w:proofErr w:type="spellEnd"/>
      <w:r>
        <w:t xml:space="preserve"> University </w:t>
      </w:r>
      <w:r w:rsidR="0025530B">
        <w:t xml:space="preserve">of </w:t>
      </w:r>
      <w:proofErr w:type="spellStart"/>
      <w:r w:rsidR="0025530B">
        <w:t>Timișoara</w:t>
      </w:r>
      <w:proofErr w:type="spellEnd"/>
      <w:r w:rsidR="0025530B">
        <w:t xml:space="preserve">, 300223 </w:t>
      </w:r>
      <w:r>
        <w:t>Timisoara, Romania</w:t>
      </w:r>
      <w:r w:rsidR="0025530B">
        <w:br/>
      </w:r>
      <w:r>
        <w:t xml:space="preserve">Email: </w:t>
      </w:r>
      <w:hyperlink r:id="rId8" w:history="1">
        <w:r w:rsidR="0025530B" w:rsidRPr="00213429">
          <w:rPr>
            <w:rStyle w:val="Hyperlink"/>
          </w:rPr>
          <w:t>valer.bocan@upt.ro</w:t>
        </w:r>
      </w:hyperlink>
      <w:r w:rsidR="0025530B">
        <w:br/>
      </w:r>
      <w:r>
        <w:t>ORCID: 0009-0006-9084-4064</w:t>
      </w:r>
    </w:p>
    <w:p w14:paraId="1A6F9215" w14:textId="77777777" w:rsidR="00CD4C2C" w:rsidRDefault="00000000">
      <w:pPr>
        <w:pStyle w:val="Heading2"/>
      </w:pPr>
      <w:bookmarkStart w:id="1" w:name="abstract"/>
      <w:r>
        <w:t>Abstract</w:t>
      </w:r>
    </w:p>
    <w:p w14:paraId="4543EF9E" w14:textId="77777777" w:rsidR="00CD4C2C" w:rsidRDefault="00000000">
      <w:pPr>
        <w:pStyle w:val="FirstParagraph"/>
      </w:pPr>
      <w:r>
        <w:t>The intellectual property management industry faces interoperability challenges due to fragmented, proprietary fee calculation implementations across patent offices—no standard exists for encoding or exchanging fee computation rules. This paper presents IPFLang, a domain-specific language specification for multi-jurisdiction fee calculation. IPFLang provides: (1) a formal EBNF grammar with declarative fee computation blocks; (2) a currency-aware type system supporting 161 ISO 4217 currencies that prevents cross-currency arithmetic errors at compile time; (3) static analysis of fee completeness (with formal guarantees for bounded domains) and monotonicity; and (4) provenance tracking for auditability. We present formal typing rules with a type safety argument, analysis algorithms with complexity bounds, and expert validation of production jurisdiction files. The open-source reference implementation includes 118 production jurisdiction files covering PCT national/regional phase entry fees validated by domain experts, a comprehensive test suite with 260 test methods, and sub-millisecond execution. IPFLang establishes a foundation for regulatory calculation standardization, enabling vendor-independent fee computation across patent offices.</w:t>
      </w:r>
    </w:p>
    <w:p w14:paraId="5A4C5EE2" w14:textId="77777777" w:rsidR="00CD4C2C" w:rsidRDefault="00000000">
      <w:pPr>
        <w:pStyle w:val="BodyText"/>
      </w:pPr>
      <w:r>
        <w:rPr>
          <w:b/>
          <w:bCs/>
        </w:rPr>
        <w:t>Keywords:</w:t>
      </w:r>
      <w:r>
        <w:t xml:space="preserve"> domain-specific language, intellectual property, standardization, interoperability, type systems, static verification, regulatory automation, formal specification</w:t>
      </w:r>
    </w:p>
    <w:p w14:paraId="53F714FD" w14:textId="77777777" w:rsidR="00CD4C2C" w:rsidRDefault="00000000">
      <w:pPr>
        <w:pStyle w:val="Heading2"/>
      </w:pPr>
      <w:bookmarkStart w:id="2" w:name="highlights"/>
      <w:bookmarkEnd w:id="1"/>
      <w:r>
        <w:t>Highlights</w:t>
      </w:r>
    </w:p>
    <w:p w14:paraId="48ED135D" w14:textId="77777777" w:rsidR="00CD4C2C" w:rsidRDefault="00000000">
      <w:pPr>
        <w:pStyle w:val="Compact"/>
        <w:numPr>
          <w:ilvl w:val="0"/>
          <w:numId w:val="2"/>
        </w:numPr>
      </w:pPr>
      <w:r>
        <w:t>Formal DSL specification addressing the IP fee calculation standardization gap</w:t>
      </w:r>
    </w:p>
    <w:p w14:paraId="4A0CAE60" w14:textId="77777777" w:rsidR="00CD4C2C" w:rsidRDefault="00000000">
      <w:pPr>
        <w:pStyle w:val="Compact"/>
        <w:numPr>
          <w:ilvl w:val="0"/>
          <w:numId w:val="2"/>
        </w:numPr>
      </w:pPr>
      <w:r>
        <w:t>Currency-aware type system with 161 ISO 4217 currencies preventing cross-currency errors statically</w:t>
      </w:r>
    </w:p>
    <w:p w14:paraId="638A7FAD" w14:textId="77777777" w:rsidR="00CD4C2C" w:rsidRDefault="00000000">
      <w:pPr>
        <w:pStyle w:val="Compact"/>
        <w:numPr>
          <w:ilvl w:val="0"/>
          <w:numId w:val="2"/>
        </w:numPr>
      </w:pPr>
      <w:r>
        <w:t>Static analysis of fee completeness (formal guarantees for bounded domains) and monotonicity</w:t>
      </w:r>
    </w:p>
    <w:p w14:paraId="5350F1C7" w14:textId="77777777" w:rsidR="00CD4C2C" w:rsidRDefault="00000000">
      <w:pPr>
        <w:pStyle w:val="Compact"/>
        <w:numPr>
          <w:ilvl w:val="0"/>
          <w:numId w:val="2"/>
        </w:numPr>
      </w:pPr>
      <w:r>
        <w:t>Provenance tracking with counterfactual analysis for auditability</w:t>
      </w:r>
    </w:p>
    <w:p w14:paraId="635848A4" w14:textId="77777777" w:rsidR="00CD4C2C" w:rsidRDefault="00000000">
      <w:pPr>
        <w:pStyle w:val="Compact"/>
        <w:numPr>
          <w:ilvl w:val="0"/>
          <w:numId w:val="2"/>
        </w:numPr>
      </w:pPr>
      <w:r>
        <w:t>Expert validation of 118 production jurisdiction files covering PCT national/regional phase entry fees</w:t>
      </w:r>
    </w:p>
    <w:p w14:paraId="4CE7A441" w14:textId="77777777" w:rsidR="00CD4C2C" w:rsidRDefault="00000000">
      <w:pPr>
        <w:pStyle w:val="Compact"/>
        <w:numPr>
          <w:ilvl w:val="0"/>
          <w:numId w:val="2"/>
        </w:numPr>
      </w:pPr>
      <w:r>
        <w:t>Open-source reference implementation enabling vendor-independent fee computation</w:t>
      </w:r>
    </w:p>
    <w:p w14:paraId="0D43C33E" w14:textId="77777777" w:rsidR="00CD4C2C" w:rsidRDefault="00000000">
      <w:pPr>
        <w:pStyle w:val="Heading2"/>
      </w:pPr>
      <w:bookmarkStart w:id="3" w:name="introduction"/>
      <w:bookmarkEnd w:id="2"/>
      <w:r>
        <w:lastRenderedPageBreak/>
        <w:t>1. Introduction</w:t>
      </w:r>
    </w:p>
    <w:p w14:paraId="7BA5C6E9" w14:textId="77777777" w:rsidR="00CD4C2C" w:rsidRDefault="00000000">
      <w:pPr>
        <w:pStyle w:val="Heading3"/>
      </w:pPr>
      <w:bookmarkStart w:id="4" w:name="the-ip-technology-fragmentation-problem"/>
      <w:r>
        <w:t>1.1 The IP Technology Fragmentation Problem</w:t>
      </w:r>
    </w:p>
    <w:p w14:paraId="21CCCAFD" w14:textId="77777777" w:rsidR="00CD4C2C"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48940694" w14:textId="77777777" w:rsidR="00CD4C2C"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71CD3E38" w14:textId="77777777" w:rsidR="00CD4C2C" w:rsidRDefault="00000000">
      <w:pPr>
        <w:pStyle w:val="BodyText"/>
      </w:pPr>
      <w:r>
        <w:t>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14:paraId="69D8DE1B" w14:textId="77777777" w:rsidR="00CD4C2C" w:rsidRDefault="00000000">
      <w:pPr>
        <w:pStyle w:val="BodyText"/>
      </w:pPr>
      <w:r>
        <w:t>The situation is further complicated by the proprietary nature of calculation logic itself. Fee computation rules remain embedded in server-side code, entirely inaccessible to practitioners who must verify accuracy against frequently-updated official fee schedules. When discrepancies arise between calculated and actual fees, practitioners find themselves unable to diagnose whether errors stem from incorrect inputs or flawed calculation logic, as the underlying implementation remains opaque.</w:t>
      </w:r>
    </w:p>
    <w:p w14:paraId="3FCDA413" w14:textId="77777777" w:rsidR="00CD4C2C" w:rsidRDefault="00000000">
      <w:pPr>
        <w:pStyle w:val="BodyText"/>
      </w:pPr>
      <w:r>
        <w:t>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4F1C46D1" w14:textId="77777777" w:rsidR="00CD4C2C" w:rsidRDefault="00000000">
      <w:pPr>
        <w:pStyle w:val="Heading3"/>
      </w:pPr>
      <w:bookmarkStart w:id="5" w:name="the-need-for-standardization"/>
      <w:bookmarkEnd w:id="4"/>
      <w:r>
        <w:t>1.2 The Need for Standardization</w:t>
      </w:r>
    </w:p>
    <w:p w14:paraId="0AD59892" w14:textId="77777777" w:rsidR="00CD4C2C" w:rsidRDefault="00000000">
      <w:pPr>
        <w:pStyle w:val="FirstParagraph"/>
      </w:pPr>
      <w:r>
        <w:t xml:space="preserve">Successful technology domains achieve interoperability through open standards. SQL standardized database queries through ISO/IEC 9075, HTML standardized web content through W3C specifications, and XML Schema standardized data validation under the </w:t>
      </w:r>
      <w:r>
        <w:lastRenderedPageBreak/>
        <w:t>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standardization effort must navigate.</w:t>
      </w:r>
    </w:p>
    <w:p w14:paraId="3F4AC7F2" w14:textId="77777777" w:rsidR="00CD4C2C" w:rsidRDefault="00000000">
      <w:pPr>
        <w:pStyle w:val="BodyText"/>
      </w:pPr>
      <w:r>
        <w:t>The IP technology domain lacks equivalent standards for fee calculation, resulting in three critical gaps. The first is a specification gap: no standard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methods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32E55D84" w14:textId="77777777" w:rsidR="00CD4C2C" w:rsidRDefault="00000000">
      <w:pPr>
        <w:pStyle w:val="Heading3"/>
      </w:pPr>
      <w:bookmarkStart w:id="6" w:name="research-questions-and-contributions"/>
      <w:bookmarkEnd w:id="5"/>
      <w:r>
        <w:t>1.3 Research Questions and Contributions</w:t>
      </w:r>
    </w:p>
    <w:p w14:paraId="24415930" w14:textId="77777777" w:rsidR="00CD4C2C" w:rsidRDefault="00000000">
      <w:pPr>
        <w:pStyle w:val="FirstParagraph"/>
      </w:pPr>
      <w:r>
        <w:t>This work addresses four fundamental questions regarding standardization of IP fee calculations.</w:t>
      </w:r>
    </w:p>
    <w:p w14:paraId="7A073DCE" w14:textId="77777777" w:rsidR="00CD4C2C" w:rsidRDefault="00000000">
      <w:pPr>
        <w:pStyle w:val="BodyText"/>
      </w:pPr>
      <w:r>
        <w:t>The first research question concerns language design: can a domain-specific language provide sufficient expressiveness for complex regulatory fee structures while employing syntax designed for readability by domain experts?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02DB10F5" w14:textId="77777777" w:rsidR="00CD4C2C" w:rsidRDefault="00000000">
      <w:pPr>
        <w:pStyle w:val="BodyText"/>
      </w:pPr>
      <w:r>
        <w:t>This paper presents IPFLang (Intellectual Property Fees Language), a domain-specific language specification for multi-jurisdiction fee calculations, with five principal contributions:</w:t>
      </w:r>
    </w:p>
    <w:p w14:paraId="29264A11" w14:textId="77777777" w:rsidR="00CD4C2C" w:rsidRDefault="00000000">
      <w:pPr>
        <w:numPr>
          <w:ilvl w:val="0"/>
          <w:numId w:val="3"/>
        </w:numPr>
      </w:pPr>
      <w:r>
        <w:rPr>
          <w:b/>
          <w:bCs/>
        </w:rPr>
        <w:t>Language Specification</w:t>
      </w:r>
      <w:r>
        <w:t xml:space="preserve"> (Section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3CF43775" w14:textId="77777777" w:rsidR="00CD4C2C"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000066B7" w14:textId="77777777" w:rsidR="00CD4C2C" w:rsidRDefault="00000000">
      <w:pPr>
        <w:numPr>
          <w:ilvl w:val="0"/>
          <w:numId w:val="3"/>
        </w:numPr>
      </w:pPr>
      <w:r>
        <w:rPr>
          <w:b/>
          <w:bCs/>
        </w:rPr>
        <w:t>Provenance and Auditability</w:t>
      </w:r>
      <w:r>
        <w:t xml:space="preserve"> (Section 5): Execution tracing showing how final amounts derive from input parameters, with counterfactual analysis enabling what-if scenarios for regulatory compliance.</w:t>
      </w:r>
    </w:p>
    <w:p w14:paraId="2A711A7A" w14:textId="77777777" w:rsidR="00CD4C2C" w:rsidRDefault="00000000">
      <w:pPr>
        <w:numPr>
          <w:ilvl w:val="0"/>
          <w:numId w:val="3"/>
        </w:numPr>
      </w:pPr>
      <w:r>
        <w:rPr>
          <w:b/>
          <w:bCs/>
        </w:rPr>
        <w:lastRenderedPageBreak/>
        <w:t>Reference Implementation</w:t>
      </w:r>
      <w:r>
        <w:t xml:space="preserve"> (Section 6): An open-source command-line tool released under GPLv3 demonstrating IPFLang execution with 260 test methods validating type safety and verification correctness.</w:t>
      </w:r>
    </w:p>
    <w:p w14:paraId="5011834D" w14:textId="77777777" w:rsidR="00CD4C2C"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4AE70573" w14:textId="77777777" w:rsidR="00CD4C2C" w:rsidRDefault="00000000">
      <w:pPr>
        <w:pStyle w:val="Heading3"/>
      </w:pPr>
      <w:bookmarkStart w:id="7" w:name="paper-organization"/>
      <w:bookmarkEnd w:id="6"/>
      <w:r>
        <w:t>1.4 Paper Organization</w:t>
      </w:r>
    </w:p>
    <w:p w14:paraId="1BC8FCDF" w14:textId="77777777" w:rsidR="00CD4C2C" w:rsidRDefault="00000000">
      <w:pPr>
        <w:pStyle w:val="FirstParagraph"/>
      </w:pPr>
      <w:r>
        <w:t>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0E671E75" w14:textId="77777777" w:rsidR="00CD4C2C" w:rsidRDefault="00000000">
      <w:pPr>
        <w:pStyle w:val="Heading2"/>
      </w:pPr>
      <w:bookmarkStart w:id="8" w:name="related-work-and-standards-landscape"/>
      <w:bookmarkEnd w:id="3"/>
      <w:bookmarkEnd w:id="7"/>
      <w:r>
        <w:t>2. Related Work and Standards Landscape</w:t>
      </w:r>
    </w:p>
    <w:p w14:paraId="250838E9" w14:textId="77777777" w:rsidR="00CD4C2C" w:rsidRDefault="00000000">
      <w:pPr>
        <w:pStyle w:val="Heading3"/>
      </w:pPr>
      <w:bookmarkStart w:id="9" w:name="existing-ip-data-standards"/>
      <w:r>
        <w:t>2.1 Existing IP Data Standards</w:t>
      </w:r>
    </w:p>
    <w:p w14:paraId="477C0448" w14:textId="77777777" w:rsidR="00CD4C2C" w:rsidRDefault="00000000">
      <w:pPr>
        <w:pStyle w:val="FirstParagraph"/>
      </w:pPr>
      <w:r>
        <w:t>The IP technology domain has achieved partial standardization in data exchange but lacks standards for computational tasks like fee calculation.</w:t>
      </w:r>
    </w:p>
    <w:p w14:paraId="7BBD1C7D" w14:textId="77777777" w:rsidR="00CD4C2C"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20FADB8D" w14:textId="77777777" w:rsidR="00CD4C2C"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52C578AD" w14:textId="77777777" w:rsidR="00CD4C2C"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7CB3777C" w14:textId="77777777" w:rsidR="00CD4C2C" w:rsidRDefault="00000000">
      <w:pPr>
        <w:pStyle w:val="Heading3"/>
      </w:pPr>
      <w:bookmarkStart w:id="10" w:name="X738f784980d4a29760e47e790d6c25ae91fb2d9"/>
      <w:bookmarkEnd w:id="9"/>
      <w:r>
        <w:lastRenderedPageBreak/>
        <w:t>2.2 Domain-Specific Languages for Legal Domains</w:t>
      </w:r>
    </w:p>
    <w:p w14:paraId="0BFBCCCE" w14:textId="77777777" w:rsidR="00CD4C2C" w:rsidRDefault="00000000">
      <w:pPr>
        <w:pStyle w:val="FirstParagraph"/>
      </w:pPr>
      <w:r>
        <w:t>Academic research in computational law has produced several DSLs for legal rules, yet none address regulatory fee calculations with multi-currency and multi-jurisdiction requirements.</w:t>
      </w:r>
    </w:p>
    <w:p w14:paraId="55ECBEF2" w14:textId="77777777" w:rsidR="00CD4C2C" w:rsidRDefault="00000000">
      <w:pPr>
        <w:pStyle w:val="BodyText"/>
      </w:pPr>
      <w:r>
        <w:t>LegalRuleML, developed by Athan et al. [6],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76662805" w14:textId="77777777" w:rsidR="00CD4C2C" w:rsidRDefault="00000000">
      <w:pPr>
        <w:pStyle w:val="BodyText"/>
      </w:pPr>
      <w:r>
        <w:t>Catala, created by Merigoux et al. [7],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designed for IP practitioners to read and modify directly. While Catala’s dependent types provide stronger theoretical guarantees, IPFLang’s simpler type system (currency-parameterized amounts without dependent types) suffices for IP fee calculations where amounts are always non-negative and conditions are finite Boolean combinations.</w:t>
      </w:r>
    </w:p>
    <w:p w14:paraId="481A4D6A" w14:textId="77777777" w:rsidR="00CD4C2C"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3418B041" w14:textId="77777777" w:rsidR="00CD4C2C" w:rsidRDefault="00000000">
      <w:pPr>
        <w:pStyle w:val="BodyText"/>
      </w:pPr>
      <w:r>
        <w:t>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consumption—a concept related to IPFLang’s tracking of monetary values across fee computations.</w:t>
      </w:r>
    </w:p>
    <w:p w14:paraId="322E71CD" w14:textId="77777777" w:rsidR="00CD4C2C" w:rsidRDefault="00000000">
      <w:pPr>
        <w:pStyle w:val="BodyText"/>
      </w:pPr>
      <w:r>
        <w:t>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14:paraId="3AD08430" w14:textId="77777777" w:rsidR="00CD4C2C" w:rsidRDefault="00000000">
      <w:pPr>
        <w:pStyle w:val="BodyText"/>
      </w:pPr>
      <w:r>
        <w:lastRenderedPageBreak/>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6C6C008C" w14:textId="77777777" w:rsidR="00CD4C2C" w:rsidRDefault="00000000">
      <w:pPr>
        <w:pStyle w:val="Heading3"/>
      </w:pPr>
      <w:bookmarkStart w:id="11" w:name="regulatory-automation-and-rules-engines"/>
      <w:bookmarkEnd w:id="10"/>
      <w:r>
        <w:t>2.3 Regulatory Automation and Rules Engines</w:t>
      </w:r>
    </w:p>
    <w:p w14:paraId="065DF645" w14:textId="77777777" w:rsidR="00CD4C2C" w:rsidRDefault="00000000">
      <w:pPr>
        <w:pStyle w:val="FirstParagraph"/>
      </w:pPr>
      <w:r>
        <w:t>Automated compliance checking represents a related domain where technology assists regulatory interpretation.</w:t>
      </w:r>
    </w:p>
    <w:p w14:paraId="5DBD6ED6" w14:textId="77777777" w:rsidR="00CD4C2C"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4751E34E" w14:textId="77777777" w:rsidR="00CD4C2C" w:rsidRDefault="00000000">
      <w:pPr>
        <w:pStyle w:val="BodyText"/>
      </w:pPr>
      <w:r>
        <w:t>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initiatives typically use general-purpose languages rather than domain-specific languages, limiting accessibility to legal experts who must rely on programmers for implementation.</w:t>
      </w:r>
    </w:p>
    <w:p w14:paraId="2B89FFD4" w14:textId="77777777" w:rsidR="00CD4C2C" w:rsidRDefault="00000000">
      <w:pPr>
        <w:pStyle w:val="BodyText"/>
      </w:pPr>
      <w:r>
        <w:rPr>
          <w:b/>
          <w:bCs/>
        </w:rPr>
        <w:t>[INSERT FIGURE 1: figures/figure1_dsl_comparison.mmd - Comparison of Legal DSLs and Rules Engines]</w:t>
      </w:r>
    </w:p>
    <w:p w14:paraId="68282F58" w14:textId="77777777" w:rsidR="00CD4C2C" w:rsidRDefault="00000000">
      <w:pPr>
        <w:pStyle w:val="BodyText"/>
      </w:pPr>
      <w:r>
        <w:t>Table 1 provides a systematic comparison of IPFLang with related approaches.</w:t>
      </w:r>
    </w:p>
    <w:tbl>
      <w:tblPr>
        <w:tblStyle w:val="ListTable3"/>
        <w:tblW w:w="5000" w:type="pct"/>
        <w:tblLayout w:type="fixed"/>
        <w:tblLook w:val="0020" w:firstRow="1" w:lastRow="0" w:firstColumn="0" w:lastColumn="0" w:noHBand="0" w:noVBand="0"/>
      </w:tblPr>
      <w:tblGrid>
        <w:gridCol w:w="1809"/>
        <w:gridCol w:w="1701"/>
        <w:gridCol w:w="1560"/>
        <w:gridCol w:w="1417"/>
        <w:gridCol w:w="1418"/>
        <w:gridCol w:w="1337"/>
      </w:tblGrid>
      <w:tr w:rsidR="00CD4C2C" w:rsidRPr="0025530B" w14:paraId="65F0515D" w14:textId="77777777" w:rsidTr="0025530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68AD402C" w14:textId="77777777" w:rsidR="00CD4C2C" w:rsidRPr="0025530B" w:rsidRDefault="00000000">
            <w:pPr>
              <w:pStyle w:val="Compact"/>
              <w:rPr>
                <w:sz w:val="20"/>
                <w:szCs w:val="20"/>
              </w:rPr>
            </w:pPr>
            <w:r w:rsidRPr="0025530B">
              <w:rPr>
                <w:sz w:val="20"/>
                <w:szCs w:val="20"/>
              </w:rPr>
              <w:t>Feature</w:t>
            </w:r>
          </w:p>
        </w:tc>
        <w:tc>
          <w:tcPr>
            <w:tcW w:w="1701" w:type="dxa"/>
          </w:tcPr>
          <w:p w14:paraId="5983C5D4" w14:textId="77777777" w:rsidR="00CD4C2C" w:rsidRPr="0025530B"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25530B">
              <w:rPr>
                <w:sz w:val="20"/>
                <w:szCs w:val="20"/>
              </w:rPr>
              <w:t>IPFLang</w:t>
            </w:r>
          </w:p>
        </w:tc>
        <w:tc>
          <w:tcPr>
            <w:cnfStyle w:val="000010000000" w:firstRow="0" w:lastRow="0" w:firstColumn="0" w:lastColumn="0" w:oddVBand="1" w:evenVBand="0" w:oddHBand="0" w:evenHBand="0" w:firstRowFirstColumn="0" w:firstRowLastColumn="0" w:lastRowFirstColumn="0" w:lastRowLastColumn="0"/>
            <w:tcW w:w="1560" w:type="dxa"/>
          </w:tcPr>
          <w:p w14:paraId="2F493ACC" w14:textId="77777777" w:rsidR="00CD4C2C" w:rsidRPr="0025530B" w:rsidRDefault="00000000">
            <w:pPr>
              <w:pStyle w:val="Compact"/>
              <w:rPr>
                <w:sz w:val="20"/>
                <w:szCs w:val="20"/>
              </w:rPr>
            </w:pPr>
            <w:r w:rsidRPr="0025530B">
              <w:rPr>
                <w:sz w:val="20"/>
                <w:szCs w:val="20"/>
              </w:rPr>
              <w:t>Catala</w:t>
            </w:r>
          </w:p>
        </w:tc>
        <w:tc>
          <w:tcPr>
            <w:tcW w:w="1417" w:type="dxa"/>
          </w:tcPr>
          <w:p w14:paraId="2761635A" w14:textId="77777777" w:rsidR="00CD4C2C" w:rsidRPr="0025530B"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25530B">
              <w:rPr>
                <w:sz w:val="20"/>
                <w:szCs w:val="20"/>
              </w:rPr>
              <w:t>LegalRuleML</w:t>
            </w:r>
          </w:p>
        </w:tc>
        <w:tc>
          <w:tcPr>
            <w:cnfStyle w:val="000010000000" w:firstRow="0" w:lastRow="0" w:firstColumn="0" w:lastColumn="0" w:oddVBand="1" w:evenVBand="0" w:oddHBand="0" w:evenHBand="0" w:firstRowFirstColumn="0" w:firstRowLastColumn="0" w:lastRowFirstColumn="0" w:lastRowLastColumn="0"/>
            <w:tcW w:w="1418" w:type="dxa"/>
          </w:tcPr>
          <w:p w14:paraId="5E2D32DC" w14:textId="77777777" w:rsidR="00CD4C2C" w:rsidRPr="0025530B" w:rsidRDefault="00000000">
            <w:pPr>
              <w:pStyle w:val="Compact"/>
              <w:rPr>
                <w:sz w:val="20"/>
                <w:szCs w:val="20"/>
              </w:rPr>
            </w:pPr>
            <w:r w:rsidRPr="0025530B">
              <w:rPr>
                <w:sz w:val="20"/>
                <w:szCs w:val="20"/>
              </w:rPr>
              <w:t>Drools</w:t>
            </w:r>
          </w:p>
        </w:tc>
        <w:tc>
          <w:tcPr>
            <w:tcW w:w="1337" w:type="dxa"/>
          </w:tcPr>
          <w:p w14:paraId="0705007C" w14:textId="77777777" w:rsidR="00CD4C2C" w:rsidRPr="0025530B"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25530B">
              <w:rPr>
                <w:sz w:val="20"/>
                <w:szCs w:val="20"/>
              </w:rPr>
              <w:t>OpenFisca</w:t>
            </w:r>
          </w:p>
        </w:tc>
      </w:tr>
      <w:tr w:rsidR="00CD4C2C" w:rsidRPr="0025530B" w14:paraId="2F412F53" w14:textId="77777777" w:rsidTr="0025530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4F6E3F17" w14:textId="77777777" w:rsidR="00CD4C2C" w:rsidRPr="0025530B" w:rsidRDefault="00000000">
            <w:pPr>
              <w:pStyle w:val="Compact"/>
              <w:rPr>
                <w:sz w:val="20"/>
                <w:szCs w:val="20"/>
              </w:rPr>
            </w:pPr>
            <w:r w:rsidRPr="0025530B">
              <w:rPr>
                <w:sz w:val="20"/>
                <w:szCs w:val="20"/>
              </w:rPr>
              <w:t>Primary Domain</w:t>
            </w:r>
          </w:p>
        </w:tc>
        <w:tc>
          <w:tcPr>
            <w:tcW w:w="1701" w:type="dxa"/>
          </w:tcPr>
          <w:p w14:paraId="53773B2F"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IP fees</w:t>
            </w:r>
          </w:p>
        </w:tc>
        <w:tc>
          <w:tcPr>
            <w:cnfStyle w:val="000010000000" w:firstRow="0" w:lastRow="0" w:firstColumn="0" w:lastColumn="0" w:oddVBand="1" w:evenVBand="0" w:oddHBand="0" w:evenHBand="0" w:firstRowFirstColumn="0" w:firstRowLastColumn="0" w:lastRowFirstColumn="0" w:lastRowLastColumn="0"/>
            <w:tcW w:w="1560" w:type="dxa"/>
          </w:tcPr>
          <w:p w14:paraId="20264E25" w14:textId="77777777" w:rsidR="00CD4C2C" w:rsidRPr="0025530B" w:rsidRDefault="00000000">
            <w:pPr>
              <w:pStyle w:val="Compact"/>
              <w:rPr>
                <w:sz w:val="20"/>
                <w:szCs w:val="20"/>
              </w:rPr>
            </w:pPr>
            <w:r w:rsidRPr="0025530B">
              <w:rPr>
                <w:sz w:val="20"/>
                <w:szCs w:val="20"/>
              </w:rPr>
              <w:t>Tax law</w:t>
            </w:r>
          </w:p>
        </w:tc>
        <w:tc>
          <w:tcPr>
            <w:tcW w:w="1417" w:type="dxa"/>
          </w:tcPr>
          <w:p w14:paraId="7890B3A2"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Compliance</w:t>
            </w:r>
          </w:p>
        </w:tc>
        <w:tc>
          <w:tcPr>
            <w:cnfStyle w:val="000010000000" w:firstRow="0" w:lastRow="0" w:firstColumn="0" w:lastColumn="0" w:oddVBand="1" w:evenVBand="0" w:oddHBand="0" w:evenHBand="0" w:firstRowFirstColumn="0" w:firstRowLastColumn="0" w:lastRowFirstColumn="0" w:lastRowLastColumn="0"/>
            <w:tcW w:w="1418" w:type="dxa"/>
          </w:tcPr>
          <w:p w14:paraId="62485804" w14:textId="77777777" w:rsidR="00CD4C2C" w:rsidRPr="0025530B" w:rsidRDefault="00000000">
            <w:pPr>
              <w:pStyle w:val="Compact"/>
              <w:rPr>
                <w:sz w:val="20"/>
                <w:szCs w:val="20"/>
              </w:rPr>
            </w:pPr>
            <w:r w:rsidRPr="0025530B">
              <w:rPr>
                <w:sz w:val="20"/>
                <w:szCs w:val="20"/>
              </w:rPr>
              <w:t>General</w:t>
            </w:r>
          </w:p>
        </w:tc>
        <w:tc>
          <w:tcPr>
            <w:tcW w:w="1337" w:type="dxa"/>
          </w:tcPr>
          <w:p w14:paraId="0C658F90"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Tax-benefit</w:t>
            </w:r>
          </w:p>
        </w:tc>
      </w:tr>
      <w:tr w:rsidR="00CD4C2C" w:rsidRPr="0025530B" w14:paraId="415C4D05" w14:textId="77777777" w:rsidTr="0025530B">
        <w:tc>
          <w:tcPr>
            <w:cnfStyle w:val="000010000000" w:firstRow="0" w:lastRow="0" w:firstColumn="0" w:lastColumn="0" w:oddVBand="1" w:evenVBand="0" w:oddHBand="0" w:evenHBand="0" w:firstRowFirstColumn="0" w:firstRowLastColumn="0" w:lastRowFirstColumn="0" w:lastRowLastColumn="0"/>
            <w:tcW w:w="1809" w:type="dxa"/>
          </w:tcPr>
          <w:p w14:paraId="72C15CD7" w14:textId="77777777" w:rsidR="00CD4C2C" w:rsidRPr="0025530B" w:rsidRDefault="00000000">
            <w:pPr>
              <w:pStyle w:val="Compact"/>
              <w:rPr>
                <w:sz w:val="20"/>
                <w:szCs w:val="20"/>
              </w:rPr>
            </w:pPr>
            <w:r w:rsidRPr="0025530B">
              <w:rPr>
                <w:sz w:val="20"/>
                <w:szCs w:val="20"/>
              </w:rPr>
              <w:t>Type Safety</w:t>
            </w:r>
          </w:p>
        </w:tc>
        <w:tc>
          <w:tcPr>
            <w:tcW w:w="1701" w:type="dxa"/>
          </w:tcPr>
          <w:p w14:paraId="7F138E33"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Currency-aware</w:t>
            </w:r>
          </w:p>
        </w:tc>
        <w:tc>
          <w:tcPr>
            <w:cnfStyle w:val="000010000000" w:firstRow="0" w:lastRow="0" w:firstColumn="0" w:lastColumn="0" w:oddVBand="1" w:evenVBand="0" w:oddHBand="0" w:evenHBand="0" w:firstRowFirstColumn="0" w:firstRowLastColumn="0" w:lastRowFirstColumn="0" w:lastRowLastColumn="0"/>
            <w:tcW w:w="1560" w:type="dxa"/>
          </w:tcPr>
          <w:p w14:paraId="2C434286" w14:textId="77777777" w:rsidR="00CD4C2C" w:rsidRPr="0025530B" w:rsidRDefault="00000000">
            <w:pPr>
              <w:pStyle w:val="Compact"/>
              <w:rPr>
                <w:sz w:val="20"/>
                <w:szCs w:val="20"/>
              </w:rPr>
            </w:pPr>
            <w:r w:rsidRPr="0025530B">
              <w:rPr>
                <w:sz w:val="20"/>
                <w:szCs w:val="20"/>
              </w:rPr>
              <w:t>Dependent types</w:t>
            </w:r>
          </w:p>
        </w:tc>
        <w:tc>
          <w:tcPr>
            <w:tcW w:w="1417" w:type="dxa"/>
          </w:tcPr>
          <w:p w14:paraId="2B5BDC3B"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None</w:t>
            </w:r>
          </w:p>
        </w:tc>
        <w:tc>
          <w:tcPr>
            <w:cnfStyle w:val="000010000000" w:firstRow="0" w:lastRow="0" w:firstColumn="0" w:lastColumn="0" w:oddVBand="1" w:evenVBand="0" w:oddHBand="0" w:evenHBand="0" w:firstRowFirstColumn="0" w:firstRowLastColumn="0" w:lastRowFirstColumn="0" w:lastRowLastColumn="0"/>
            <w:tcW w:w="1418" w:type="dxa"/>
          </w:tcPr>
          <w:p w14:paraId="7E1C9D32" w14:textId="77777777" w:rsidR="00CD4C2C" w:rsidRPr="0025530B" w:rsidRDefault="00000000">
            <w:pPr>
              <w:pStyle w:val="Compact"/>
              <w:rPr>
                <w:sz w:val="20"/>
                <w:szCs w:val="20"/>
              </w:rPr>
            </w:pPr>
            <w:r w:rsidRPr="0025530B">
              <w:rPr>
                <w:sz w:val="20"/>
                <w:szCs w:val="20"/>
              </w:rPr>
              <w:t>None</w:t>
            </w:r>
          </w:p>
        </w:tc>
        <w:tc>
          <w:tcPr>
            <w:tcW w:w="1337" w:type="dxa"/>
          </w:tcPr>
          <w:p w14:paraId="2AC7783C"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Runtime</w:t>
            </w:r>
          </w:p>
        </w:tc>
      </w:tr>
      <w:tr w:rsidR="00CD4C2C" w:rsidRPr="0025530B" w14:paraId="332E904E" w14:textId="77777777" w:rsidTr="0025530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0D038DA3" w14:textId="77777777" w:rsidR="00CD4C2C" w:rsidRPr="0025530B" w:rsidRDefault="00000000">
            <w:pPr>
              <w:pStyle w:val="Compact"/>
              <w:rPr>
                <w:sz w:val="20"/>
                <w:szCs w:val="20"/>
              </w:rPr>
            </w:pPr>
            <w:r w:rsidRPr="0025530B">
              <w:rPr>
                <w:sz w:val="20"/>
                <w:szCs w:val="20"/>
              </w:rPr>
              <w:t>Multi-currency</w:t>
            </w:r>
          </w:p>
        </w:tc>
        <w:tc>
          <w:tcPr>
            <w:tcW w:w="1701" w:type="dxa"/>
          </w:tcPr>
          <w:p w14:paraId="5C5D715E"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Built-in (161 ISO 4217)</w:t>
            </w:r>
          </w:p>
        </w:tc>
        <w:tc>
          <w:tcPr>
            <w:cnfStyle w:val="000010000000" w:firstRow="0" w:lastRow="0" w:firstColumn="0" w:lastColumn="0" w:oddVBand="1" w:evenVBand="0" w:oddHBand="0" w:evenHBand="0" w:firstRowFirstColumn="0" w:firstRowLastColumn="0" w:lastRowFirstColumn="0" w:lastRowLastColumn="0"/>
            <w:tcW w:w="1560" w:type="dxa"/>
          </w:tcPr>
          <w:p w14:paraId="07D3041C" w14:textId="77777777" w:rsidR="00CD4C2C" w:rsidRPr="0025530B" w:rsidRDefault="00000000">
            <w:pPr>
              <w:pStyle w:val="Compact"/>
              <w:rPr>
                <w:sz w:val="20"/>
                <w:szCs w:val="20"/>
              </w:rPr>
            </w:pPr>
            <w:r w:rsidRPr="0025530B">
              <w:rPr>
                <w:sz w:val="20"/>
                <w:szCs w:val="20"/>
              </w:rPr>
              <w:t>User-definable</w:t>
            </w:r>
          </w:p>
        </w:tc>
        <w:tc>
          <w:tcPr>
            <w:tcW w:w="1417" w:type="dxa"/>
          </w:tcPr>
          <w:p w14:paraId="45515B4C"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No</w:t>
            </w:r>
          </w:p>
        </w:tc>
        <w:tc>
          <w:tcPr>
            <w:cnfStyle w:val="000010000000" w:firstRow="0" w:lastRow="0" w:firstColumn="0" w:lastColumn="0" w:oddVBand="1" w:evenVBand="0" w:oddHBand="0" w:evenHBand="0" w:firstRowFirstColumn="0" w:firstRowLastColumn="0" w:lastRowFirstColumn="0" w:lastRowLastColumn="0"/>
            <w:tcW w:w="1418" w:type="dxa"/>
          </w:tcPr>
          <w:p w14:paraId="5D284421" w14:textId="77777777" w:rsidR="00CD4C2C" w:rsidRPr="0025530B" w:rsidRDefault="00000000">
            <w:pPr>
              <w:pStyle w:val="Compact"/>
              <w:rPr>
                <w:sz w:val="20"/>
                <w:szCs w:val="20"/>
              </w:rPr>
            </w:pPr>
            <w:r w:rsidRPr="0025530B">
              <w:rPr>
                <w:sz w:val="20"/>
                <w:szCs w:val="20"/>
              </w:rPr>
              <w:t>No</w:t>
            </w:r>
          </w:p>
        </w:tc>
        <w:tc>
          <w:tcPr>
            <w:tcW w:w="1337" w:type="dxa"/>
          </w:tcPr>
          <w:p w14:paraId="6CCA97CD"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Limited</w:t>
            </w:r>
          </w:p>
        </w:tc>
      </w:tr>
      <w:tr w:rsidR="00CD4C2C" w:rsidRPr="0025530B" w14:paraId="3C3CC85E" w14:textId="77777777" w:rsidTr="0025530B">
        <w:tc>
          <w:tcPr>
            <w:cnfStyle w:val="000010000000" w:firstRow="0" w:lastRow="0" w:firstColumn="0" w:lastColumn="0" w:oddVBand="1" w:evenVBand="0" w:oddHBand="0" w:evenHBand="0" w:firstRowFirstColumn="0" w:firstRowLastColumn="0" w:lastRowFirstColumn="0" w:lastRowLastColumn="0"/>
            <w:tcW w:w="1809" w:type="dxa"/>
          </w:tcPr>
          <w:p w14:paraId="1C62CB7E" w14:textId="77777777" w:rsidR="00CD4C2C" w:rsidRPr="0025530B" w:rsidRDefault="00000000">
            <w:pPr>
              <w:pStyle w:val="Compact"/>
              <w:rPr>
                <w:sz w:val="20"/>
                <w:szCs w:val="20"/>
              </w:rPr>
            </w:pPr>
            <w:r w:rsidRPr="0025530B">
              <w:rPr>
                <w:sz w:val="20"/>
                <w:szCs w:val="20"/>
              </w:rPr>
              <w:t>Static Verification</w:t>
            </w:r>
          </w:p>
        </w:tc>
        <w:tc>
          <w:tcPr>
            <w:tcW w:w="1701" w:type="dxa"/>
          </w:tcPr>
          <w:p w14:paraId="15255B5F"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Completeness, Monotonicity</w:t>
            </w:r>
          </w:p>
        </w:tc>
        <w:tc>
          <w:tcPr>
            <w:cnfStyle w:val="000010000000" w:firstRow="0" w:lastRow="0" w:firstColumn="0" w:lastColumn="0" w:oddVBand="1" w:evenVBand="0" w:oddHBand="0" w:evenHBand="0" w:firstRowFirstColumn="0" w:firstRowLastColumn="0" w:lastRowFirstColumn="0" w:lastRowLastColumn="0"/>
            <w:tcW w:w="1560" w:type="dxa"/>
          </w:tcPr>
          <w:p w14:paraId="552F00A3" w14:textId="77777777" w:rsidR="00CD4C2C" w:rsidRPr="0025530B" w:rsidRDefault="00000000">
            <w:pPr>
              <w:pStyle w:val="Compact"/>
              <w:rPr>
                <w:sz w:val="20"/>
                <w:szCs w:val="20"/>
              </w:rPr>
            </w:pPr>
            <w:r w:rsidRPr="0025530B">
              <w:rPr>
                <w:sz w:val="20"/>
                <w:szCs w:val="20"/>
              </w:rPr>
              <w:t>Exhaustiveness</w:t>
            </w:r>
          </w:p>
        </w:tc>
        <w:tc>
          <w:tcPr>
            <w:tcW w:w="1417" w:type="dxa"/>
          </w:tcPr>
          <w:p w14:paraId="07383EBE"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Defeasibility</w:t>
            </w:r>
          </w:p>
        </w:tc>
        <w:tc>
          <w:tcPr>
            <w:cnfStyle w:val="000010000000" w:firstRow="0" w:lastRow="0" w:firstColumn="0" w:lastColumn="0" w:oddVBand="1" w:evenVBand="0" w:oddHBand="0" w:evenHBand="0" w:firstRowFirstColumn="0" w:firstRowLastColumn="0" w:lastRowFirstColumn="0" w:lastRowLastColumn="0"/>
            <w:tcW w:w="1418" w:type="dxa"/>
          </w:tcPr>
          <w:p w14:paraId="13CBA41E" w14:textId="77777777" w:rsidR="00CD4C2C" w:rsidRPr="0025530B" w:rsidRDefault="00000000">
            <w:pPr>
              <w:pStyle w:val="Compact"/>
              <w:rPr>
                <w:sz w:val="20"/>
                <w:szCs w:val="20"/>
              </w:rPr>
            </w:pPr>
            <w:r w:rsidRPr="0025530B">
              <w:rPr>
                <w:sz w:val="20"/>
                <w:szCs w:val="20"/>
              </w:rPr>
              <w:t>None</w:t>
            </w:r>
          </w:p>
        </w:tc>
        <w:tc>
          <w:tcPr>
            <w:tcW w:w="1337" w:type="dxa"/>
          </w:tcPr>
          <w:p w14:paraId="0663C302"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None</w:t>
            </w:r>
          </w:p>
        </w:tc>
      </w:tr>
      <w:tr w:rsidR="00CD4C2C" w:rsidRPr="0025530B" w14:paraId="65BB5025" w14:textId="77777777" w:rsidTr="0025530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02DF912C" w14:textId="77777777" w:rsidR="00CD4C2C" w:rsidRPr="0025530B" w:rsidRDefault="00000000">
            <w:pPr>
              <w:pStyle w:val="Compact"/>
              <w:rPr>
                <w:sz w:val="20"/>
                <w:szCs w:val="20"/>
              </w:rPr>
            </w:pPr>
            <w:r w:rsidRPr="0025530B">
              <w:rPr>
                <w:sz w:val="20"/>
                <w:szCs w:val="20"/>
              </w:rPr>
              <w:t>Syntax Style</w:t>
            </w:r>
          </w:p>
        </w:tc>
        <w:tc>
          <w:tcPr>
            <w:tcW w:w="1701" w:type="dxa"/>
          </w:tcPr>
          <w:p w14:paraId="55D1025A"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Declarative keywords</w:t>
            </w:r>
          </w:p>
        </w:tc>
        <w:tc>
          <w:tcPr>
            <w:cnfStyle w:val="000010000000" w:firstRow="0" w:lastRow="0" w:firstColumn="0" w:lastColumn="0" w:oddVBand="1" w:evenVBand="0" w:oddHBand="0" w:evenHBand="0" w:firstRowFirstColumn="0" w:firstRowLastColumn="0" w:lastRowFirstColumn="0" w:lastRowLastColumn="0"/>
            <w:tcW w:w="1560" w:type="dxa"/>
          </w:tcPr>
          <w:p w14:paraId="4E540778" w14:textId="77777777" w:rsidR="00CD4C2C" w:rsidRPr="0025530B" w:rsidRDefault="00000000">
            <w:pPr>
              <w:pStyle w:val="Compact"/>
              <w:rPr>
                <w:sz w:val="20"/>
                <w:szCs w:val="20"/>
              </w:rPr>
            </w:pPr>
            <w:r w:rsidRPr="0025530B">
              <w:rPr>
                <w:sz w:val="20"/>
                <w:szCs w:val="20"/>
              </w:rPr>
              <w:t>Literate</w:t>
            </w:r>
          </w:p>
        </w:tc>
        <w:tc>
          <w:tcPr>
            <w:tcW w:w="1417" w:type="dxa"/>
          </w:tcPr>
          <w:p w14:paraId="08AF7019"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XML</w:t>
            </w:r>
          </w:p>
        </w:tc>
        <w:tc>
          <w:tcPr>
            <w:cnfStyle w:val="000010000000" w:firstRow="0" w:lastRow="0" w:firstColumn="0" w:lastColumn="0" w:oddVBand="1" w:evenVBand="0" w:oddHBand="0" w:evenHBand="0" w:firstRowFirstColumn="0" w:firstRowLastColumn="0" w:lastRowFirstColumn="0" w:lastRowLastColumn="0"/>
            <w:tcW w:w="1418" w:type="dxa"/>
          </w:tcPr>
          <w:p w14:paraId="4D6C18F7" w14:textId="77777777" w:rsidR="00CD4C2C" w:rsidRPr="0025530B" w:rsidRDefault="00000000">
            <w:pPr>
              <w:pStyle w:val="Compact"/>
              <w:rPr>
                <w:sz w:val="20"/>
                <w:szCs w:val="20"/>
              </w:rPr>
            </w:pPr>
            <w:r w:rsidRPr="0025530B">
              <w:rPr>
                <w:sz w:val="20"/>
                <w:szCs w:val="20"/>
              </w:rPr>
              <w:t>Drools DRL</w:t>
            </w:r>
          </w:p>
        </w:tc>
        <w:tc>
          <w:tcPr>
            <w:tcW w:w="1337" w:type="dxa"/>
          </w:tcPr>
          <w:p w14:paraId="4706AA2D"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Python</w:t>
            </w:r>
          </w:p>
        </w:tc>
      </w:tr>
      <w:tr w:rsidR="00CD4C2C" w:rsidRPr="0025530B" w14:paraId="00EEDFA7" w14:textId="77777777" w:rsidTr="0025530B">
        <w:tc>
          <w:tcPr>
            <w:cnfStyle w:val="000010000000" w:firstRow="0" w:lastRow="0" w:firstColumn="0" w:lastColumn="0" w:oddVBand="1" w:evenVBand="0" w:oddHBand="0" w:evenHBand="0" w:firstRowFirstColumn="0" w:firstRowLastColumn="0" w:lastRowFirstColumn="0" w:lastRowLastColumn="0"/>
            <w:tcW w:w="1809" w:type="dxa"/>
          </w:tcPr>
          <w:p w14:paraId="5DFE8670" w14:textId="77777777" w:rsidR="00CD4C2C" w:rsidRPr="0025530B" w:rsidRDefault="00000000">
            <w:pPr>
              <w:pStyle w:val="Compact"/>
              <w:rPr>
                <w:sz w:val="20"/>
                <w:szCs w:val="20"/>
              </w:rPr>
            </w:pPr>
            <w:r w:rsidRPr="0025530B">
              <w:rPr>
                <w:sz w:val="20"/>
                <w:szCs w:val="20"/>
              </w:rPr>
              <w:t>Target User</w:t>
            </w:r>
          </w:p>
        </w:tc>
        <w:tc>
          <w:tcPr>
            <w:tcW w:w="1701" w:type="dxa"/>
          </w:tcPr>
          <w:p w14:paraId="08785F37"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Domain experts</w:t>
            </w:r>
          </w:p>
        </w:tc>
        <w:tc>
          <w:tcPr>
            <w:cnfStyle w:val="000010000000" w:firstRow="0" w:lastRow="0" w:firstColumn="0" w:lastColumn="0" w:oddVBand="1" w:evenVBand="0" w:oddHBand="0" w:evenHBand="0" w:firstRowFirstColumn="0" w:firstRowLastColumn="0" w:lastRowFirstColumn="0" w:lastRowLastColumn="0"/>
            <w:tcW w:w="1560" w:type="dxa"/>
          </w:tcPr>
          <w:p w14:paraId="0CE9835F" w14:textId="77777777" w:rsidR="00CD4C2C" w:rsidRPr="0025530B" w:rsidRDefault="00000000">
            <w:pPr>
              <w:pStyle w:val="Compact"/>
              <w:rPr>
                <w:sz w:val="20"/>
                <w:szCs w:val="20"/>
              </w:rPr>
            </w:pPr>
            <w:r w:rsidRPr="0025530B">
              <w:rPr>
                <w:sz w:val="20"/>
                <w:szCs w:val="20"/>
              </w:rPr>
              <w:t>Formal methods experts</w:t>
            </w:r>
          </w:p>
        </w:tc>
        <w:tc>
          <w:tcPr>
            <w:tcW w:w="1417" w:type="dxa"/>
          </w:tcPr>
          <w:p w14:paraId="75618470"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Ontology engineers</w:t>
            </w:r>
          </w:p>
        </w:tc>
        <w:tc>
          <w:tcPr>
            <w:cnfStyle w:val="000010000000" w:firstRow="0" w:lastRow="0" w:firstColumn="0" w:lastColumn="0" w:oddVBand="1" w:evenVBand="0" w:oddHBand="0" w:evenHBand="0" w:firstRowFirstColumn="0" w:firstRowLastColumn="0" w:lastRowFirstColumn="0" w:lastRowLastColumn="0"/>
            <w:tcW w:w="1418" w:type="dxa"/>
          </w:tcPr>
          <w:p w14:paraId="3922ADFB" w14:textId="77777777" w:rsidR="00CD4C2C" w:rsidRPr="0025530B" w:rsidRDefault="00000000">
            <w:pPr>
              <w:pStyle w:val="Compact"/>
              <w:rPr>
                <w:sz w:val="20"/>
                <w:szCs w:val="20"/>
              </w:rPr>
            </w:pPr>
            <w:r w:rsidRPr="0025530B">
              <w:rPr>
                <w:sz w:val="20"/>
                <w:szCs w:val="20"/>
              </w:rPr>
              <w:t>Developers</w:t>
            </w:r>
          </w:p>
        </w:tc>
        <w:tc>
          <w:tcPr>
            <w:tcW w:w="1337" w:type="dxa"/>
          </w:tcPr>
          <w:p w14:paraId="0279423D"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Developers</w:t>
            </w:r>
          </w:p>
        </w:tc>
      </w:tr>
      <w:tr w:rsidR="00CD4C2C" w:rsidRPr="0025530B" w14:paraId="57E8F5A7" w14:textId="77777777" w:rsidTr="0025530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6706B3B4" w14:textId="77777777" w:rsidR="00CD4C2C" w:rsidRPr="0025530B" w:rsidRDefault="00000000">
            <w:pPr>
              <w:pStyle w:val="Compact"/>
              <w:rPr>
                <w:sz w:val="20"/>
                <w:szCs w:val="20"/>
              </w:rPr>
            </w:pPr>
            <w:r w:rsidRPr="0025530B">
              <w:rPr>
                <w:sz w:val="20"/>
                <w:szCs w:val="20"/>
              </w:rPr>
              <w:t>Multi-jurisdiction</w:t>
            </w:r>
          </w:p>
        </w:tc>
        <w:tc>
          <w:tcPr>
            <w:tcW w:w="1701" w:type="dxa"/>
          </w:tcPr>
          <w:p w14:paraId="0728ED69"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Composition</w:t>
            </w:r>
          </w:p>
        </w:tc>
        <w:tc>
          <w:tcPr>
            <w:cnfStyle w:val="000010000000" w:firstRow="0" w:lastRow="0" w:firstColumn="0" w:lastColumn="0" w:oddVBand="1" w:evenVBand="0" w:oddHBand="0" w:evenHBand="0" w:firstRowFirstColumn="0" w:firstRowLastColumn="0" w:lastRowFirstColumn="0" w:lastRowLastColumn="0"/>
            <w:tcW w:w="1560" w:type="dxa"/>
          </w:tcPr>
          <w:p w14:paraId="48288087" w14:textId="77777777" w:rsidR="00CD4C2C" w:rsidRPr="0025530B" w:rsidRDefault="00000000">
            <w:pPr>
              <w:pStyle w:val="Compact"/>
              <w:rPr>
                <w:sz w:val="20"/>
                <w:szCs w:val="20"/>
              </w:rPr>
            </w:pPr>
            <w:r w:rsidRPr="0025530B">
              <w:rPr>
                <w:sz w:val="20"/>
                <w:szCs w:val="20"/>
              </w:rPr>
              <w:t>No</w:t>
            </w:r>
          </w:p>
        </w:tc>
        <w:tc>
          <w:tcPr>
            <w:tcW w:w="1417" w:type="dxa"/>
          </w:tcPr>
          <w:p w14:paraId="54D79B66"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No</w:t>
            </w:r>
          </w:p>
        </w:tc>
        <w:tc>
          <w:tcPr>
            <w:cnfStyle w:val="000010000000" w:firstRow="0" w:lastRow="0" w:firstColumn="0" w:lastColumn="0" w:oddVBand="1" w:evenVBand="0" w:oddHBand="0" w:evenHBand="0" w:firstRowFirstColumn="0" w:firstRowLastColumn="0" w:lastRowFirstColumn="0" w:lastRowLastColumn="0"/>
            <w:tcW w:w="1418" w:type="dxa"/>
          </w:tcPr>
          <w:p w14:paraId="6E718885" w14:textId="77777777" w:rsidR="00CD4C2C" w:rsidRPr="0025530B" w:rsidRDefault="00000000">
            <w:pPr>
              <w:pStyle w:val="Compact"/>
              <w:rPr>
                <w:sz w:val="20"/>
                <w:szCs w:val="20"/>
              </w:rPr>
            </w:pPr>
            <w:r w:rsidRPr="0025530B">
              <w:rPr>
                <w:sz w:val="20"/>
                <w:szCs w:val="20"/>
              </w:rPr>
              <w:t>No</w:t>
            </w:r>
          </w:p>
        </w:tc>
        <w:tc>
          <w:tcPr>
            <w:tcW w:w="1337" w:type="dxa"/>
          </w:tcPr>
          <w:p w14:paraId="148F48CF"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Yes</w:t>
            </w:r>
          </w:p>
        </w:tc>
      </w:tr>
      <w:tr w:rsidR="00CD4C2C" w:rsidRPr="0025530B" w14:paraId="120AE0D0" w14:textId="77777777" w:rsidTr="0025530B">
        <w:tc>
          <w:tcPr>
            <w:cnfStyle w:val="000010000000" w:firstRow="0" w:lastRow="0" w:firstColumn="0" w:lastColumn="0" w:oddVBand="1" w:evenVBand="0" w:oddHBand="0" w:evenHBand="0" w:firstRowFirstColumn="0" w:firstRowLastColumn="0" w:lastRowFirstColumn="0" w:lastRowLastColumn="0"/>
            <w:tcW w:w="1809" w:type="dxa"/>
          </w:tcPr>
          <w:p w14:paraId="1F24FA50" w14:textId="77777777" w:rsidR="00CD4C2C" w:rsidRPr="0025530B" w:rsidRDefault="00000000">
            <w:pPr>
              <w:pStyle w:val="Compact"/>
              <w:rPr>
                <w:sz w:val="20"/>
                <w:szCs w:val="20"/>
              </w:rPr>
            </w:pPr>
            <w:r w:rsidRPr="0025530B">
              <w:rPr>
                <w:sz w:val="20"/>
                <w:szCs w:val="20"/>
              </w:rPr>
              <w:t>Interoperability Focus</w:t>
            </w:r>
          </w:p>
        </w:tc>
        <w:tc>
          <w:tcPr>
            <w:tcW w:w="1701" w:type="dxa"/>
          </w:tcPr>
          <w:p w14:paraId="68A37F17"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Multi-jurisdiction</w:t>
            </w:r>
          </w:p>
        </w:tc>
        <w:tc>
          <w:tcPr>
            <w:cnfStyle w:val="000010000000" w:firstRow="0" w:lastRow="0" w:firstColumn="0" w:lastColumn="0" w:oddVBand="1" w:evenVBand="0" w:oddHBand="0" w:evenHBand="0" w:firstRowFirstColumn="0" w:firstRowLastColumn="0" w:lastRowFirstColumn="0" w:lastRowLastColumn="0"/>
            <w:tcW w:w="1560" w:type="dxa"/>
          </w:tcPr>
          <w:p w14:paraId="634F7FC0" w14:textId="77777777" w:rsidR="00CD4C2C" w:rsidRPr="0025530B" w:rsidRDefault="00000000">
            <w:pPr>
              <w:pStyle w:val="Compact"/>
              <w:rPr>
                <w:sz w:val="20"/>
                <w:szCs w:val="20"/>
              </w:rPr>
            </w:pPr>
            <w:proofErr w:type="gramStart"/>
            <w:r w:rsidRPr="0025530B">
              <w:rPr>
                <w:sz w:val="20"/>
                <w:szCs w:val="20"/>
              </w:rPr>
              <w:t>Single-jurisdiction</w:t>
            </w:r>
            <w:proofErr w:type="gramEnd"/>
          </w:p>
        </w:tc>
        <w:tc>
          <w:tcPr>
            <w:tcW w:w="1417" w:type="dxa"/>
          </w:tcPr>
          <w:p w14:paraId="7BE4E640"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Ontology mapping</w:t>
            </w:r>
          </w:p>
        </w:tc>
        <w:tc>
          <w:tcPr>
            <w:cnfStyle w:val="000010000000" w:firstRow="0" w:lastRow="0" w:firstColumn="0" w:lastColumn="0" w:oddVBand="1" w:evenVBand="0" w:oddHBand="0" w:evenHBand="0" w:firstRowFirstColumn="0" w:firstRowLastColumn="0" w:lastRowFirstColumn="0" w:lastRowLastColumn="0"/>
            <w:tcW w:w="1418" w:type="dxa"/>
          </w:tcPr>
          <w:p w14:paraId="17622EF9" w14:textId="77777777" w:rsidR="00CD4C2C" w:rsidRPr="0025530B" w:rsidRDefault="00000000">
            <w:pPr>
              <w:pStyle w:val="Compact"/>
              <w:rPr>
                <w:sz w:val="20"/>
                <w:szCs w:val="20"/>
              </w:rPr>
            </w:pPr>
            <w:r w:rsidRPr="0025530B">
              <w:rPr>
                <w:sz w:val="20"/>
                <w:szCs w:val="20"/>
              </w:rPr>
              <w:t>Integration APIs</w:t>
            </w:r>
          </w:p>
        </w:tc>
        <w:tc>
          <w:tcPr>
            <w:tcW w:w="1337" w:type="dxa"/>
          </w:tcPr>
          <w:p w14:paraId="2CB0B48A"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Country modules</w:t>
            </w:r>
          </w:p>
        </w:tc>
      </w:tr>
      <w:tr w:rsidR="00CD4C2C" w:rsidRPr="0025530B" w14:paraId="3D948E12" w14:textId="77777777" w:rsidTr="0025530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465F3466" w14:textId="77777777" w:rsidR="00CD4C2C" w:rsidRPr="0025530B" w:rsidRDefault="00000000">
            <w:pPr>
              <w:pStyle w:val="Compact"/>
              <w:rPr>
                <w:sz w:val="20"/>
                <w:szCs w:val="20"/>
              </w:rPr>
            </w:pPr>
            <w:r w:rsidRPr="0025530B">
              <w:rPr>
                <w:sz w:val="20"/>
                <w:szCs w:val="20"/>
              </w:rPr>
              <w:lastRenderedPageBreak/>
              <w:t>Provenance</w:t>
            </w:r>
          </w:p>
        </w:tc>
        <w:tc>
          <w:tcPr>
            <w:tcW w:w="1701" w:type="dxa"/>
          </w:tcPr>
          <w:p w14:paraId="4D6A06AB"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Built-in</w:t>
            </w:r>
          </w:p>
        </w:tc>
        <w:tc>
          <w:tcPr>
            <w:cnfStyle w:val="000010000000" w:firstRow="0" w:lastRow="0" w:firstColumn="0" w:lastColumn="0" w:oddVBand="1" w:evenVBand="0" w:oddHBand="0" w:evenHBand="0" w:firstRowFirstColumn="0" w:firstRowLastColumn="0" w:lastRowFirstColumn="0" w:lastRowLastColumn="0"/>
            <w:tcW w:w="1560" w:type="dxa"/>
          </w:tcPr>
          <w:p w14:paraId="778EB140" w14:textId="77777777" w:rsidR="00CD4C2C" w:rsidRPr="0025530B" w:rsidRDefault="00000000">
            <w:pPr>
              <w:pStyle w:val="Compact"/>
              <w:rPr>
                <w:sz w:val="20"/>
                <w:szCs w:val="20"/>
              </w:rPr>
            </w:pPr>
            <w:r w:rsidRPr="0025530B">
              <w:rPr>
                <w:sz w:val="20"/>
                <w:szCs w:val="20"/>
              </w:rPr>
              <w:t>No</w:t>
            </w:r>
          </w:p>
        </w:tc>
        <w:tc>
          <w:tcPr>
            <w:tcW w:w="1417" w:type="dxa"/>
          </w:tcPr>
          <w:p w14:paraId="3832CA01"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No</w:t>
            </w:r>
          </w:p>
        </w:tc>
        <w:tc>
          <w:tcPr>
            <w:cnfStyle w:val="000010000000" w:firstRow="0" w:lastRow="0" w:firstColumn="0" w:lastColumn="0" w:oddVBand="1" w:evenVBand="0" w:oddHBand="0" w:evenHBand="0" w:firstRowFirstColumn="0" w:firstRowLastColumn="0" w:lastRowFirstColumn="0" w:lastRowLastColumn="0"/>
            <w:tcW w:w="1418" w:type="dxa"/>
          </w:tcPr>
          <w:p w14:paraId="0F7C559E" w14:textId="77777777" w:rsidR="00CD4C2C" w:rsidRPr="0025530B" w:rsidRDefault="00000000">
            <w:pPr>
              <w:pStyle w:val="Compact"/>
              <w:rPr>
                <w:sz w:val="20"/>
                <w:szCs w:val="20"/>
              </w:rPr>
            </w:pPr>
            <w:r w:rsidRPr="0025530B">
              <w:rPr>
                <w:sz w:val="20"/>
                <w:szCs w:val="20"/>
              </w:rPr>
              <w:t>Audit log</w:t>
            </w:r>
          </w:p>
        </w:tc>
        <w:tc>
          <w:tcPr>
            <w:tcW w:w="1337" w:type="dxa"/>
          </w:tcPr>
          <w:p w14:paraId="2FED4C4A"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No</w:t>
            </w:r>
          </w:p>
        </w:tc>
      </w:tr>
      <w:tr w:rsidR="00CD4C2C" w:rsidRPr="0025530B" w14:paraId="717041F5" w14:textId="77777777" w:rsidTr="0025530B">
        <w:tc>
          <w:tcPr>
            <w:cnfStyle w:val="000010000000" w:firstRow="0" w:lastRow="0" w:firstColumn="0" w:lastColumn="0" w:oddVBand="1" w:evenVBand="0" w:oddHBand="0" w:evenHBand="0" w:firstRowFirstColumn="0" w:firstRowLastColumn="0" w:lastRowFirstColumn="0" w:lastRowLastColumn="0"/>
            <w:tcW w:w="1809" w:type="dxa"/>
          </w:tcPr>
          <w:p w14:paraId="071B248E" w14:textId="77777777" w:rsidR="00CD4C2C" w:rsidRPr="0025530B" w:rsidRDefault="00000000">
            <w:pPr>
              <w:pStyle w:val="Compact"/>
              <w:rPr>
                <w:sz w:val="20"/>
                <w:szCs w:val="20"/>
              </w:rPr>
            </w:pPr>
            <w:r w:rsidRPr="0025530B">
              <w:rPr>
                <w:sz w:val="20"/>
                <w:szCs w:val="20"/>
              </w:rPr>
              <w:t>License</w:t>
            </w:r>
          </w:p>
        </w:tc>
        <w:tc>
          <w:tcPr>
            <w:tcW w:w="1701" w:type="dxa"/>
          </w:tcPr>
          <w:p w14:paraId="37561129"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GPLv3</w:t>
            </w:r>
          </w:p>
        </w:tc>
        <w:tc>
          <w:tcPr>
            <w:cnfStyle w:val="000010000000" w:firstRow="0" w:lastRow="0" w:firstColumn="0" w:lastColumn="0" w:oddVBand="1" w:evenVBand="0" w:oddHBand="0" w:evenHBand="0" w:firstRowFirstColumn="0" w:firstRowLastColumn="0" w:lastRowFirstColumn="0" w:lastRowLastColumn="0"/>
            <w:tcW w:w="1560" w:type="dxa"/>
          </w:tcPr>
          <w:p w14:paraId="7BDD26DC" w14:textId="77777777" w:rsidR="00CD4C2C" w:rsidRPr="0025530B" w:rsidRDefault="00000000">
            <w:pPr>
              <w:pStyle w:val="Compact"/>
              <w:rPr>
                <w:sz w:val="20"/>
                <w:szCs w:val="20"/>
              </w:rPr>
            </w:pPr>
            <w:r w:rsidRPr="0025530B">
              <w:rPr>
                <w:sz w:val="20"/>
                <w:szCs w:val="20"/>
              </w:rPr>
              <w:t>Apache 2.0</w:t>
            </w:r>
          </w:p>
        </w:tc>
        <w:tc>
          <w:tcPr>
            <w:tcW w:w="1417" w:type="dxa"/>
          </w:tcPr>
          <w:p w14:paraId="6E28C55F"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OASIS</w:t>
            </w:r>
          </w:p>
        </w:tc>
        <w:tc>
          <w:tcPr>
            <w:cnfStyle w:val="000010000000" w:firstRow="0" w:lastRow="0" w:firstColumn="0" w:lastColumn="0" w:oddVBand="1" w:evenVBand="0" w:oddHBand="0" w:evenHBand="0" w:firstRowFirstColumn="0" w:firstRowLastColumn="0" w:lastRowFirstColumn="0" w:lastRowLastColumn="0"/>
            <w:tcW w:w="1418" w:type="dxa"/>
          </w:tcPr>
          <w:p w14:paraId="2D28CCAB" w14:textId="77777777" w:rsidR="00CD4C2C" w:rsidRPr="0025530B" w:rsidRDefault="00000000">
            <w:pPr>
              <w:pStyle w:val="Compact"/>
              <w:rPr>
                <w:sz w:val="20"/>
                <w:szCs w:val="20"/>
              </w:rPr>
            </w:pPr>
            <w:r w:rsidRPr="0025530B">
              <w:rPr>
                <w:sz w:val="20"/>
                <w:szCs w:val="20"/>
              </w:rPr>
              <w:t>Apache 2.0</w:t>
            </w:r>
          </w:p>
        </w:tc>
        <w:tc>
          <w:tcPr>
            <w:tcW w:w="1337" w:type="dxa"/>
          </w:tcPr>
          <w:p w14:paraId="1140790A"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AGPL</w:t>
            </w:r>
          </w:p>
        </w:tc>
      </w:tr>
    </w:tbl>
    <w:p w14:paraId="7A9F3F39" w14:textId="77777777" w:rsidR="00CD4C2C" w:rsidRDefault="00000000">
      <w:pPr>
        <w:pStyle w:val="BodyText"/>
      </w:pPr>
      <w:r>
        <w:rPr>
          <w:i/>
          <w:iCs/>
        </w:rPr>
        <w:t>Table 1: Comparison of Legal DSLs and Rules Engines</w:t>
      </w:r>
    </w:p>
    <w:p w14:paraId="4A496B36" w14:textId="77777777" w:rsidR="00CD4C2C" w:rsidRDefault="00000000">
      <w:pPr>
        <w:pStyle w:val="BodyText"/>
      </w:pPr>
      <w:r>
        <w:t>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 The design follows established principles for DSL development that emphasize matching language constructs to domain concepts [23].</w:t>
      </w:r>
    </w:p>
    <w:p w14:paraId="6B93D99F" w14:textId="77777777" w:rsidR="00CD4C2C" w:rsidRDefault="00000000">
      <w:pPr>
        <w:pStyle w:val="Heading2"/>
      </w:pPr>
      <w:bookmarkStart w:id="12" w:name="ipflang-language-specification"/>
      <w:bookmarkEnd w:id="8"/>
      <w:bookmarkEnd w:id="11"/>
      <w:r>
        <w:t>3. IPFLang Language Specification</w:t>
      </w:r>
    </w:p>
    <w:p w14:paraId="22108BE5" w14:textId="77777777" w:rsidR="00CD4C2C" w:rsidRDefault="00000000">
      <w:pPr>
        <w:pStyle w:val="Heading3"/>
      </w:pPr>
      <w:bookmarkStart w:id="13" w:name="design-principles"/>
      <w:r>
        <w:t>3.1 Design Principles</w:t>
      </w:r>
    </w:p>
    <w:p w14:paraId="6FD38FA7" w14:textId="77777777" w:rsidR="00CD4C2C" w:rsidRDefault="00000000">
      <w:pPr>
        <w:pStyle w:val="FirstParagraph"/>
      </w:pPr>
      <w:r>
        <w:t>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223AF41A" w14:textId="77777777" w:rsidR="00CD4C2C" w:rsidRDefault="00000000">
      <w:pPr>
        <w:pStyle w:val="BodyText"/>
      </w:pPr>
      <w:r>
        <w:t>The first principle is declarative semantics. Fee calculations specify what to compute rather than how to compute it. Declarative approaches facilitate correctness verification by legal experts who can validate fee formulas directly against official schedules without needing to understand imperative control flow.</w:t>
      </w:r>
    </w:p>
    <w:p w14:paraId="4AB35BCB" w14:textId="77777777" w:rsidR="00CD4C2C" w:rsidRDefault="00000000">
      <w:pPr>
        <w:pStyle w:val="BodyText"/>
      </w:pPr>
      <w:r>
        <w:t>The second principle requires explicit semantics. Operators use keyword syntax such as EQ, GT, AND, and OR rather than symbols like ==, &gt;, &amp;&amp;, and ||. This design choice aims to improve readability for users with varying technical backgrounds, aligning with DSL design guidelines emphasizing domain-specific notation [16]. Empirical validation of this readability hypothesis remains future work (see Section 8.3).</w:t>
      </w:r>
    </w:p>
    <w:p w14:paraId="5DD5461F" w14:textId="77777777" w:rsidR="00CD4C2C" w:rsidRDefault="00000000">
      <w:pPr>
        <w:pStyle w:val="BodyText"/>
      </w:pPr>
      <w:r>
        <w:t>The third principle establishes a static type system. Input declarations explicitly specify types including NUMBER, LIST, MULTILIST, BOOLEAN, DATE, and AMOUNT, enabling compile-time validation. Static typing prevents runtime errors from type mismatches and provides clear parameter documentation.</w:t>
      </w:r>
    </w:p>
    <w:p w14:paraId="59F0091F" w14:textId="77777777" w:rsidR="00CD4C2C" w:rsidRDefault="00000000">
      <w:pPr>
        <w:pStyle w:val="BodyText"/>
      </w:pPr>
      <w:r>
        <w:t>The fourth principle maintains minimal syntax complexity. Language features target the minimum necessary for regulatory fee calculations. Structured blocks such as DEFINE…ENDDEFINE and COMPUTE…ENDCOMPUTE with explicit terminators aid comprehension and prevent syntax errors common in expression-based languages.</w:t>
      </w:r>
    </w:p>
    <w:p w14:paraId="689ADFBF" w14:textId="77777777" w:rsidR="00CD4C2C" w:rsidRDefault="00000000">
      <w:pPr>
        <w:pStyle w:val="BodyText"/>
      </w:pPr>
      <w:r>
        <w:t>The fifth principle ensures auditability and traceability. Fee computation produces step-by-step execution traces showing how final amounts derive from input parameters. This addresses legal requirements for calculation transparency and assists in dispute resolution.</w:t>
      </w:r>
    </w:p>
    <w:p w14:paraId="18869B66" w14:textId="77777777" w:rsidR="00CD4C2C" w:rsidRDefault="00000000">
      <w:pPr>
        <w:pStyle w:val="BodyText"/>
      </w:pPr>
      <w:r>
        <w:lastRenderedPageBreak/>
        <w:t>The sixth principle guarantees jurisdiction independence. Language constructs make no assumptions about specific jurisdictions, enabling code reuse across patent offices. Jurisdiction-specific business rules reside in fee definitions rather than language syntax.</w:t>
      </w:r>
    </w:p>
    <w:p w14:paraId="7F0458F0" w14:textId="77777777" w:rsidR="00CD4C2C" w:rsidRDefault="00000000">
      <w:pPr>
        <w:pStyle w:val="Heading3"/>
      </w:pPr>
      <w:bookmarkStart w:id="14" w:name="language-syntax-overview"/>
      <w:bookmarkEnd w:id="13"/>
      <w:r>
        <w:t>3.2 Language Syntax Overview</w:t>
      </w:r>
    </w:p>
    <w:p w14:paraId="64D4FAED" w14:textId="77777777" w:rsidR="00CD4C2C" w:rsidRDefault="00000000">
      <w:pPr>
        <w:pStyle w:val="FirstParagraph"/>
      </w:pPr>
      <w:r>
        <w:rPr>
          <w:b/>
          <w:bCs/>
        </w:rPr>
        <w:t>[INSERT FIGURE 2: figures/figure5_syntax_structure.mmd - IPFLang Program Structure]</w:t>
      </w:r>
    </w:p>
    <w:p w14:paraId="59AB4D28" w14:textId="77777777" w:rsidR="00CD4C2C" w:rsidRDefault="00000000">
      <w:pPr>
        <w:pStyle w:val="BodyText"/>
      </w:pPr>
      <w:r>
        <w:t>IPFLang programs consist of several sections:</w:t>
      </w:r>
    </w:p>
    <w:p w14:paraId="1BBBE96D" w14:textId="77777777" w:rsidR="00CD4C2C" w:rsidRDefault="00000000">
      <w:pPr>
        <w:pStyle w:val="SourceCode"/>
      </w:pPr>
      <w:r>
        <w:rPr>
          <w:rStyle w:val="VerbatimChar"/>
        </w:rPr>
        <w:t>[Version Declaration]     // Optional metadata</w:t>
      </w:r>
      <w:r>
        <w:br/>
      </w:r>
      <w:r>
        <w:rPr>
          <w:rStyle w:val="VerbatimChar"/>
        </w:rPr>
        <w:t>[Group Definitions]       // Optional UI organization</w:t>
      </w:r>
      <w:r>
        <w:br/>
      </w:r>
      <w:r>
        <w:rPr>
          <w:rStyle w:val="VerbatimChar"/>
        </w:rPr>
        <w:t>[Input Definitions]       // Required parameters</w:t>
      </w:r>
      <w:r>
        <w:br/>
      </w:r>
      <w:r>
        <w:rPr>
          <w:rStyle w:val="VerbatimChar"/>
        </w:rPr>
        <w:t>[Fee Computations]        // Fee calculation logic</w:t>
      </w:r>
      <w:r>
        <w:br/>
      </w:r>
      <w:r>
        <w:rPr>
          <w:rStyle w:val="VerbatimChar"/>
        </w:rPr>
        <w:t>[Verification Directives] // Optional static checks</w:t>
      </w:r>
      <w:r>
        <w:br/>
      </w:r>
      <w:r>
        <w:rPr>
          <w:rStyle w:val="VerbatimChar"/>
        </w:rPr>
        <w:t>[Return Statements]       // Optional named outputs</w:t>
      </w:r>
    </w:p>
    <w:p w14:paraId="12F6B1AC" w14:textId="77777777" w:rsidR="00CD4C2C" w:rsidRDefault="00000000">
      <w:pPr>
        <w:pStyle w:val="Heading3"/>
      </w:pPr>
      <w:bookmarkStart w:id="15" w:name="version-declaration"/>
      <w:bookmarkEnd w:id="14"/>
      <w:r>
        <w:t>3.3 Version Declaration</w:t>
      </w:r>
    </w:p>
    <w:p w14:paraId="1D0ADA5E" w14:textId="77777777" w:rsidR="00CD4C2C" w:rsidRDefault="00000000">
      <w:pPr>
        <w:pStyle w:val="FirstParagraph"/>
      </w:pPr>
      <w:r>
        <w:t>Fee schedules change frequently, requiring version tracking with effective dates.</w:t>
      </w:r>
    </w:p>
    <w:p w14:paraId="44681B8B" w14:textId="77777777" w:rsidR="00CD4C2C" w:rsidRDefault="00000000">
      <w:pPr>
        <w:pStyle w:val="BodyText"/>
      </w:pPr>
      <w:r>
        <w:rPr>
          <w:b/>
          <w:bCs/>
        </w:rPr>
        <w:t>Syntax:</w:t>
      </w:r>
    </w:p>
    <w:p w14:paraId="68F583B4" w14:textId="77777777" w:rsidR="00CD4C2C" w:rsidRDefault="00000000">
      <w:pPr>
        <w:pStyle w:val="SourceCode"/>
      </w:pPr>
      <w:r>
        <w:rPr>
          <w:rStyle w:val="VerbatimChar"/>
        </w:rPr>
        <w:t>VERSION '&lt;VersionId&gt;' EFFECTIVE &lt;date&gt; [DESCRIPTION '&lt;description&gt;'] [REFERENCE '&lt;reference&gt;']</w:t>
      </w:r>
    </w:p>
    <w:p w14:paraId="2DCA72EC" w14:textId="77777777" w:rsidR="00CD4C2C" w:rsidRDefault="00000000">
      <w:pPr>
        <w:pStyle w:val="FirstParagraph"/>
      </w:pPr>
      <w:r>
        <w:rPr>
          <w:b/>
          <w:bCs/>
        </w:rPr>
        <w:t>Example:</w:t>
      </w:r>
    </w:p>
    <w:p w14:paraId="4AA79C1A" w14:textId="77777777" w:rsidR="00CD4C2C" w:rsidRDefault="00000000">
      <w:pPr>
        <w:pStyle w:val="SourceCode"/>
      </w:pPr>
      <w:r>
        <w:rPr>
          <w:rStyle w:val="VerbatimChar"/>
        </w:rPr>
        <w:t>VERSION '2024.1' EFFECTIVE 01.04.2024 DESCRIPTION 'EPO official fees 2024' REFERENCE 'EPO Official Journal 2024/03'</w:t>
      </w:r>
    </w:p>
    <w:p w14:paraId="1B1C7F84" w14:textId="77777777" w:rsidR="00CD4C2C"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2F54BE46" w14:textId="77777777" w:rsidR="00CD4C2C" w:rsidRDefault="00000000">
      <w:pPr>
        <w:pStyle w:val="Heading3"/>
      </w:pPr>
      <w:bookmarkStart w:id="16" w:name="input-type-system"/>
      <w:bookmarkEnd w:id="15"/>
      <w:r>
        <w:t>3.4 Input Type System</w:t>
      </w:r>
    </w:p>
    <w:p w14:paraId="61145CAB" w14:textId="77777777" w:rsidR="00CD4C2C" w:rsidRDefault="00000000">
      <w:pPr>
        <w:pStyle w:val="FirstParagraph"/>
      </w:pPr>
      <w:r>
        <w:t>IPFLang provides six input types matching common parameter patterns across patent offices.</w:t>
      </w:r>
    </w:p>
    <w:p w14:paraId="6533F2C5" w14:textId="77777777" w:rsidR="00CD4C2C" w:rsidRDefault="00000000">
      <w:pPr>
        <w:pStyle w:val="Heading4"/>
      </w:pPr>
      <w:bookmarkStart w:id="17" w:name="list-single-choice-enumeration"/>
      <w:r>
        <w:t>3.4.1 LIST (Single-Choice Enumeration)</w:t>
      </w:r>
    </w:p>
    <w:p w14:paraId="14F569ED" w14:textId="77777777" w:rsidR="00CD4C2C" w:rsidRDefault="00000000">
      <w:pPr>
        <w:pStyle w:val="FirstParagraph"/>
      </w:pPr>
      <w:r>
        <w:t>The LIST type handles parameters with mutually exclusive options such as entity type, filing basis, or examination request.</w:t>
      </w:r>
    </w:p>
    <w:p w14:paraId="25ED7454" w14:textId="77777777" w:rsidR="00CD4C2C" w:rsidRDefault="00000000">
      <w:pPr>
        <w:pStyle w:val="SourceCode"/>
      </w:pPr>
      <w:r>
        <w:rPr>
          <w:rStyle w:val="VerbatimChar"/>
        </w:rPr>
        <w:t>DEFINE LIST EntityType AS 'Select entity size'</w:t>
      </w:r>
      <w:r>
        <w:br/>
      </w:r>
      <w:r>
        <w:rPr>
          <w:rStyle w:val="VerbatimChar"/>
        </w:rPr>
        <w:t>GROUP General</w:t>
      </w:r>
      <w:r>
        <w:br/>
      </w:r>
      <w:r>
        <w:rPr>
          <w:rStyle w:val="VerbatimChar"/>
        </w:rPr>
        <w:t>CHOICE NormalEntity AS 'Large Entity'</w:t>
      </w:r>
      <w:r>
        <w:br/>
      </w:r>
      <w:r>
        <w:rPr>
          <w:rStyle w:val="VerbatimChar"/>
        </w:rPr>
        <w:t>CHOICE SmallEntity AS 'Small Entity (50% discount)'</w:t>
      </w:r>
      <w:r>
        <w:br/>
      </w:r>
      <w:r>
        <w:rPr>
          <w:rStyle w:val="VerbatimChar"/>
        </w:rPr>
        <w:t>CHOICE MicroEntity AS 'Micro Entity (75% discount)'</w:t>
      </w:r>
      <w:r>
        <w:br/>
      </w:r>
      <w:r>
        <w:rPr>
          <w:rStyle w:val="VerbatimChar"/>
        </w:rPr>
        <w:t>DEFAULT NormalEntity</w:t>
      </w:r>
      <w:r>
        <w:br/>
      </w:r>
      <w:r>
        <w:rPr>
          <w:rStyle w:val="VerbatimChar"/>
        </w:rPr>
        <w:t>ENDDEFINE</w:t>
      </w:r>
    </w:p>
    <w:p w14:paraId="21947C14" w14:textId="77777777" w:rsidR="00CD4C2C" w:rsidRDefault="00000000">
      <w:pPr>
        <w:pStyle w:val="Heading4"/>
      </w:pPr>
      <w:bookmarkStart w:id="18" w:name="multilist-multi-choice-enumeration"/>
      <w:bookmarkEnd w:id="17"/>
      <w:r>
        <w:lastRenderedPageBreak/>
        <w:t>3.4.2 MULTILIST (Multi-Choice Enumeration)</w:t>
      </w:r>
    </w:p>
    <w:p w14:paraId="5868E2A1" w14:textId="77777777" w:rsidR="00CD4C2C" w:rsidRDefault="00000000">
      <w:pPr>
        <w:pStyle w:val="FirstParagraph"/>
      </w:pPr>
      <w:r>
        <w:t xml:space="preserve">The MULTILIST type accommodates parameters allowing multiple selections. The special property accessor </w:t>
      </w:r>
      <w:r>
        <w:rPr>
          <w:rStyle w:val="VerbatimChar"/>
        </w:rPr>
        <w:t>!COUNT</w:t>
      </w:r>
      <w:r>
        <w:t xml:space="preserve"> returns the number of selections. IPFLang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4ACB32BF" w14:textId="77777777" w:rsidR="00CD4C2C"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VAL_DE,VAL_FR</w:t>
      </w:r>
      <w:r>
        <w:br/>
      </w:r>
      <w:r>
        <w:rPr>
          <w:rStyle w:val="VerbatimChar"/>
        </w:rPr>
        <w:t>ENDDEFINE</w:t>
      </w:r>
    </w:p>
    <w:p w14:paraId="7066B7AE" w14:textId="77777777" w:rsidR="00CD4C2C" w:rsidRDefault="00000000">
      <w:pPr>
        <w:pStyle w:val="FirstParagraph"/>
      </w:pPr>
      <w:r>
        <w:rPr>
          <w:b/>
          <w:bCs/>
        </w:rPr>
        <w:t>Usage:</w:t>
      </w:r>
      <w:r>
        <w:t xml:space="preserve"> </w:t>
      </w:r>
      <w:r>
        <w:rPr>
          <w:rStyle w:val="VerbatimChar"/>
        </w:rPr>
        <w:t>YIELD 100 * Countries!COUNT</w:t>
      </w:r>
    </w:p>
    <w:p w14:paraId="2FA17670" w14:textId="77777777" w:rsidR="00CD4C2C" w:rsidRDefault="00000000">
      <w:pPr>
        <w:pStyle w:val="Heading4"/>
      </w:pPr>
      <w:bookmarkStart w:id="19" w:name="number-numeric-input"/>
      <w:bookmarkEnd w:id="18"/>
      <w:r>
        <w:t>3.4.3 NUMBER (Numeric Input)</w:t>
      </w:r>
    </w:p>
    <w:p w14:paraId="604973A3" w14:textId="77777777" w:rsidR="00CD4C2C" w:rsidRDefault="00000000">
      <w:pPr>
        <w:pStyle w:val="FirstParagraph"/>
      </w:pPr>
      <w:r>
        <w:t>The NUMBER type handles counts, quantities, and page numbers with optional constraints.</w:t>
      </w:r>
    </w:p>
    <w:p w14:paraId="7CE622F5" w14:textId="77777777" w:rsidR="00CD4C2C" w:rsidRDefault="00000000">
      <w:pPr>
        <w:pStyle w:val="SourceCode"/>
      </w:pPr>
      <w:r>
        <w:rPr>
          <w:rStyle w:val="VerbatimChar"/>
        </w:rPr>
        <w:t>DEFINE NUMBER ClaimCount AS 'Number of claims in application'</w:t>
      </w:r>
      <w:r>
        <w:br/>
      </w:r>
      <w:r>
        <w:rPr>
          <w:rStyle w:val="VerbatimChar"/>
        </w:rPr>
        <w:t>BETWEEN 1 AND 500</w:t>
      </w:r>
      <w:r>
        <w:br/>
      </w:r>
      <w:r>
        <w:rPr>
          <w:rStyle w:val="VerbatimChar"/>
        </w:rPr>
        <w:t>DEFAULT 10</w:t>
      </w:r>
      <w:r>
        <w:br/>
      </w:r>
      <w:r>
        <w:rPr>
          <w:rStyle w:val="VerbatimChar"/>
        </w:rPr>
        <w:t>ENDDEFINE</w:t>
      </w:r>
    </w:p>
    <w:p w14:paraId="23D7FCAE" w14:textId="77777777" w:rsidR="00CD4C2C" w:rsidRDefault="00000000">
      <w:pPr>
        <w:pStyle w:val="Heading4"/>
      </w:pPr>
      <w:bookmarkStart w:id="20" w:name="boolean-yesno"/>
      <w:bookmarkEnd w:id="19"/>
      <w:r>
        <w:t>3.4.4 BOOLEAN (Yes/No)</w:t>
      </w:r>
    </w:p>
    <w:p w14:paraId="30055370" w14:textId="77777777" w:rsidR="00CD4C2C" w:rsidRDefault="00000000">
      <w:pPr>
        <w:pStyle w:val="FirstParagraph"/>
      </w:pPr>
      <w:r>
        <w:t>The BOOLEAN type represents binary choices.</w:t>
      </w:r>
    </w:p>
    <w:p w14:paraId="575EBA51" w14:textId="77777777" w:rsidR="00CD4C2C" w:rsidRDefault="00000000">
      <w:pPr>
        <w:pStyle w:val="SourceCode"/>
      </w:pPr>
      <w:r>
        <w:rPr>
          <w:rStyle w:val="VerbatimChar"/>
        </w:rPr>
        <w:t>DEFINE BOOLEAN RequestExamination AS 'Request substantive examination?'</w:t>
      </w:r>
      <w:r>
        <w:br/>
      </w:r>
      <w:r>
        <w:rPr>
          <w:rStyle w:val="VerbatimChar"/>
        </w:rPr>
        <w:t>DEFAULT TRUE</w:t>
      </w:r>
      <w:r>
        <w:br/>
      </w:r>
      <w:r>
        <w:rPr>
          <w:rStyle w:val="VerbatimChar"/>
        </w:rPr>
        <w:t>ENDDEFINE</w:t>
      </w:r>
    </w:p>
    <w:p w14:paraId="681E8BF7" w14:textId="77777777" w:rsidR="00CD4C2C" w:rsidRDefault="00000000">
      <w:pPr>
        <w:pStyle w:val="Heading4"/>
      </w:pPr>
      <w:bookmarkStart w:id="21" w:name="date-date-input"/>
      <w:bookmarkEnd w:id="20"/>
      <w:r>
        <w:t>3.4.5 DATE (Date Input)</w:t>
      </w:r>
    </w:p>
    <w:p w14:paraId="76EC7B10" w14:textId="77777777" w:rsidR="00CD4C2C" w:rsidRDefault="00000000">
      <w:pPr>
        <w:pStyle w:val="FirstParagraph"/>
      </w:pPr>
      <w:r>
        <w:t>The DATE type handles filing dates and priority dates for calculating time-dependent fees. Temporal properties enable calculations based on elapsed time:</w:t>
      </w:r>
    </w:p>
    <w:p w14:paraId="693A0A13" w14:textId="77777777" w:rsidR="00CD4C2C" w:rsidRDefault="00000000">
      <w:pPr>
        <w:pStyle w:val="Compact"/>
        <w:numPr>
          <w:ilvl w:val="0"/>
          <w:numId w:val="4"/>
        </w:numPr>
      </w:pPr>
      <w:r>
        <w:rPr>
          <w:rStyle w:val="VerbatimChar"/>
        </w:rPr>
        <w:t>!YEARSTONOW</w:t>
      </w:r>
      <w:r>
        <w:t xml:space="preserve"> - Years from date to current date</w:t>
      </w:r>
    </w:p>
    <w:p w14:paraId="72A15F14" w14:textId="77777777" w:rsidR="00CD4C2C" w:rsidRDefault="00000000">
      <w:pPr>
        <w:pStyle w:val="Compact"/>
        <w:numPr>
          <w:ilvl w:val="0"/>
          <w:numId w:val="4"/>
        </w:numPr>
      </w:pPr>
      <w:r>
        <w:rPr>
          <w:rStyle w:val="VerbatimChar"/>
        </w:rPr>
        <w:t>!MONTHSTONOW</w:t>
      </w:r>
      <w:r>
        <w:t xml:space="preserve"> - Months from date to current date</w:t>
      </w:r>
    </w:p>
    <w:p w14:paraId="33C97CD9" w14:textId="77777777" w:rsidR="00CD4C2C" w:rsidRDefault="00000000">
      <w:pPr>
        <w:pStyle w:val="Compact"/>
        <w:numPr>
          <w:ilvl w:val="0"/>
          <w:numId w:val="4"/>
        </w:numPr>
      </w:pPr>
      <w:r>
        <w:rPr>
          <w:rStyle w:val="VerbatimChar"/>
        </w:rPr>
        <w:t>!DAYSTONOW</w:t>
      </w:r>
      <w:r>
        <w:t xml:space="preserve"> - Days from date to current date</w:t>
      </w:r>
    </w:p>
    <w:p w14:paraId="53C770F7" w14:textId="77777777" w:rsidR="00CD4C2C" w:rsidRDefault="00000000">
      <w:pPr>
        <w:pStyle w:val="Compact"/>
        <w:numPr>
          <w:ilvl w:val="0"/>
          <w:numId w:val="4"/>
        </w:numPr>
      </w:pPr>
      <w:r>
        <w:rPr>
          <w:rStyle w:val="VerbatimChar"/>
        </w:rPr>
        <w:t>!MONTHSTONOW_FROMLASTDAY</w:t>
      </w:r>
      <w:r>
        <w:t xml:space="preserve"> - Months from end of date’s month</w:t>
      </w:r>
    </w:p>
    <w:p w14:paraId="25458F4B" w14:textId="77777777" w:rsidR="00CD4C2C" w:rsidRDefault="00000000">
      <w:pPr>
        <w:pStyle w:val="SourceCode"/>
      </w:pPr>
      <w:r>
        <w:rPr>
          <w:rStyle w:val="VerbatimChar"/>
        </w:rPr>
        <w:t>DEFINE DATE FilingDate AS 'Application filing date'</w:t>
      </w:r>
      <w:r>
        <w:br/>
      </w:r>
      <w:r>
        <w:rPr>
          <w:rStyle w:val="VerbatimChar"/>
        </w:rPr>
        <w:t>BETWEEN 01.01.2000 AND TODAY</w:t>
      </w:r>
      <w:r>
        <w:br/>
      </w:r>
      <w:r>
        <w:rPr>
          <w:rStyle w:val="VerbatimChar"/>
        </w:rPr>
        <w:t>DEFAULT TODAY</w:t>
      </w:r>
      <w:r>
        <w:br/>
      </w:r>
      <w:r>
        <w:rPr>
          <w:rStyle w:val="VerbatimChar"/>
        </w:rPr>
        <w:t>ENDDEFINE</w:t>
      </w:r>
    </w:p>
    <w:p w14:paraId="789708BC" w14:textId="77777777" w:rsidR="00CD4C2C" w:rsidRDefault="00000000">
      <w:pPr>
        <w:pStyle w:val="FirstParagraph"/>
      </w:pPr>
      <w:r>
        <w:rPr>
          <w:b/>
          <w:bCs/>
        </w:rPr>
        <w:t>Usage:</w:t>
      </w:r>
      <w:r>
        <w:t xml:space="preserve"> </w:t>
      </w:r>
      <w:r>
        <w:rPr>
          <w:rStyle w:val="VerbatimChar"/>
        </w:rPr>
        <w:t>LET YearsSinceFiling AS FilingDate!YEARSTONOW</w:t>
      </w:r>
    </w:p>
    <w:p w14:paraId="553701FE" w14:textId="77777777" w:rsidR="00CD4C2C" w:rsidRDefault="00000000">
      <w:pPr>
        <w:pStyle w:val="Heading4"/>
      </w:pPr>
      <w:bookmarkStart w:id="22" w:name="amount-currency-aware-monetary-input"/>
      <w:bookmarkEnd w:id="21"/>
      <w:r>
        <w:lastRenderedPageBreak/>
        <w:t>3.4.6 AMOUNT (Currency-Aware Monetary Input)</w:t>
      </w:r>
    </w:p>
    <w:p w14:paraId="3A54441E" w14:textId="77777777" w:rsidR="00CD4C2C" w:rsidRDefault="00000000">
      <w:pPr>
        <w:pStyle w:val="FirstParagraph"/>
      </w:pPr>
      <w:r>
        <w:t>The AMOUNT type represents monetary values with an associated ISO 4217 currency code, enabling type-safe arithmetic.</w:t>
      </w:r>
    </w:p>
    <w:p w14:paraId="4DC5FA61" w14:textId="77777777" w:rsidR="00CD4C2C" w:rsidRDefault="00000000">
      <w:pPr>
        <w:pStyle w:val="SourceCode"/>
      </w:pPr>
      <w:r>
        <w:rPr>
          <w:rStyle w:val="VerbatimChar"/>
        </w:rPr>
        <w:t>DEFINE AMOUNT PriorSearchFee AS 'Prior art search fee paid'</w:t>
      </w:r>
      <w:r>
        <w:br/>
      </w:r>
      <w:r>
        <w:rPr>
          <w:rStyle w:val="VerbatimChar"/>
        </w:rPr>
        <w:t>CURRENCY EUR</w:t>
      </w:r>
      <w:r>
        <w:br/>
      </w:r>
      <w:r>
        <w:rPr>
          <w:rStyle w:val="VerbatimChar"/>
        </w:rPr>
        <w:t>DEFAULT 0</w:t>
      </w:r>
      <w:r>
        <w:br/>
      </w:r>
      <w:r>
        <w:rPr>
          <w:rStyle w:val="VerbatimChar"/>
        </w:rPr>
        <w:t>ENDDEFINE</w:t>
      </w:r>
    </w:p>
    <w:p w14:paraId="3F234004" w14:textId="77777777" w:rsidR="00CD4C2C" w:rsidRDefault="00000000">
      <w:pPr>
        <w:pStyle w:val="FirstParagraph"/>
      </w:pPr>
      <w:r>
        <w:t>The AMOUNT type integrates with the currency-aware type system described in Section 4, preventing accidental cross-currency arithmetic.</w:t>
      </w:r>
    </w:p>
    <w:p w14:paraId="465BBF0E" w14:textId="77777777" w:rsidR="00CD4C2C" w:rsidRDefault="00000000">
      <w:pPr>
        <w:pStyle w:val="Heading3"/>
      </w:pPr>
      <w:bookmarkStart w:id="23" w:name="group-definitions"/>
      <w:bookmarkEnd w:id="16"/>
      <w:bookmarkEnd w:id="22"/>
      <w:r>
        <w:t>3.5 Group Definitions</w:t>
      </w:r>
    </w:p>
    <w:p w14:paraId="48BD619D" w14:textId="77777777" w:rsidR="00CD4C2C" w:rsidRDefault="00000000">
      <w:pPr>
        <w:pStyle w:val="FirstParagraph"/>
      </w:pPr>
      <w:r>
        <w:t>Groups organize inputs for user interface presentation, with weights determining display order.</w:t>
      </w:r>
    </w:p>
    <w:p w14:paraId="2456A299" w14:textId="77777777" w:rsidR="00CD4C2C"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2AA883E7" w14:textId="77777777" w:rsidR="00CD4C2C" w:rsidRDefault="00000000">
      <w:pPr>
        <w:pStyle w:val="Heading3"/>
      </w:pPr>
      <w:bookmarkStart w:id="24" w:name="fee-computation-blocks"/>
      <w:bookmarkEnd w:id="23"/>
      <w:r>
        <w:t>3.6 Fee Computation Blocks</w:t>
      </w:r>
    </w:p>
    <w:p w14:paraId="1DD8F0DD" w14:textId="77777777" w:rsidR="00CD4C2C" w:rsidRDefault="00000000">
      <w:pPr>
        <w:pStyle w:val="FirstParagraph"/>
      </w:pPr>
      <w:r>
        <w:t>Fee calculations use structured COMPUTE FEE blocks with conditional YIELD statements.</w:t>
      </w:r>
    </w:p>
    <w:p w14:paraId="269D0DC0" w14:textId="77777777" w:rsidR="00CD4C2C" w:rsidRDefault="00000000">
      <w:pPr>
        <w:pStyle w:val="BodyText"/>
      </w:pPr>
      <w:r>
        <w:rPr>
          <w:b/>
          <w:bCs/>
        </w:rPr>
        <w:t>Basic syntax:</w:t>
      </w:r>
    </w:p>
    <w:p w14:paraId="722552D1" w14:textId="77777777" w:rsidR="00CD4C2C" w:rsidRDefault="00000000">
      <w:pPr>
        <w:pStyle w:val="SourceCode"/>
      </w:pPr>
      <w:r>
        <w:rPr>
          <w:rStyle w:val="VerbatimChar"/>
        </w:rPr>
        <w:t>COMPUTE FEE &lt;fee_name&gt; [OPTIONAL]</w:t>
      </w:r>
      <w:r>
        <w:br/>
      </w:r>
      <w:r>
        <w:rPr>
          <w:rStyle w:val="VerbatimChar"/>
        </w:rPr>
        <w:t xml:space="preserve">  [LET &lt;variable&gt; AS &lt;expression&gt;]*</w:t>
      </w:r>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1CE7147D" w14:textId="77777777" w:rsidR="00CD4C2C" w:rsidRDefault="00000000">
      <w:pPr>
        <w:pStyle w:val="FirstParagraph"/>
      </w:pPr>
      <w:r>
        <w:t>The OPTIONAL keyword distinguishes fees that may or may not apply from mandatory fees.</w:t>
      </w:r>
    </w:p>
    <w:p w14:paraId="6809BCED" w14:textId="77777777" w:rsidR="00CD4C2C" w:rsidRDefault="00000000">
      <w:pPr>
        <w:pStyle w:val="BodyText"/>
      </w:pPr>
      <w:r>
        <w:rPr>
          <w:b/>
          <w:bCs/>
        </w:rPr>
        <w:t>Example - EPO claim fees with progressive rates:</w:t>
      </w:r>
    </w:p>
    <w:p w14:paraId="58A1AECE" w14:textId="77777777" w:rsidR="00CD4C2C" w:rsidRDefault="00000000">
      <w:pPr>
        <w:pStyle w:val="SourceCode"/>
      </w:pPr>
      <w:r>
        <w:rPr>
          <w:rStyle w:val="VerbatimChar"/>
        </w:rPr>
        <w:t>COMPUTE FEE ExcessClaimsFee</w:t>
      </w:r>
      <w:r>
        <w:br/>
      </w:r>
      <w:r>
        <w:rPr>
          <w:rStyle w:val="VerbatimChar"/>
        </w:rPr>
        <w:t>LET ClaimFee1 AS 265</w:t>
      </w:r>
      <w:r>
        <w:br/>
      </w:r>
      <w:r>
        <w:rPr>
          <w:rStyle w:val="VerbatimChar"/>
        </w:rPr>
        <w:t>LET ClaimFee2 AS 660</w:t>
      </w:r>
      <w:r>
        <w:br/>
      </w:r>
      <w:r>
        <w:rPr>
          <w:rStyle w:val="VerbatimChar"/>
        </w:rPr>
        <w:t>CASE ClaimCount LTE 15 AS</w:t>
      </w:r>
      <w:r>
        <w:br/>
      </w:r>
      <w:r>
        <w:rPr>
          <w:rStyle w:val="VerbatimChar"/>
        </w:rPr>
        <w:t xml:space="preserve">  YIELD 0</w:t>
      </w:r>
      <w:r>
        <w:br/>
      </w:r>
      <w:r>
        <w:rPr>
          <w:rStyle w:val="VerbatimChar"/>
        </w:rPr>
        <w:t>ENDCASE</w:t>
      </w:r>
      <w:r>
        <w:br/>
      </w:r>
      <w:r>
        <w:rPr>
          <w:rStyle w:val="VerbatimChar"/>
        </w:rPr>
        <w:t>CASE ClaimCount GT 15 AND ClaimCount LTE 50 AS</w:t>
      </w:r>
      <w:r>
        <w:br/>
      </w:r>
      <w:r>
        <w:rPr>
          <w:rStyle w:val="VerbatimChar"/>
        </w:rPr>
        <w:t xml:space="preserve">  YIELD ClaimFee1 * (ClaimCount - 15)</w:t>
      </w:r>
      <w:r>
        <w:br/>
      </w:r>
      <w:r>
        <w:rPr>
          <w:rStyle w:val="VerbatimChar"/>
        </w:rPr>
        <w:t>ENDCASE</w:t>
      </w:r>
      <w:r>
        <w:br/>
      </w:r>
      <w:r>
        <w:rPr>
          <w:rStyle w:val="VerbatimChar"/>
        </w:rPr>
        <w:t>CASE ClaimCount GT 50 AS</w:t>
      </w:r>
      <w:r>
        <w:br/>
      </w:r>
      <w:r>
        <w:rPr>
          <w:rStyle w:val="VerbatimChar"/>
        </w:rPr>
        <w:t xml:space="preserve">  YIELD ClaimFee1 * 35 + ClaimFee2 * (ClaimCount - 50)</w:t>
      </w:r>
      <w:r>
        <w:br/>
      </w:r>
      <w:r>
        <w:rPr>
          <w:rStyle w:val="VerbatimChar"/>
        </w:rPr>
        <w:t>ENDCASE</w:t>
      </w:r>
      <w:r>
        <w:br/>
      </w:r>
      <w:r>
        <w:rPr>
          <w:rStyle w:val="VerbatimChar"/>
        </w:rPr>
        <w:t>ENDCOMPUTE</w:t>
      </w:r>
    </w:p>
    <w:p w14:paraId="4DBC0574" w14:textId="77777777" w:rsidR="00CD4C2C" w:rsidRDefault="00000000">
      <w:pPr>
        <w:pStyle w:val="FirstParagraph"/>
      </w:pPr>
      <w:r>
        <w:lastRenderedPageBreak/>
        <w:t>This directly encodes the EPO’s fee schedule: EUR 265 per claim for claims 16-50 and EUR 660 per claim beyond 50.</w:t>
      </w:r>
    </w:p>
    <w:p w14:paraId="412A0D34" w14:textId="77777777" w:rsidR="00CD4C2C" w:rsidRDefault="00000000">
      <w:pPr>
        <w:pStyle w:val="Heading3"/>
      </w:pPr>
      <w:bookmarkStart w:id="25" w:name="currency-literals"/>
      <w:bookmarkEnd w:id="24"/>
      <w:r>
        <w:t>3.7 Currency Literals</w:t>
      </w:r>
    </w:p>
    <w:p w14:paraId="05496A79" w14:textId="77777777" w:rsidR="00CD4C2C" w:rsidRDefault="00000000">
      <w:pPr>
        <w:pStyle w:val="FirstParagraph"/>
      </w:pPr>
      <w:r>
        <w:t>Numeric values can be annotated with ISO 4217 currency codes:</w:t>
      </w:r>
    </w:p>
    <w:p w14:paraId="6C864A9E" w14:textId="77777777" w:rsidR="00CD4C2C"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76E9851C" w14:textId="77777777" w:rsidR="00CD4C2C" w:rsidRDefault="00000000">
      <w:pPr>
        <w:pStyle w:val="FirstParagraph"/>
      </w:pPr>
      <w:r>
        <w:t>The type system enforces currency compatibility at compile time, as detailed in Section 4.</w:t>
      </w:r>
    </w:p>
    <w:p w14:paraId="77A46ACB" w14:textId="77777777" w:rsidR="00CD4C2C" w:rsidRDefault="00000000">
      <w:pPr>
        <w:pStyle w:val="Heading3"/>
      </w:pPr>
      <w:bookmarkStart w:id="26" w:name="operators-and-expressions"/>
      <w:bookmarkEnd w:id="25"/>
      <w:r>
        <w:t>3.8 Operators and Expressions</w:t>
      </w:r>
    </w:p>
    <w:p w14:paraId="79A1F60A" w14:textId="77777777" w:rsidR="00CD4C2C" w:rsidRDefault="00000000">
      <w:pPr>
        <w:pStyle w:val="FirstParagraph"/>
      </w:pPr>
      <w:r>
        <w:t>IPFLang provides:</w:t>
      </w:r>
    </w:p>
    <w:p w14:paraId="5568C70E" w14:textId="77777777" w:rsidR="00CD4C2C" w:rsidRDefault="00000000">
      <w:pPr>
        <w:pStyle w:val="BodyText"/>
      </w:pPr>
      <w:r>
        <w:rPr>
          <w:b/>
          <w:bCs/>
        </w:rPr>
        <w:t>Comparison operators:</w:t>
      </w:r>
      <w:r>
        <w:t xml:space="preserve"> EQ (equality), NEQ (inequality), GT (greater than), LT (less than), GTE (greater or equal), LTE (less or equal)</w:t>
      </w:r>
    </w:p>
    <w:p w14:paraId="2FA953CE" w14:textId="77777777" w:rsidR="00CD4C2C" w:rsidRDefault="00000000">
      <w:pPr>
        <w:pStyle w:val="BodyText"/>
      </w:pPr>
      <w:r>
        <w:rPr>
          <w:b/>
          <w:bCs/>
        </w:rPr>
        <w:t>Logical operators:</w:t>
      </w:r>
      <w:r>
        <w:t xml:space="preserve"> AND, OR (with short-circuit evaluation)</w:t>
      </w:r>
    </w:p>
    <w:p w14:paraId="0E00D902" w14:textId="77777777" w:rsidR="00CD4C2C" w:rsidRDefault="00000000">
      <w:pPr>
        <w:pStyle w:val="BodyText"/>
      </w:pPr>
      <w:r>
        <w:rPr>
          <w:b/>
          <w:bCs/>
        </w:rPr>
        <w:t>Arithmetic operators:</w:t>
      </w:r>
      <w:r>
        <w:t xml:space="preserve"> +, -, *, /, with ROUND, FLOOR, CEIL functions</w:t>
      </w:r>
    </w:p>
    <w:p w14:paraId="5191ED07" w14:textId="77777777" w:rsidR="00CD4C2C" w:rsidRDefault="00000000">
      <w:pPr>
        <w:pStyle w:val="BodyText"/>
      </w:pPr>
      <w:r>
        <w:rPr>
          <w:b/>
          <w:bCs/>
        </w:rPr>
        <w:t>Set operators for MULTILIST:</w:t>
      </w:r>
      <w:r>
        <w:t xml:space="preserve"> IN (membership), NIN (non-membership), !COUNT (cardinality)</w:t>
      </w:r>
    </w:p>
    <w:p w14:paraId="663F146F" w14:textId="77777777" w:rsidR="00CD4C2C" w:rsidRDefault="00000000">
      <w:pPr>
        <w:pStyle w:val="BodyText"/>
      </w:pPr>
      <w:r>
        <w:rPr>
          <w:b/>
          <w:bCs/>
        </w:rPr>
        <w:t>Operator precedence</w:t>
      </w:r>
      <w:r>
        <w:t xml:space="preserve"> (highest to lowest): ROUND/FLOOR/CEIL, then *, /, then +, -, then comparisons, then AND, then OR. Parentheses override default precedence.</w:t>
      </w:r>
    </w:p>
    <w:p w14:paraId="1CFFDFEF" w14:textId="77777777" w:rsidR="00CD4C2C" w:rsidRDefault="00000000">
      <w:pPr>
        <w:pStyle w:val="Heading3"/>
      </w:pPr>
      <w:bookmarkStart w:id="27" w:name="jurisdiction-composition"/>
      <w:bookmarkEnd w:id="26"/>
      <w:r>
        <w:t>3.9 Jurisdiction Composition</w:t>
      </w:r>
    </w:p>
    <w:p w14:paraId="1F3EA619" w14:textId="77777777" w:rsidR="00CD4C2C" w:rsidRDefault="00000000">
      <w:pPr>
        <w:pStyle w:val="FirstParagraph"/>
      </w:pPr>
      <w:r>
        <w:t>IPFLang supports inheritance for code reuse across related fee schedules. A child jurisdiction inherits inputs and fees from a parent, can add new definitions, and can override inherited fees.</w:t>
      </w:r>
    </w:p>
    <w:p w14:paraId="4176D17E" w14:textId="77777777" w:rsidR="00CD4C2C" w:rsidRDefault="00000000">
      <w:pPr>
        <w:pStyle w:val="BodyText"/>
      </w:pPr>
      <w:r>
        <w:rPr>
          <w:b/>
          <w:bCs/>
        </w:rPr>
        <w:t>Parent (EPO base):</w:t>
      </w:r>
    </w:p>
    <w:p w14:paraId="064FA266" w14:textId="77777777" w:rsidR="00CD4C2C" w:rsidRDefault="00000000">
      <w:pPr>
        <w:pStyle w:val="SourceCode"/>
      </w:pPr>
      <w:r>
        <w:rPr>
          <w:rStyle w:val="VerbatimChar"/>
        </w:rPr>
        <w:t>COMPUTE FEE FilingFee</w:t>
      </w:r>
      <w:r>
        <w:br/>
      </w:r>
      <w:r>
        <w:rPr>
          <w:rStyle w:val="VerbatimChar"/>
        </w:rPr>
        <w:t>YIELD 135&lt;EUR&gt;</w:t>
      </w:r>
      <w:r>
        <w:br/>
      </w:r>
      <w:r>
        <w:rPr>
          <w:rStyle w:val="VerbatimChar"/>
        </w:rPr>
        <w:t>ENDCOMPUTE</w:t>
      </w:r>
    </w:p>
    <w:p w14:paraId="3815CB71" w14:textId="77777777" w:rsidR="00CD4C2C" w:rsidRDefault="00000000">
      <w:pPr>
        <w:pStyle w:val="FirstParagraph"/>
      </w:pPr>
      <w:r>
        <w:rPr>
          <w:b/>
          <w:bCs/>
        </w:rPr>
        <w:t>Child (EPO Germany national phase):</w:t>
      </w:r>
    </w:p>
    <w:p w14:paraId="372A8438" w14:textId="77777777" w:rsidR="00CD4C2C" w:rsidRDefault="00000000">
      <w:pPr>
        <w:pStyle w:val="SourceCode"/>
      </w:pPr>
      <w:r>
        <w:rPr>
          <w:rStyle w:val="VerbatimChar"/>
        </w:rPr>
        <w:t># Inherits FilingFee from parent</w:t>
      </w:r>
      <w:r>
        <w:br/>
      </w:r>
      <w:r>
        <w:rPr>
          <w:rStyle w:val="VerbatimChar"/>
        </w:rPr>
        <w:t># Adds Germany-specific fee</w:t>
      </w:r>
      <w:r>
        <w:br/>
      </w:r>
      <w:r>
        <w:rPr>
          <w:rStyle w:val="VerbatimChar"/>
        </w:rPr>
        <w:t>COMPUTE FEE GermanTranslationFee</w:t>
      </w:r>
      <w:r>
        <w:br/>
      </w:r>
      <w:r>
        <w:rPr>
          <w:rStyle w:val="VerbatimChar"/>
        </w:rPr>
        <w:t>YIELD 1050&lt;EUR&gt; IF NeedsTranslation EQ TRUE</w:t>
      </w:r>
      <w:r>
        <w:br/>
      </w:r>
      <w:r>
        <w:rPr>
          <w:rStyle w:val="VerbatimChar"/>
        </w:rPr>
        <w:t>YIELD 0 IF NeedsTranslation EQ FALSE</w:t>
      </w:r>
      <w:r>
        <w:br/>
      </w:r>
      <w:r>
        <w:rPr>
          <w:rStyle w:val="VerbatimChar"/>
        </w:rPr>
        <w:t>ENDCOMPUTE</w:t>
      </w:r>
    </w:p>
    <w:p w14:paraId="751F2DD6" w14:textId="77777777" w:rsidR="00CD4C2C" w:rsidRDefault="00000000">
      <w:pPr>
        <w:pStyle w:val="FirstParagraph"/>
      </w:pPr>
      <w:r>
        <w:t>Composition enables significant code reuse between related jurisdictions, simplifies maintenance when base fees change, and maintains clear traceability of fee origins.</w:t>
      </w:r>
    </w:p>
    <w:p w14:paraId="482E4E3F" w14:textId="77777777" w:rsidR="00CD4C2C" w:rsidRDefault="00000000">
      <w:pPr>
        <w:pStyle w:val="Heading3"/>
      </w:pPr>
      <w:bookmarkStart w:id="28" w:name="formal-grammar-ebnf"/>
      <w:bookmarkEnd w:id="27"/>
      <w:r>
        <w:lastRenderedPageBreak/>
        <w:t>3.10 Formal Grammar (EBNF)</w:t>
      </w:r>
    </w:p>
    <w:p w14:paraId="337CA91E" w14:textId="77777777" w:rsidR="00CD4C2C" w:rsidRDefault="00000000">
      <w:pPr>
        <w:pStyle w:val="FirstParagraph"/>
      </w:pPr>
      <w:r>
        <w:t>The complete formal grammar in Extended Backus-Naur Form:</w:t>
      </w:r>
    </w:p>
    <w:p w14:paraId="5070C2C2" w14:textId="77777777" w:rsidR="00CD4C2C" w:rsidRPr="0025530B" w:rsidRDefault="00000000">
      <w:pPr>
        <w:pStyle w:val="SourceCode"/>
        <w:rPr>
          <w:sz w:val="22"/>
          <w:szCs w:val="22"/>
        </w:rPr>
      </w:pPr>
      <w:r w:rsidRPr="0025530B">
        <w:rPr>
          <w:rStyle w:val="VerbatimChar"/>
          <w:sz w:val="20"/>
          <w:szCs w:val="22"/>
        </w:rPr>
        <w:t>(* Program Structure *)</w:t>
      </w:r>
      <w:r w:rsidRPr="0025530B">
        <w:rPr>
          <w:sz w:val="22"/>
          <w:szCs w:val="22"/>
        </w:rPr>
        <w:br/>
      </w:r>
      <w:r w:rsidRPr="0025530B">
        <w:rPr>
          <w:rStyle w:val="VerbatimChar"/>
          <w:sz w:val="20"/>
          <w:szCs w:val="22"/>
        </w:rPr>
        <w:t>&lt;program&gt;              ::= &lt;comment&gt;* &lt;version&gt;? &lt;group&gt;* &lt;input_definition&gt;*</w:t>
      </w:r>
      <w:r w:rsidRPr="0025530B">
        <w:rPr>
          <w:sz w:val="22"/>
          <w:szCs w:val="22"/>
        </w:rPr>
        <w:br/>
      </w:r>
      <w:r w:rsidRPr="0025530B">
        <w:rPr>
          <w:rStyle w:val="VerbatimChar"/>
          <w:sz w:val="20"/>
          <w:szCs w:val="22"/>
        </w:rPr>
        <w:t xml:space="preserve">                           &lt;fee_computation&gt;+ &lt;verification&gt;* &lt;return&gt;*</w:t>
      </w:r>
      <w:r w:rsidRPr="0025530B">
        <w:rPr>
          <w:sz w:val="22"/>
          <w:szCs w:val="22"/>
        </w:rPr>
        <w:br/>
      </w:r>
      <w:r w:rsidRPr="0025530B">
        <w:rPr>
          <w:sz w:val="22"/>
          <w:szCs w:val="22"/>
        </w:rPr>
        <w:br/>
      </w:r>
      <w:r w:rsidRPr="0025530B">
        <w:rPr>
          <w:rStyle w:val="VerbatimChar"/>
          <w:sz w:val="20"/>
          <w:szCs w:val="22"/>
        </w:rPr>
        <w:t>(* Comments *)</w:t>
      </w:r>
      <w:r w:rsidRPr="0025530B">
        <w:rPr>
          <w:sz w:val="22"/>
          <w:szCs w:val="22"/>
        </w:rPr>
        <w:br/>
      </w:r>
      <w:r w:rsidRPr="0025530B">
        <w:rPr>
          <w:rStyle w:val="VerbatimChar"/>
          <w:sz w:val="20"/>
          <w:szCs w:val="22"/>
        </w:rPr>
        <w:t>&lt;comment&gt;              ::= "#" {&lt;any_char&gt; - &lt;newline&gt;} &lt;newline&gt;</w:t>
      </w:r>
      <w:r w:rsidRPr="0025530B">
        <w:rPr>
          <w:sz w:val="22"/>
          <w:szCs w:val="22"/>
        </w:rPr>
        <w:br/>
      </w:r>
      <w:r w:rsidRPr="0025530B">
        <w:rPr>
          <w:sz w:val="22"/>
          <w:szCs w:val="22"/>
        </w:rPr>
        <w:br/>
      </w:r>
      <w:r w:rsidRPr="0025530B">
        <w:rPr>
          <w:rStyle w:val="VerbatimChar"/>
          <w:sz w:val="20"/>
          <w:szCs w:val="22"/>
        </w:rPr>
        <w:t>(* Version Declaration *)</w:t>
      </w:r>
      <w:r w:rsidRPr="0025530B">
        <w:rPr>
          <w:sz w:val="22"/>
          <w:szCs w:val="22"/>
        </w:rPr>
        <w:br/>
      </w:r>
      <w:r w:rsidRPr="0025530B">
        <w:rPr>
          <w:rStyle w:val="VerbatimChar"/>
          <w:sz w:val="20"/>
          <w:szCs w:val="22"/>
        </w:rPr>
        <w:t>&lt;version&gt;              ::= "VERSION" &lt;string&gt; "EFFECTIVE" &lt;date&gt;</w:t>
      </w:r>
      <w:r w:rsidRPr="0025530B">
        <w:rPr>
          <w:sz w:val="22"/>
          <w:szCs w:val="22"/>
        </w:rPr>
        <w:br/>
      </w:r>
      <w:r w:rsidRPr="0025530B">
        <w:rPr>
          <w:rStyle w:val="VerbatimChar"/>
          <w:sz w:val="20"/>
          <w:szCs w:val="22"/>
        </w:rPr>
        <w:t xml:space="preserve">                           ["DESCRIPTION" &lt;string&gt;] ["REFERENCE" &lt;string&gt;]</w:t>
      </w:r>
      <w:r w:rsidRPr="0025530B">
        <w:rPr>
          <w:sz w:val="22"/>
          <w:szCs w:val="22"/>
        </w:rPr>
        <w:br/>
      </w:r>
      <w:r w:rsidRPr="0025530B">
        <w:rPr>
          <w:sz w:val="22"/>
          <w:szCs w:val="22"/>
        </w:rPr>
        <w:br/>
      </w:r>
      <w:r w:rsidRPr="0025530B">
        <w:rPr>
          <w:rStyle w:val="VerbatimChar"/>
          <w:sz w:val="20"/>
          <w:szCs w:val="22"/>
        </w:rPr>
        <w:t>(* Group Definition *)</w:t>
      </w:r>
      <w:r w:rsidRPr="0025530B">
        <w:rPr>
          <w:sz w:val="22"/>
          <w:szCs w:val="22"/>
        </w:rPr>
        <w:br/>
      </w:r>
      <w:r w:rsidRPr="0025530B">
        <w:rPr>
          <w:rStyle w:val="VerbatimChar"/>
          <w:sz w:val="20"/>
          <w:szCs w:val="22"/>
        </w:rPr>
        <w:t>&lt;group&gt;                ::= "DEFINE" "GROUP" &lt;identifier&gt; "AS" &lt;string&gt;</w:t>
      </w:r>
      <w:r w:rsidRPr="0025530B">
        <w:rPr>
          <w:sz w:val="22"/>
          <w:szCs w:val="22"/>
        </w:rPr>
        <w:br/>
      </w:r>
      <w:r w:rsidRPr="0025530B">
        <w:rPr>
          <w:rStyle w:val="VerbatimChar"/>
          <w:sz w:val="20"/>
          <w:szCs w:val="22"/>
        </w:rPr>
        <w:t xml:space="preserve">                           "WITH" "WEIGHT" &lt;number&gt;</w:t>
      </w:r>
      <w:r w:rsidRPr="0025530B">
        <w:rPr>
          <w:sz w:val="22"/>
          <w:szCs w:val="22"/>
        </w:rPr>
        <w:br/>
      </w:r>
      <w:r w:rsidRPr="0025530B">
        <w:rPr>
          <w:sz w:val="22"/>
          <w:szCs w:val="22"/>
        </w:rPr>
        <w:br/>
      </w:r>
      <w:r w:rsidRPr="0025530B">
        <w:rPr>
          <w:rStyle w:val="VerbatimChar"/>
          <w:sz w:val="20"/>
          <w:szCs w:val="22"/>
        </w:rPr>
        <w:t>(* Input Definitions *)</w:t>
      </w:r>
      <w:r w:rsidRPr="0025530B">
        <w:rPr>
          <w:sz w:val="22"/>
          <w:szCs w:val="22"/>
        </w:rPr>
        <w:br/>
      </w:r>
      <w:r w:rsidRPr="0025530B">
        <w:rPr>
          <w:rStyle w:val="VerbatimChar"/>
          <w:sz w:val="20"/>
          <w:szCs w:val="22"/>
        </w:rPr>
        <w:t>&lt;input_definition&gt;     ::= "DEFINE" &lt;input_type&gt; &lt;identifier&gt; "AS" &lt;string&gt;</w:t>
      </w:r>
      <w:r w:rsidRPr="0025530B">
        <w:rPr>
          <w:sz w:val="22"/>
          <w:szCs w:val="22"/>
        </w:rPr>
        <w:br/>
      </w:r>
      <w:r w:rsidRPr="0025530B">
        <w:rPr>
          <w:rStyle w:val="VerbatimChar"/>
          <w:sz w:val="20"/>
          <w:szCs w:val="22"/>
        </w:rPr>
        <w:t xml:space="preserve">                           ["GROUP" &lt;identifier&gt;] &lt;type_specifics&gt;</w:t>
      </w:r>
      <w:r w:rsidRPr="0025530B">
        <w:rPr>
          <w:sz w:val="22"/>
          <w:szCs w:val="22"/>
        </w:rPr>
        <w:br/>
      </w:r>
      <w:r w:rsidRPr="0025530B">
        <w:rPr>
          <w:rStyle w:val="VerbatimChar"/>
          <w:sz w:val="20"/>
          <w:szCs w:val="22"/>
        </w:rPr>
        <w:t xml:space="preserve">                           ["DEFAULT" &lt;default_value&gt;] "ENDDEFINE"</w:t>
      </w:r>
      <w:r w:rsidRPr="0025530B">
        <w:rPr>
          <w:sz w:val="22"/>
          <w:szCs w:val="22"/>
        </w:rPr>
        <w:br/>
      </w:r>
      <w:r w:rsidRPr="0025530B">
        <w:rPr>
          <w:sz w:val="22"/>
          <w:szCs w:val="22"/>
        </w:rPr>
        <w:br/>
      </w:r>
      <w:r w:rsidRPr="0025530B">
        <w:rPr>
          <w:rStyle w:val="VerbatimChar"/>
          <w:sz w:val="20"/>
          <w:szCs w:val="22"/>
        </w:rPr>
        <w:t>&lt;input_type&gt;           ::= "LIST" | "MULTILIST" | "NUMBER" | "BOOLEAN" | "DATE" | "AMOUNT"</w:t>
      </w:r>
      <w:r w:rsidRPr="0025530B">
        <w:rPr>
          <w:sz w:val="22"/>
          <w:szCs w:val="22"/>
        </w:rPr>
        <w:br/>
      </w:r>
      <w:r w:rsidRPr="0025530B">
        <w:rPr>
          <w:sz w:val="22"/>
          <w:szCs w:val="22"/>
        </w:rPr>
        <w:br/>
      </w:r>
      <w:r w:rsidRPr="0025530B">
        <w:rPr>
          <w:rStyle w:val="VerbatimChar"/>
          <w:sz w:val="20"/>
          <w:szCs w:val="22"/>
        </w:rPr>
        <w:t>&lt;type_specifics&gt;       ::= &lt;choices&gt; | &lt;numeric_constraint&gt; | &lt;date_constraint&gt;</w:t>
      </w:r>
      <w:r w:rsidRPr="0025530B">
        <w:rPr>
          <w:sz w:val="22"/>
          <w:szCs w:val="22"/>
        </w:rPr>
        <w:br/>
      </w:r>
      <w:r w:rsidRPr="0025530B">
        <w:rPr>
          <w:rStyle w:val="VerbatimChar"/>
          <w:sz w:val="20"/>
          <w:szCs w:val="22"/>
        </w:rPr>
        <w:t xml:space="preserve">                         | &lt;currency_spec&gt; | ε</w:t>
      </w:r>
      <w:r w:rsidRPr="0025530B">
        <w:rPr>
          <w:sz w:val="22"/>
          <w:szCs w:val="22"/>
        </w:rPr>
        <w:br/>
      </w:r>
      <w:r w:rsidRPr="0025530B">
        <w:rPr>
          <w:sz w:val="22"/>
          <w:szCs w:val="22"/>
        </w:rPr>
        <w:br/>
      </w:r>
      <w:r w:rsidRPr="0025530B">
        <w:rPr>
          <w:rStyle w:val="VerbatimChar"/>
          <w:sz w:val="20"/>
          <w:szCs w:val="22"/>
        </w:rPr>
        <w:t>&lt;choices&gt;              ::= &lt;choice&gt;+</w:t>
      </w:r>
      <w:r w:rsidRPr="0025530B">
        <w:rPr>
          <w:sz w:val="22"/>
          <w:szCs w:val="22"/>
        </w:rPr>
        <w:br/>
      </w:r>
      <w:r w:rsidRPr="0025530B">
        <w:rPr>
          <w:rStyle w:val="VerbatimChar"/>
          <w:sz w:val="20"/>
          <w:szCs w:val="22"/>
        </w:rPr>
        <w:t>&lt;choice&gt;               ::= "CHOICE" &lt;identifier&gt; "AS" &lt;string&gt;</w:t>
      </w:r>
      <w:r w:rsidRPr="0025530B">
        <w:rPr>
          <w:sz w:val="22"/>
          <w:szCs w:val="22"/>
        </w:rPr>
        <w:br/>
      </w:r>
      <w:r w:rsidRPr="0025530B">
        <w:rPr>
          <w:sz w:val="22"/>
          <w:szCs w:val="22"/>
        </w:rPr>
        <w:br/>
      </w:r>
      <w:r w:rsidRPr="0025530B">
        <w:rPr>
          <w:rStyle w:val="VerbatimChar"/>
          <w:sz w:val="20"/>
          <w:szCs w:val="22"/>
        </w:rPr>
        <w:t>&lt;numeric_constraint&gt;   ::= "BETWEEN" &lt;number&gt; "AND" &lt;number&gt;</w:t>
      </w:r>
      <w:r w:rsidRPr="0025530B">
        <w:rPr>
          <w:sz w:val="22"/>
          <w:szCs w:val="22"/>
        </w:rPr>
        <w:br/>
      </w:r>
      <w:r w:rsidRPr="0025530B">
        <w:rPr>
          <w:rStyle w:val="VerbatimChar"/>
          <w:sz w:val="20"/>
          <w:szCs w:val="22"/>
        </w:rPr>
        <w:t>&lt;date_constraint&gt;      ::= "BETWEEN" &lt;date&gt; "AND" (&lt;date&gt; | "TODAY")</w:t>
      </w:r>
      <w:r w:rsidRPr="0025530B">
        <w:rPr>
          <w:sz w:val="22"/>
          <w:szCs w:val="22"/>
        </w:rPr>
        <w:br/>
      </w:r>
      <w:r w:rsidRPr="0025530B">
        <w:rPr>
          <w:rStyle w:val="VerbatimChar"/>
          <w:sz w:val="20"/>
          <w:szCs w:val="22"/>
        </w:rPr>
        <w:t>&lt;currency_spec&gt;        ::= "CURRENCY" &lt;currency_code&gt;</w:t>
      </w:r>
      <w:r w:rsidRPr="0025530B">
        <w:rPr>
          <w:sz w:val="22"/>
          <w:szCs w:val="22"/>
        </w:rPr>
        <w:br/>
      </w:r>
      <w:r w:rsidRPr="0025530B">
        <w:rPr>
          <w:sz w:val="22"/>
          <w:szCs w:val="22"/>
        </w:rPr>
        <w:br/>
      </w:r>
      <w:r w:rsidRPr="0025530B">
        <w:rPr>
          <w:rStyle w:val="VerbatimChar"/>
          <w:sz w:val="20"/>
          <w:szCs w:val="22"/>
        </w:rPr>
        <w:t>&lt;default_value&gt;        ::= &lt;number&gt; | &lt;identifier&gt; | &lt;boolean_literal&gt; | &lt;date&gt;</w:t>
      </w:r>
      <w:r w:rsidRPr="0025530B">
        <w:rPr>
          <w:sz w:val="22"/>
          <w:szCs w:val="22"/>
        </w:rPr>
        <w:br/>
      </w:r>
      <w:r w:rsidRPr="0025530B">
        <w:rPr>
          <w:rStyle w:val="VerbatimChar"/>
          <w:sz w:val="20"/>
          <w:szCs w:val="22"/>
        </w:rPr>
        <w:t xml:space="preserve">                         | &lt;currency_literal&gt; | &lt;identifier_list&gt;</w:t>
      </w:r>
      <w:r w:rsidRPr="0025530B">
        <w:rPr>
          <w:sz w:val="22"/>
          <w:szCs w:val="22"/>
        </w:rPr>
        <w:br/>
      </w:r>
      <w:r w:rsidRPr="0025530B">
        <w:rPr>
          <w:rStyle w:val="VerbatimChar"/>
          <w:sz w:val="20"/>
          <w:szCs w:val="22"/>
        </w:rPr>
        <w:t>&lt;identifier_list&gt;      ::= &lt;identifier&gt; ("," &lt;identifier&gt;)*</w:t>
      </w:r>
      <w:r w:rsidRPr="0025530B">
        <w:rPr>
          <w:sz w:val="22"/>
          <w:szCs w:val="22"/>
        </w:rPr>
        <w:br/>
      </w:r>
      <w:r w:rsidRPr="0025530B">
        <w:rPr>
          <w:rStyle w:val="VerbatimChar"/>
          <w:sz w:val="20"/>
          <w:szCs w:val="22"/>
        </w:rPr>
        <w:t>&lt;boolean_literal&gt;      ::= "TRUE" | "FALSE"</w:t>
      </w:r>
      <w:r w:rsidRPr="0025530B">
        <w:rPr>
          <w:sz w:val="22"/>
          <w:szCs w:val="22"/>
        </w:rPr>
        <w:br/>
      </w:r>
      <w:r w:rsidRPr="0025530B">
        <w:rPr>
          <w:sz w:val="22"/>
          <w:szCs w:val="22"/>
        </w:rPr>
        <w:br/>
      </w:r>
      <w:r w:rsidRPr="0025530B">
        <w:rPr>
          <w:rStyle w:val="VerbatimChar"/>
          <w:sz w:val="20"/>
          <w:szCs w:val="22"/>
        </w:rPr>
        <w:t>(* Fee Computation *)</w:t>
      </w:r>
      <w:r w:rsidRPr="0025530B">
        <w:rPr>
          <w:sz w:val="22"/>
          <w:szCs w:val="22"/>
        </w:rPr>
        <w:br/>
      </w:r>
      <w:r w:rsidRPr="0025530B">
        <w:rPr>
          <w:rStyle w:val="VerbatimChar"/>
          <w:sz w:val="20"/>
          <w:szCs w:val="22"/>
        </w:rPr>
        <w:t>&lt;fee_computation&gt;      ::= "COMPUTE" "FEE" &lt;identifier&gt; ["OPTIONAL"]</w:t>
      </w:r>
      <w:r w:rsidRPr="0025530B">
        <w:rPr>
          <w:sz w:val="22"/>
          <w:szCs w:val="22"/>
        </w:rPr>
        <w:br/>
      </w:r>
      <w:r w:rsidRPr="0025530B">
        <w:rPr>
          <w:rStyle w:val="VerbatimChar"/>
          <w:sz w:val="20"/>
          <w:szCs w:val="22"/>
        </w:rPr>
        <w:t xml:space="preserve">                           &lt;let_statement&gt;* &lt;case_or_yield&gt;*</w:t>
      </w:r>
      <w:r w:rsidRPr="0025530B">
        <w:rPr>
          <w:sz w:val="22"/>
          <w:szCs w:val="22"/>
        </w:rPr>
        <w:br/>
      </w:r>
      <w:r w:rsidRPr="0025530B">
        <w:rPr>
          <w:rStyle w:val="VerbatimChar"/>
          <w:sz w:val="20"/>
          <w:szCs w:val="22"/>
        </w:rPr>
        <w:t xml:space="preserve">                           "ENDCOMPUTE"</w:t>
      </w:r>
      <w:r w:rsidRPr="0025530B">
        <w:rPr>
          <w:sz w:val="22"/>
          <w:szCs w:val="22"/>
        </w:rPr>
        <w:br/>
      </w:r>
      <w:r w:rsidRPr="0025530B">
        <w:rPr>
          <w:sz w:val="22"/>
          <w:szCs w:val="22"/>
        </w:rPr>
        <w:br/>
      </w:r>
      <w:r w:rsidRPr="0025530B">
        <w:rPr>
          <w:rStyle w:val="VerbatimChar"/>
          <w:sz w:val="20"/>
          <w:szCs w:val="22"/>
        </w:rPr>
        <w:t>&lt;let_statement&gt;        ::= "LET" &lt;identifier&gt; "AS" &lt;expression&gt;</w:t>
      </w:r>
      <w:r w:rsidRPr="0025530B">
        <w:rPr>
          <w:sz w:val="22"/>
          <w:szCs w:val="22"/>
        </w:rPr>
        <w:br/>
      </w:r>
      <w:r w:rsidRPr="0025530B">
        <w:rPr>
          <w:sz w:val="22"/>
          <w:szCs w:val="22"/>
        </w:rPr>
        <w:br/>
      </w:r>
      <w:r w:rsidRPr="0025530B">
        <w:rPr>
          <w:rStyle w:val="VerbatimChar"/>
          <w:sz w:val="20"/>
          <w:szCs w:val="22"/>
        </w:rPr>
        <w:t>&lt;case_or_yield&gt;        ::= &lt;case_block&gt; | &lt;yield_statement&gt;</w:t>
      </w:r>
      <w:r w:rsidRPr="0025530B">
        <w:rPr>
          <w:sz w:val="22"/>
          <w:szCs w:val="22"/>
        </w:rPr>
        <w:br/>
      </w:r>
      <w:r w:rsidRPr="0025530B">
        <w:rPr>
          <w:rStyle w:val="VerbatimChar"/>
          <w:sz w:val="20"/>
          <w:szCs w:val="22"/>
        </w:rPr>
        <w:t>&lt;case_block&gt;           ::= "CASE" &lt;condition&gt; "AS" &lt;yield_statement&gt;+ "ENDCASE"</w:t>
      </w:r>
      <w:r w:rsidRPr="0025530B">
        <w:rPr>
          <w:sz w:val="22"/>
          <w:szCs w:val="22"/>
        </w:rPr>
        <w:br/>
      </w:r>
      <w:r w:rsidRPr="0025530B">
        <w:rPr>
          <w:rStyle w:val="VerbatimChar"/>
          <w:sz w:val="20"/>
          <w:szCs w:val="22"/>
        </w:rPr>
        <w:t>&lt;yield_statement&gt;      ::= "YIELD" &lt;expression&gt; ["IF" &lt;condition&gt;]</w:t>
      </w:r>
      <w:r w:rsidRPr="0025530B">
        <w:rPr>
          <w:sz w:val="22"/>
          <w:szCs w:val="22"/>
        </w:rPr>
        <w:br/>
      </w:r>
      <w:r w:rsidRPr="0025530B">
        <w:rPr>
          <w:sz w:val="22"/>
          <w:szCs w:val="22"/>
        </w:rPr>
        <w:br/>
      </w:r>
      <w:r w:rsidRPr="0025530B">
        <w:rPr>
          <w:rStyle w:val="VerbatimChar"/>
          <w:sz w:val="20"/>
          <w:szCs w:val="22"/>
        </w:rPr>
        <w:t>(* Verification Directives *)</w:t>
      </w:r>
      <w:r w:rsidRPr="0025530B">
        <w:rPr>
          <w:sz w:val="22"/>
          <w:szCs w:val="22"/>
        </w:rPr>
        <w:br/>
      </w:r>
      <w:r w:rsidRPr="0025530B">
        <w:rPr>
          <w:rStyle w:val="VerbatimChar"/>
          <w:sz w:val="20"/>
          <w:szCs w:val="22"/>
        </w:rPr>
        <w:t>&lt;verification&gt;         ::= &lt;verify_complete&gt; | &lt;verify_monotonic&gt;</w:t>
      </w:r>
      <w:r w:rsidRPr="0025530B">
        <w:rPr>
          <w:sz w:val="22"/>
          <w:szCs w:val="22"/>
        </w:rPr>
        <w:br/>
      </w:r>
      <w:r w:rsidRPr="0025530B">
        <w:rPr>
          <w:rStyle w:val="VerbatimChar"/>
          <w:sz w:val="20"/>
          <w:szCs w:val="22"/>
        </w:rPr>
        <w:t>&lt;verify_complete&gt;      ::= "VERIFY" "COMPLETE" "FEE" &lt;identifier&gt;</w:t>
      </w:r>
      <w:r w:rsidRPr="0025530B">
        <w:rPr>
          <w:sz w:val="22"/>
          <w:szCs w:val="22"/>
        </w:rPr>
        <w:br/>
      </w:r>
      <w:r w:rsidRPr="0025530B">
        <w:rPr>
          <w:rStyle w:val="VerbatimChar"/>
          <w:sz w:val="20"/>
          <w:szCs w:val="22"/>
        </w:rPr>
        <w:t>&lt;verify_monotonic&gt;     ::= "VERIFY" "MONOTONIC" "FEE" &lt;identifier&gt;</w:t>
      </w:r>
      <w:r w:rsidRPr="0025530B">
        <w:rPr>
          <w:sz w:val="22"/>
          <w:szCs w:val="22"/>
        </w:rPr>
        <w:br/>
      </w:r>
      <w:r w:rsidRPr="0025530B">
        <w:rPr>
          <w:rStyle w:val="VerbatimChar"/>
          <w:sz w:val="20"/>
          <w:szCs w:val="22"/>
        </w:rPr>
        <w:lastRenderedPageBreak/>
        <w:t xml:space="preserve">                           "WITH" "RESPECT" "TO" &lt;identifier&gt;</w:t>
      </w:r>
      <w:r w:rsidRPr="0025530B">
        <w:rPr>
          <w:sz w:val="22"/>
          <w:szCs w:val="22"/>
        </w:rPr>
        <w:br/>
      </w:r>
      <w:r w:rsidRPr="0025530B">
        <w:rPr>
          <w:rStyle w:val="VerbatimChar"/>
          <w:sz w:val="20"/>
          <w:szCs w:val="22"/>
        </w:rPr>
        <w:t xml:space="preserve">                           ["DIRECTION" &lt;direction&gt;]</w:t>
      </w:r>
      <w:r w:rsidRPr="0025530B">
        <w:rPr>
          <w:sz w:val="22"/>
          <w:szCs w:val="22"/>
        </w:rPr>
        <w:br/>
      </w:r>
      <w:r w:rsidRPr="0025530B">
        <w:rPr>
          <w:rStyle w:val="VerbatimChar"/>
          <w:sz w:val="20"/>
          <w:szCs w:val="22"/>
        </w:rPr>
        <w:t>&lt;direction&gt;            ::= "NonDecreasing" | "NonIncreasing"</w:t>
      </w:r>
      <w:r w:rsidRPr="0025530B">
        <w:rPr>
          <w:sz w:val="22"/>
          <w:szCs w:val="22"/>
        </w:rPr>
        <w:br/>
      </w:r>
      <w:r w:rsidRPr="0025530B">
        <w:rPr>
          <w:rStyle w:val="VerbatimChar"/>
          <w:sz w:val="20"/>
          <w:szCs w:val="22"/>
        </w:rPr>
        <w:t xml:space="preserve">                         | "StrictlyIncreasing" | "StrictlyDecreasing"</w:t>
      </w:r>
      <w:r w:rsidRPr="0025530B">
        <w:rPr>
          <w:sz w:val="22"/>
          <w:szCs w:val="22"/>
        </w:rPr>
        <w:br/>
      </w:r>
      <w:r w:rsidRPr="0025530B">
        <w:rPr>
          <w:sz w:val="22"/>
          <w:szCs w:val="22"/>
        </w:rPr>
        <w:br/>
      </w:r>
      <w:r w:rsidRPr="0025530B">
        <w:rPr>
          <w:rStyle w:val="VerbatimChar"/>
          <w:sz w:val="20"/>
          <w:szCs w:val="22"/>
        </w:rPr>
        <w:t>(* Return Statement *)</w:t>
      </w:r>
      <w:r w:rsidRPr="0025530B">
        <w:rPr>
          <w:sz w:val="22"/>
          <w:szCs w:val="22"/>
        </w:rPr>
        <w:br/>
      </w:r>
      <w:r w:rsidRPr="0025530B">
        <w:rPr>
          <w:rStyle w:val="VerbatimChar"/>
          <w:sz w:val="20"/>
          <w:szCs w:val="22"/>
        </w:rPr>
        <w:t>&lt;return&gt;               ::= "RETURN" &lt;identifier&gt; "AS" &lt;string&gt;</w:t>
      </w:r>
      <w:r w:rsidRPr="0025530B">
        <w:rPr>
          <w:sz w:val="22"/>
          <w:szCs w:val="22"/>
        </w:rPr>
        <w:br/>
      </w:r>
      <w:r w:rsidRPr="0025530B">
        <w:rPr>
          <w:sz w:val="22"/>
          <w:szCs w:val="22"/>
        </w:rPr>
        <w:br/>
      </w:r>
      <w:r w:rsidRPr="0025530B">
        <w:rPr>
          <w:rStyle w:val="VerbatimChar"/>
          <w:sz w:val="20"/>
          <w:szCs w:val="22"/>
        </w:rPr>
        <w:t>(* Expressions *)</w:t>
      </w:r>
      <w:r w:rsidRPr="0025530B">
        <w:rPr>
          <w:sz w:val="22"/>
          <w:szCs w:val="22"/>
        </w:rPr>
        <w:br/>
      </w:r>
      <w:r w:rsidRPr="0025530B">
        <w:rPr>
          <w:rStyle w:val="VerbatimChar"/>
          <w:sz w:val="20"/>
          <w:szCs w:val="22"/>
        </w:rPr>
        <w:t>&lt;expression&gt;           ::= &lt;term&gt; (("+" | "-") &lt;term&gt;)*</w:t>
      </w:r>
      <w:r w:rsidRPr="0025530B">
        <w:rPr>
          <w:sz w:val="22"/>
          <w:szCs w:val="22"/>
        </w:rPr>
        <w:br/>
      </w:r>
      <w:r w:rsidRPr="0025530B">
        <w:rPr>
          <w:rStyle w:val="VerbatimChar"/>
          <w:sz w:val="20"/>
          <w:szCs w:val="22"/>
        </w:rPr>
        <w:t>&lt;term&gt;                 ::= &lt;factor&gt; (("*" | "/") &lt;factor&gt;)*</w:t>
      </w:r>
      <w:r w:rsidRPr="0025530B">
        <w:rPr>
          <w:sz w:val="22"/>
          <w:szCs w:val="22"/>
        </w:rPr>
        <w:br/>
      </w:r>
      <w:r w:rsidRPr="0025530B">
        <w:rPr>
          <w:rStyle w:val="VerbatimChar"/>
          <w:sz w:val="20"/>
          <w:szCs w:val="22"/>
        </w:rPr>
        <w:t>&lt;factor&gt;               ::= &lt;number&gt; | &lt;currency_literal&gt; | &lt;identifier&gt;</w:t>
      </w:r>
      <w:r w:rsidRPr="0025530B">
        <w:rPr>
          <w:sz w:val="22"/>
          <w:szCs w:val="22"/>
        </w:rPr>
        <w:br/>
      </w:r>
      <w:r w:rsidRPr="0025530B">
        <w:rPr>
          <w:rStyle w:val="VerbatimChar"/>
          <w:sz w:val="20"/>
          <w:szCs w:val="22"/>
        </w:rPr>
        <w:t xml:space="preserve">                         | &lt;property_access&gt; | &lt;function_call&gt; | "(" &lt;expression&gt; ")"</w:t>
      </w:r>
      <w:r w:rsidRPr="0025530B">
        <w:rPr>
          <w:sz w:val="22"/>
          <w:szCs w:val="22"/>
        </w:rPr>
        <w:br/>
      </w:r>
      <w:r w:rsidRPr="0025530B">
        <w:rPr>
          <w:sz w:val="22"/>
          <w:szCs w:val="22"/>
        </w:rPr>
        <w:br/>
      </w:r>
      <w:r w:rsidRPr="0025530B">
        <w:rPr>
          <w:rStyle w:val="VerbatimChar"/>
          <w:sz w:val="20"/>
          <w:szCs w:val="22"/>
        </w:rPr>
        <w:t>&lt;currency_literal&gt;     ::= &lt;number&gt; "&lt;" &lt;currency_code&gt; "&gt;"</w:t>
      </w:r>
      <w:r w:rsidRPr="0025530B">
        <w:rPr>
          <w:sz w:val="22"/>
          <w:szCs w:val="22"/>
        </w:rPr>
        <w:br/>
      </w:r>
      <w:r w:rsidRPr="0025530B">
        <w:rPr>
          <w:rStyle w:val="VerbatimChar"/>
          <w:sz w:val="20"/>
          <w:szCs w:val="22"/>
        </w:rPr>
        <w:t>&lt;property_access&gt;      ::= &lt;identifier&gt; "!" &lt;property_name&gt;</w:t>
      </w:r>
      <w:r w:rsidRPr="0025530B">
        <w:rPr>
          <w:sz w:val="22"/>
          <w:szCs w:val="22"/>
        </w:rPr>
        <w:br/>
      </w:r>
      <w:r w:rsidRPr="0025530B">
        <w:rPr>
          <w:rStyle w:val="VerbatimChar"/>
          <w:sz w:val="20"/>
          <w:szCs w:val="22"/>
        </w:rPr>
        <w:t>&lt;property_name&gt;        ::= "COUNT" | "YEARSTONOW" | "MONTHSTONOW" | "DAYSTONOW"</w:t>
      </w:r>
      <w:r w:rsidRPr="0025530B">
        <w:rPr>
          <w:sz w:val="22"/>
          <w:szCs w:val="22"/>
        </w:rPr>
        <w:br/>
      </w:r>
      <w:r w:rsidRPr="0025530B">
        <w:rPr>
          <w:rStyle w:val="VerbatimChar"/>
          <w:sz w:val="20"/>
          <w:szCs w:val="22"/>
        </w:rPr>
        <w:t xml:space="preserve">                         | "MONTHSTONOW_FROMLASTDAY"</w:t>
      </w:r>
      <w:r w:rsidRPr="0025530B">
        <w:rPr>
          <w:sz w:val="22"/>
          <w:szCs w:val="22"/>
        </w:rPr>
        <w:br/>
      </w:r>
      <w:r w:rsidRPr="0025530B">
        <w:rPr>
          <w:sz w:val="22"/>
          <w:szCs w:val="22"/>
        </w:rPr>
        <w:br/>
      </w:r>
      <w:r w:rsidRPr="0025530B">
        <w:rPr>
          <w:rStyle w:val="VerbatimChar"/>
          <w:sz w:val="20"/>
          <w:szCs w:val="22"/>
        </w:rPr>
        <w:t>&lt;function_call&gt;        ::= ("ROUND" | "FLOOR" | "CEIL") "(" &lt;expression&gt; ")"</w:t>
      </w:r>
      <w:r w:rsidRPr="0025530B">
        <w:rPr>
          <w:sz w:val="22"/>
          <w:szCs w:val="22"/>
        </w:rPr>
        <w:br/>
      </w:r>
      <w:r w:rsidRPr="0025530B">
        <w:rPr>
          <w:rStyle w:val="VerbatimChar"/>
          <w:sz w:val="20"/>
          <w:szCs w:val="22"/>
        </w:rPr>
        <w:t xml:space="preserve">                         | "CONVERT" "(" &lt;expression&gt; "," &lt;currency_code&gt; "," &lt;currency_code&gt; ")"</w:t>
      </w:r>
      <w:r w:rsidRPr="0025530B">
        <w:rPr>
          <w:sz w:val="22"/>
          <w:szCs w:val="22"/>
        </w:rPr>
        <w:br/>
      </w:r>
      <w:r w:rsidRPr="0025530B">
        <w:rPr>
          <w:sz w:val="22"/>
          <w:szCs w:val="22"/>
        </w:rPr>
        <w:br/>
      </w:r>
      <w:r w:rsidRPr="0025530B">
        <w:rPr>
          <w:rStyle w:val="VerbatimChar"/>
          <w:sz w:val="20"/>
          <w:szCs w:val="22"/>
        </w:rPr>
        <w:t>(* Conditions *)</w:t>
      </w:r>
      <w:r w:rsidRPr="0025530B">
        <w:rPr>
          <w:sz w:val="22"/>
          <w:szCs w:val="22"/>
        </w:rPr>
        <w:br/>
      </w:r>
      <w:r w:rsidRPr="0025530B">
        <w:rPr>
          <w:rStyle w:val="VerbatimChar"/>
          <w:sz w:val="20"/>
          <w:szCs w:val="22"/>
        </w:rPr>
        <w:t>&lt;condition&gt;            ::= &lt;or_condition&gt;</w:t>
      </w:r>
      <w:r w:rsidRPr="0025530B">
        <w:rPr>
          <w:sz w:val="22"/>
          <w:szCs w:val="22"/>
        </w:rPr>
        <w:br/>
      </w:r>
      <w:r w:rsidRPr="0025530B">
        <w:rPr>
          <w:rStyle w:val="VerbatimChar"/>
          <w:sz w:val="20"/>
          <w:szCs w:val="22"/>
        </w:rPr>
        <w:t>&lt;or_condition&gt;         ::= &lt;and_condition&gt; ("OR" &lt;and_condition&gt;)*</w:t>
      </w:r>
      <w:r w:rsidRPr="0025530B">
        <w:rPr>
          <w:sz w:val="22"/>
          <w:szCs w:val="22"/>
        </w:rPr>
        <w:br/>
      </w:r>
      <w:r w:rsidRPr="0025530B">
        <w:rPr>
          <w:rStyle w:val="VerbatimChar"/>
          <w:sz w:val="20"/>
          <w:szCs w:val="22"/>
        </w:rPr>
        <w:t>&lt;and_condition&gt;        ::= &lt;primary_condition&gt; ("AND" &lt;primary_condition&gt;)*</w:t>
      </w:r>
      <w:r w:rsidRPr="0025530B">
        <w:rPr>
          <w:sz w:val="22"/>
          <w:szCs w:val="22"/>
        </w:rPr>
        <w:br/>
      </w:r>
      <w:r w:rsidRPr="0025530B">
        <w:rPr>
          <w:rStyle w:val="VerbatimChar"/>
          <w:sz w:val="20"/>
          <w:szCs w:val="22"/>
        </w:rPr>
        <w:t>&lt;primary_condition&gt;    ::= &lt;expression&gt; &lt;comparison_op&gt; &lt;expression&gt;</w:t>
      </w:r>
      <w:r w:rsidRPr="0025530B">
        <w:rPr>
          <w:sz w:val="22"/>
          <w:szCs w:val="22"/>
        </w:rPr>
        <w:br/>
      </w:r>
      <w:r w:rsidRPr="0025530B">
        <w:rPr>
          <w:rStyle w:val="VerbatimChar"/>
          <w:sz w:val="20"/>
          <w:szCs w:val="22"/>
        </w:rPr>
        <w:t xml:space="preserve">                         | &lt;identifier&gt; ("IN" | "NIN") &lt;identifier&gt;</w:t>
      </w:r>
      <w:r w:rsidRPr="0025530B">
        <w:rPr>
          <w:sz w:val="22"/>
          <w:szCs w:val="22"/>
        </w:rPr>
        <w:br/>
      </w:r>
      <w:r w:rsidRPr="0025530B">
        <w:rPr>
          <w:rStyle w:val="VerbatimChar"/>
          <w:sz w:val="20"/>
          <w:szCs w:val="22"/>
        </w:rPr>
        <w:t xml:space="preserve">                         | &lt;identifier&gt;   (* Boolean variable reference *)</w:t>
      </w:r>
      <w:r w:rsidRPr="0025530B">
        <w:rPr>
          <w:sz w:val="22"/>
          <w:szCs w:val="22"/>
        </w:rPr>
        <w:br/>
      </w:r>
      <w:r w:rsidRPr="0025530B">
        <w:rPr>
          <w:rStyle w:val="VerbatimChar"/>
          <w:sz w:val="20"/>
          <w:szCs w:val="22"/>
        </w:rPr>
        <w:t xml:space="preserve">                         | "(" &lt;condition&gt; ")"</w:t>
      </w:r>
      <w:r w:rsidRPr="0025530B">
        <w:rPr>
          <w:sz w:val="22"/>
          <w:szCs w:val="22"/>
        </w:rPr>
        <w:br/>
      </w:r>
      <w:r w:rsidRPr="0025530B">
        <w:rPr>
          <w:sz w:val="22"/>
          <w:szCs w:val="22"/>
        </w:rPr>
        <w:br/>
      </w:r>
      <w:r w:rsidRPr="0025530B">
        <w:rPr>
          <w:rStyle w:val="VerbatimChar"/>
          <w:sz w:val="20"/>
          <w:szCs w:val="22"/>
        </w:rPr>
        <w:t>&lt;comparison_op&gt;        ::= "EQ" | "NEQ" | "GT" | "LT" | "GTE" | "LTE"</w:t>
      </w:r>
      <w:r w:rsidRPr="0025530B">
        <w:rPr>
          <w:sz w:val="22"/>
          <w:szCs w:val="22"/>
        </w:rPr>
        <w:br/>
      </w:r>
      <w:r w:rsidRPr="0025530B">
        <w:rPr>
          <w:sz w:val="22"/>
          <w:szCs w:val="22"/>
        </w:rPr>
        <w:br/>
      </w:r>
      <w:r w:rsidRPr="0025530B">
        <w:rPr>
          <w:rStyle w:val="VerbatimChar"/>
          <w:sz w:val="20"/>
          <w:szCs w:val="22"/>
        </w:rPr>
        <w:t>(* Lexical Elements *)</w:t>
      </w:r>
      <w:r w:rsidRPr="0025530B">
        <w:rPr>
          <w:sz w:val="22"/>
          <w:szCs w:val="22"/>
        </w:rPr>
        <w:br/>
      </w:r>
      <w:r w:rsidRPr="0025530B">
        <w:rPr>
          <w:rStyle w:val="VerbatimChar"/>
          <w:sz w:val="20"/>
          <w:szCs w:val="22"/>
        </w:rPr>
        <w:t>&lt;identifier&gt;           ::= &lt;letter&gt; (&lt;letter&gt; | &lt;digit&gt; | "_")*</w:t>
      </w:r>
      <w:r w:rsidRPr="0025530B">
        <w:rPr>
          <w:sz w:val="22"/>
          <w:szCs w:val="22"/>
        </w:rPr>
        <w:br/>
      </w:r>
      <w:r w:rsidRPr="0025530B">
        <w:rPr>
          <w:rStyle w:val="VerbatimChar"/>
          <w:sz w:val="20"/>
          <w:szCs w:val="22"/>
        </w:rPr>
        <w:t>&lt;number&gt;               ::= &lt;digit&gt;+ ("." &lt;digit&gt;+)?</w:t>
      </w:r>
      <w:r w:rsidRPr="0025530B">
        <w:rPr>
          <w:sz w:val="22"/>
          <w:szCs w:val="22"/>
        </w:rPr>
        <w:br/>
      </w:r>
      <w:r w:rsidRPr="0025530B">
        <w:rPr>
          <w:rStyle w:val="VerbatimChar"/>
          <w:sz w:val="20"/>
          <w:szCs w:val="22"/>
        </w:rPr>
        <w:t>&lt;string&gt;               ::= "'" {&lt;any_char&gt; - "'"} "'"</w:t>
      </w:r>
      <w:r w:rsidRPr="0025530B">
        <w:rPr>
          <w:sz w:val="22"/>
          <w:szCs w:val="22"/>
        </w:rPr>
        <w:br/>
      </w:r>
      <w:r w:rsidRPr="0025530B">
        <w:rPr>
          <w:rStyle w:val="VerbatimChar"/>
          <w:sz w:val="20"/>
          <w:szCs w:val="22"/>
        </w:rPr>
        <w:t>&lt;currency_code&gt;        ::= &lt;upper_letter&gt; &lt;upper_letter&gt; &lt;upper_letter&gt;</w:t>
      </w:r>
      <w:r w:rsidRPr="0025530B">
        <w:rPr>
          <w:sz w:val="22"/>
          <w:szCs w:val="22"/>
        </w:rPr>
        <w:br/>
      </w:r>
      <w:r w:rsidRPr="0025530B">
        <w:rPr>
          <w:rStyle w:val="VerbatimChar"/>
          <w:sz w:val="20"/>
          <w:szCs w:val="22"/>
        </w:rPr>
        <w:t>&lt;date&gt;                 ::= &lt;day&gt; "." &lt;month&gt; "." &lt;year&gt; | "TODAY"</w:t>
      </w:r>
      <w:r w:rsidRPr="0025530B">
        <w:rPr>
          <w:sz w:val="22"/>
          <w:szCs w:val="22"/>
        </w:rPr>
        <w:br/>
      </w:r>
      <w:r w:rsidRPr="0025530B">
        <w:rPr>
          <w:rStyle w:val="VerbatimChar"/>
          <w:sz w:val="20"/>
          <w:szCs w:val="22"/>
        </w:rPr>
        <w:t>&lt;day&gt;                  ::= &lt;digit&gt; &lt;digit&gt;?</w:t>
      </w:r>
      <w:r w:rsidRPr="0025530B">
        <w:rPr>
          <w:sz w:val="22"/>
          <w:szCs w:val="22"/>
        </w:rPr>
        <w:br/>
      </w:r>
      <w:r w:rsidRPr="0025530B">
        <w:rPr>
          <w:rStyle w:val="VerbatimChar"/>
          <w:sz w:val="20"/>
          <w:szCs w:val="22"/>
        </w:rPr>
        <w:t>&lt;month&gt;                ::= &lt;digit&gt; &lt;digit&gt;?</w:t>
      </w:r>
      <w:r w:rsidRPr="0025530B">
        <w:rPr>
          <w:sz w:val="22"/>
          <w:szCs w:val="22"/>
        </w:rPr>
        <w:br/>
      </w:r>
      <w:r w:rsidRPr="0025530B">
        <w:rPr>
          <w:rStyle w:val="VerbatimChar"/>
          <w:sz w:val="20"/>
          <w:szCs w:val="22"/>
        </w:rPr>
        <w:t>&lt;year&gt;                 ::= &lt;digit&gt; &lt;digit&gt; &lt;digit&gt; &lt;digit&gt;</w:t>
      </w:r>
      <w:r w:rsidRPr="0025530B">
        <w:rPr>
          <w:sz w:val="22"/>
          <w:szCs w:val="22"/>
        </w:rPr>
        <w:br/>
      </w:r>
      <w:r w:rsidRPr="0025530B">
        <w:rPr>
          <w:rStyle w:val="VerbatimChar"/>
          <w:sz w:val="20"/>
          <w:szCs w:val="22"/>
        </w:rPr>
        <w:t>&lt;letter&gt;               ::= "A" | ... | "Z" | "a" | ... | "z"</w:t>
      </w:r>
      <w:r w:rsidRPr="0025530B">
        <w:rPr>
          <w:sz w:val="22"/>
          <w:szCs w:val="22"/>
        </w:rPr>
        <w:br/>
      </w:r>
      <w:r w:rsidRPr="0025530B">
        <w:rPr>
          <w:rStyle w:val="VerbatimChar"/>
          <w:sz w:val="20"/>
          <w:szCs w:val="22"/>
        </w:rPr>
        <w:t>&lt;upper_letter&gt;         ::= "A" | ... | "Z"</w:t>
      </w:r>
      <w:r w:rsidRPr="0025530B">
        <w:rPr>
          <w:sz w:val="22"/>
          <w:szCs w:val="22"/>
        </w:rPr>
        <w:br/>
      </w:r>
      <w:r w:rsidRPr="0025530B">
        <w:rPr>
          <w:rStyle w:val="VerbatimChar"/>
          <w:sz w:val="20"/>
          <w:szCs w:val="22"/>
        </w:rPr>
        <w:t>&lt;digit&gt;                ::= "0" | ... | "9"</w:t>
      </w:r>
    </w:p>
    <w:p w14:paraId="10EC64AC" w14:textId="77777777" w:rsidR="00CD4C2C"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185C95E1" w14:textId="77777777" w:rsidR="00CD4C2C" w:rsidRDefault="00000000">
      <w:pPr>
        <w:pStyle w:val="Heading2"/>
      </w:pPr>
      <w:bookmarkStart w:id="29" w:name="type-system-and-static-verification"/>
      <w:bookmarkEnd w:id="12"/>
      <w:bookmarkEnd w:id="28"/>
      <w:r>
        <w:t>4. Type System and Static Verification</w:t>
      </w:r>
    </w:p>
    <w:p w14:paraId="32EE9EB9" w14:textId="77777777" w:rsidR="00CD4C2C" w:rsidRDefault="00000000">
      <w:pPr>
        <w:pStyle w:val="Heading3"/>
      </w:pPr>
      <w:bookmarkStart w:id="30" w:name="currency-aware-type-system"/>
      <w:r>
        <w:t>4.1 Currency-Aware Type System</w:t>
      </w:r>
    </w:p>
    <w:p w14:paraId="074BEBB6" w14:textId="77777777" w:rsidR="00CD4C2C" w:rsidRDefault="00000000">
      <w:pPr>
        <w:pStyle w:val="FirstParagraph"/>
      </w:pPr>
      <w:r>
        <w:t xml:space="preserve">IPFLang employs a dimensional type system preventing cross-currency arithmetic errors at compile time, analogous to units-of-measure checking in scientific computing </w:t>
      </w:r>
      <w:r>
        <w:lastRenderedPageBreak/>
        <w:t>[11]. The system supports all 161 ISO 4217 currency codes. The approach to currency as a type parameter draws on similar patterns in language standards for monetary computation, such as JSR-354 (Java Money and Currency API) [24], which defines standard interfaces for representing and manipulating monetary amounts in type-safe ways.</w:t>
      </w:r>
    </w:p>
    <w:p w14:paraId="069E6A0E" w14:textId="77777777" w:rsidR="00CD4C2C" w:rsidRDefault="00000000">
      <w:pPr>
        <w:pStyle w:val="BodyText"/>
      </w:pPr>
      <w:r>
        <w:rPr>
          <w:b/>
          <w:bCs/>
        </w:rPr>
        <w:t>[INSERT FIGURE 3: figures/figure6_type_hierarchy.mmd - IPFLang Type Hierarchy and Currency Typing Rules]</w:t>
      </w:r>
    </w:p>
    <w:p w14:paraId="065752C3" w14:textId="77777777" w:rsidR="00CD4C2C" w:rsidRDefault="00000000">
      <w:pPr>
        <w:pStyle w:val="Heading4"/>
      </w:pPr>
      <w:bookmarkStart w:id="31" w:name="type-language"/>
      <w:r>
        <w:t>4.1.1 Type Language</w:t>
      </w:r>
    </w:p>
    <w:p w14:paraId="5F0EB4BE" w14:textId="77777777" w:rsidR="00CD4C2C" w:rsidRDefault="00000000">
      <w:pPr>
        <w:pStyle w:val="FirstParagraph"/>
      </w:pPr>
      <w:r>
        <w:t>The type language extends basic types with currency-parameterized amounts:</w:t>
      </w:r>
    </w:p>
    <w:p w14:paraId="5238B5D0" w14:textId="77777777" w:rsidR="00CD4C2C" w:rsidRDefault="00000000">
      <w:pPr>
        <w:pStyle w:val="BodyText"/>
      </w:pPr>
      <w:r>
        <w:t xml:space="preserve">  τ ::= Num | Bool | Sym | Date | StrList | Amt[c] | α  </w:t>
      </w:r>
    </w:p>
    <w:p w14:paraId="64A3CFC4" w14:textId="77777777" w:rsidR="00CD4C2C" w:rsidRDefault="00000000">
      <w:pPr>
        <w:pStyle w:val="BodyText"/>
      </w:pPr>
      <w:r>
        <w:t xml:space="preserve">where: - </w:t>
      </w:r>
      <w:r>
        <w:rPr>
          <w:rStyle w:val="VerbatimChar"/>
        </w:rPr>
        <w:t>Num</w:t>
      </w:r>
      <w:r>
        <w:t xml:space="preserve"> represents dimensionless numbers - </w:t>
      </w:r>
      <w:r>
        <w:rPr>
          <w:rStyle w:val="VerbatimChar"/>
        </w:rPr>
        <w:t>Bool</w:t>
      </w:r>
      <w:r>
        <w:t xml:space="preserve"> represents Boolean values - </w:t>
      </w:r>
      <w:r>
        <w:rPr>
          <w:rStyle w:val="VerbatimChar"/>
        </w:rPr>
        <w:t>Sym</w:t>
      </w:r>
      <w:r>
        <w:t xml:space="preserve"> represents symbolic identifiers (LIST choices) - </w:t>
      </w:r>
      <w:r>
        <w:rPr>
          <w:rStyle w:val="VerbatimChar"/>
        </w:rPr>
        <w:t>Date</w:t>
      </w:r>
      <w:r>
        <w:t xml:space="preserve"> represents date values - </w:t>
      </w:r>
      <w:r>
        <w:rPr>
          <w:rStyle w:val="VerbatimChar"/>
        </w:rPr>
        <w:t>StrList</w:t>
      </w:r>
      <w:r>
        <w:t xml:space="preserve"> represents string lists (MULTILIST selections) - </w:t>
      </w:r>
      <w:r>
        <w:rPr>
          <w:rStyle w:val="VerbatimChar"/>
        </w:rPr>
        <w:t>Amt[c]</w:t>
      </w:r>
      <w:r>
        <w:t xml:space="preserve"> represents monetary amounts in currency c ∈ ISO-4217 - </w:t>
      </w:r>
      <w:r>
        <w:rPr>
          <w:rStyle w:val="VerbatimChar"/>
        </w:rPr>
        <w:t>α</w:t>
      </w:r>
      <w:r>
        <w:t xml:space="preserve"> represents type variables for polymorphic fee definitions</w:t>
      </w:r>
    </w:p>
    <w:p w14:paraId="7B667EEC" w14:textId="77777777" w:rsidR="00CD4C2C" w:rsidRDefault="00000000">
      <w:pPr>
        <w:pStyle w:val="Heading4"/>
      </w:pPr>
      <w:bookmarkStart w:id="32" w:name="typing-rules"/>
      <w:bookmarkEnd w:id="31"/>
      <w:r>
        <w:t>4.1.2 Typing Rules</w:t>
      </w:r>
    </w:p>
    <w:p w14:paraId="26201314" w14:textId="77777777" w:rsidR="00CD4C2C" w:rsidRDefault="00000000">
      <w:pPr>
        <w:pStyle w:val="FirstParagraph"/>
      </w:pPr>
      <w:r>
        <w:t>Let Γ denote a typing environment mapping identifiers to types, written Γ(x) = τ. We define the typing judgment Γ ⊢ e : τ, meaning “under environment Γ, expression e has type τ.”</w:t>
      </w:r>
    </w:p>
    <w:p w14:paraId="3788BD1C" w14:textId="77777777" w:rsidR="00CD4C2C" w:rsidRDefault="00000000">
      <w:pPr>
        <w:pStyle w:val="BodyText"/>
      </w:pPr>
      <w:r>
        <w:rPr>
          <w:b/>
          <w:bCs/>
        </w:rPr>
        <w:t>Literals and Variables:</w:t>
      </w:r>
    </w:p>
    <w:p w14:paraId="13CBA2A8" w14:textId="77777777" w:rsidR="00CD4C2C" w:rsidRDefault="00000000">
      <w:pPr>
        <w:pStyle w:val="BodyText"/>
      </w:pPr>
      <w:r>
        <w:t xml:space="preserve">    [T-NUM]    Γ⊢n:Num     </w:t>
      </w:r>
    </w:p>
    <w:p w14:paraId="062BC573" w14:textId="77777777" w:rsidR="00CD4C2C" w:rsidRDefault="00000000">
      <w:pPr>
        <w:pStyle w:val="BodyText"/>
      </w:pPr>
      <w:r>
        <w:t xml:space="preserve">    [T-VAR]   Γ(x)=τ Γ⊢x:τ     </w:t>
      </w:r>
    </w:p>
    <w:p w14:paraId="58428C04" w14:textId="77777777" w:rsidR="00CD4C2C" w:rsidRDefault="00000000">
      <w:pPr>
        <w:pStyle w:val="BodyText"/>
      </w:pPr>
      <w:r>
        <w:t xml:space="preserve">    [T-CURR]   c∈ISO-4217 Γ⊢n⟨c⟩:Amt[c]     </w:t>
      </w:r>
    </w:p>
    <w:p w14:paraId="0C025AFC" w14:textId="77777777" w:rsidR="00CD4C2C" w:rsidRDefault="00000000">
      <w:pPr>
        <w:pStyle w:val="BodyText"/>
      </w:pPr>
      <w:r>
        <w:rPr>
          <w:b/>
          <w:bCs/>
        </w:rPr>
        <w:t>Arithmetic Operations:</w:t>
      </w:r>
    </w:p>
    <w:p w14:paraId="51692DBE" w14:textId="0755B689" w:rsidR="00CD4C2C" w:rsidRDefault="00000000">
      <w:pPr>
        <w:pStyle w:val="BodyText"/>
      </w:pPr>
      <w:r>
        <w:t xml:space="preserve">    [T-ADD-</w:t>
      </w:r>
      <w:proofErr w:type="gramStart"/>
      <w:r>
        <w:t xml:space="preserve">NUM]   </w:t>
      </w:r>
      <w:proofErr w:type="gramEnd"/>
      <w:r>
        <w:t>Γ⊢e</w:t>
      </w:r>
      <w:proofErr w:type="gramStart"/>
      <w:r>
        <w:t>1:Num</w:t>
      </w:r>
      <w:proofErr w:type="gramEnd"/>
      <w:r w:rsidR="0025530B">
        <w:t xml:space="preserve"> </w:t>
      </w:r>
      <w:r>
        <w:t>Γ⊢e</w:t>
      </w:r>
      <w:proofErr w:type="gramStart"/>
      <w:r>
        <w:t>2:Num</w:t>
      </w:r>
      <w:proofErr w:type="gramEnd"/>
      <w:r>
        <w:t xml:space="preserve"> Γ⊢e1+e</w:t>
      </w:r>
      <w:proofErr w:type="gramStart"/>
      <w:r>
        <w:t>2:Num</w:t>
      </w:r>
      <w:proofErr w:type="gramEnd"/>
      <w:r>
        <w:t xml:space="preserve">     </w:t>
      </w:r>
    </w:p>
    <w:p w14:paraId="4B0CB4B4" w14:textId="7E484BC1" w:rsidR="00CD4C2C" w:rsidRDefault="00000000">
      <w:pPr>
        <w:pStyle w:val="BodyText"/>
      </w:pPr>
      <w:r>
        <w:t xml:space="preserve">    [T-ADD-</w:t>
      </w:r>
      <w:proofErr w:type="gramStart"/>
      <w:r>
        <w:t xml:space="preserve">AMT]   </w:t>
      </w:r>
      <w:proofErr w:type="gramEnd"/>
      <w:r>
        <w:t>Γ⊢e</w:t>
      </w:r>
      <w:proofErr w:type="gramStart"/>
      <w:r>
        <w:t>1:Amt</w:t>
      </w:r>
      <w:proofErr w:type="gramEnd"/>
      <w:r>
        <w:t>[c]</w:t>
      </w:r>
      <w:r w:rsidR="0025530B">
        <w:t xml:space="preserve"> </w:t>
      </w:r>
      <w:r>
        <w:t>Γ⊢e</w:t>
      </w:r>
      <w:proofErr w:type="gramStart"/>
      <w:r>
        <w:t>2:Amt</w:t>
      </w:r>
      <w:proofErr w:type="gramEnd"/>
      <w:r>
        <w:t>[c] Γ⊢e1+e</w:t>
      </w:r>
      <w:proofErr w:type="gramStart"/>
      <w:r>
        <w:t>2:Amt</w:t>
      </w:r>
      <w:proofErr w:type="gramEnd"/>
      <w:r>
        <w:t xml:space="preserve">[c]     </w:t>
      </w:r>
    </w:p>
    <w:p w14:paraId="417D3FB2" w14:textId="77777777" w:rsidR="00CD4C2C" w:rsidRDefault="00000000">
      <w:pPr>
        <w:pStyle w:val="BodyText"/>
      </w:pPr>
      <w:r>
        <w:t xml:space="preserve">    [T-MUL-SCALAR-R]   Γ⊢e1:Amt[c]Γ⊢e2:Num Γ⊢e1×e2:Amt[c]     </w:t>
      </w:r>
    </w:p>
    <w:p w14:paraId="7D01757D" w14:textId="77777777" w:rsidR="00CD4C2C" w:rsidRDefault="00000000">
      <w:pPr>
        <w:pStyle w:val="BodyText"/>
      </w:pPr>
      <w:r>
        <w:t xml:space="preserve">    [T-MUL-SCALAR-L]   Γ⊢e1:NumΓ⊢e2:Amt[c] Γ⊢e1×e2:Amt[c]     </w:t>
      </w:r>
    </w:p>
    <w:p w14:paraId="3C0536D8" w14:textId="77777777" w:rsidR="00CD4C2C" w:rsidRDefault="00000000">
      <w:pPr>
        <w:pStyle w:val="BodyText"/>
      </w:pPr>
      <w:r>
        <w:t xml:space="preserve">The rule T-ADD-AMT is critical: it requires both operands to have identical currency tags. No rule permits </w:t>
      </w:r>
      <w:r>
        <w:rPr>
          <w:rStyle w:val="VerbatimChar"/>
        </w:rPr>
        <w:t>Amt[c₁] + Amt[c₂]</w:t>
      </w:r>
      <w:r>
        <w:t xml:space="preserve"> when c₁ ≠ c₂. The rules T-MUL-SCALAR-R and T-MUL-SCALAR-L ensure scalar multiplication is commutative: both </w:t>
      </w:r>
      <w:r>
        <w:rPr>
          <w:rStyle w:val="VerbatimChar"/>
        </w:rPr>
        <w:t>amount * scalar</w:t>
      </w:r>
      <w:r>
        <w:t xml:space="preserve"> and </w:t>
      </w:r>
      <w:r>
        <w:rPr>
          <w:rStyle w:val="VerbatimChar"/>
        </w:rPr>
        <w:t>scalar * amount</w:t>
      </w:r>
      <w:r>
        <w:t xml:space="preserve"> are well-typed.</w:t>
      </w:r>
    </w:p>
    <w:p w14:paraId="2F15CED1" w14:textId="77777777" w:rsidR="00CD4C2C" w:rsidRDefault="00000000">
      <w:pPr>
        <w:pStyle w:val="BodyText"/>
      </w:pPr>
      <w:r>
        <w:rPr>
          <w:b/>
          <w:bCs/>
        </w:rPr>
        <w:t>Currency Conversion:</w:t>
      </w:r>
    </w:p>
    <w:p w14:paraId="72ABF34D" w14:textId="77777777" w:rsidR="00CD4C2C" w:rsidRDefault="00000000">
      <w:pPr>
        <w:pStyle w:val="BodyText"/>
      </w:pPr>
      <w:r>
        <w:t xml:space="preserve">    [T-CONVERT]   Γ⊢e:Amt[c1]c2∈ISO-4217 Γ⊢CONVERT(e,c1,c2):Amt[c2]     </w:t>
      </w:r>
    </w:p>
    <w:p w14:paraId="49A1C6D6" w14:textId="77777777" w:rsidR="00CD4C2C" w:rsidRDefault="00000000">
      <w:pPr>
        <w:pStyle w:val="BodyText"/>
      </w:pPr>
      <w:r>
        <w:rPr>
          <w:b/>
          <w:bCs/>
        </w:rPr>
        <w:t>Comparisons and Conditions:</w:t>
      </w:r>
    </w:p>
    <w:p w14:paraId="5E55CEF1" w14:textId="77777777" w:rsidR="00CD4C2C" w:rsidRDefault="00000000">
      <w:pPr>
        <w:pStyle w:val="BodyText"/>
      </w:pPr>
      <w:r>
        <w:lastRenderedPageBreak/>
        <w:t xml:space="preserve">    [T-COMP]   Γ⊢e1:τΓ⊢e2:τ⊕∈{EQ,NEQ,GT,LT,GTE,LTE} Γ⊢e1⊕e2:Bool     </w:t>
      </w:r>
    </w:p>
    <w:p w14:paraId="1CF0CD2B" w14:textId="77777777" w:rsidR="00CD4C2C" w:rsidRDefault="00000000">
      <w:pPr>
        <w:pStyle w:val="BodyText"/>
      </w:pPr>
      <w:r>
        <w:t xml:space="preserve">    [T-AND]   Γ⊢φ1:BoolΓ⊢φ2:Bool Γ⊢φ1ANDφ2:Bool     </w:t>
      </w:r>
    </w:p>
    <w:p w14:paraId="5CFBA763" w14:textId="77777777" w:rsidR="00CD4C2C" w:rsidRDefault="00000000">
      <w:pPr>
        <w:pStyle w:val="BodyText"/>
      </w:pPr>
      <w:r>
        <w:rPr>
          <w:b/>
          <w:bCs/>
        </w:rPr>
        <w:t>Let Bindings:</w:t>
      </w:r>
    </w:p>
    <w:p w14:paraId="3D5166B8" w14:textId="77777777" w:rsidR="00CD4C2C" w:rsidRDefault="00000000">
      <w:pPr>
        <w:pStyle w:val="BodyText"/>
      </w:pPr>
      <w:r>
        <w:t xml:space="preserve">    [T-LET]   Γ⊢e1:τ1Γ[x↦τ1]⊢e2:τ2 Γ⊢LETxASe1;e2:τ2     </w:t>
      </w:r>
    </w:p>
    <w:p w14:paraId="76DE6DF1" w14:textId="77777777" w:rsidR="00CD4C2C" w:rsidRDefault="00000000">
      <w:pPr>
        <w:pStyle w:val="BodyText"/>
      </w:pPr>
      <w:r>
        <w:rPr>
          <w:b/>
          <w:bCs/>
        </w:rPr>
        <w:t>Yield Statements:</w:t>
      </w:r>
    </w:p>
    <w:p w14:paraId="4E2CB33B" w14:textId="77777777" w:rsidR="00CD4C2C" w:rsidRDefault="00000000">
      <w:pPr>
        <w:pStyle w:val="BodyText"/>
      </w:pPr>
      <w:r>
        <w:t xml:space="preserve">    [T-YIELD]   Γ⊢e:τΓ⊢φ:Bool Γ⊢YIELDeIFφ:τ     </w:t>
      </w:r>
    </w:p>
    <w:p w14:paraId="23E4C1DE" w14:textId="77777777" w:rsidR="00CD4C2C" w:rsidRDefault="00000000">
      <w:pPr>
        <w:pStyle w:val="BodyText"/>
      </w:pPr>
      <w:r>
        <w:rPr>
          <w:b/>
          <w:bCs/>
        </w:rPr>
        <w:t>Polymorphic Fees:</w:t>
      </w:r>
    </w:p>
    <w:p w14:paraId="19EE168D" w14:textId="77777777" w:rsidR="00CD4C2C" w:rsidRDefault="00000000">
      <w:pPr>
        <w:pStyle w:val="BodyText"/>
      </w:pPr>
      <w:r>
        <w:t xml:space="preserve">    [T-POLY]   Γ[α↦∀]⊢body:α Γ⊢FEE⟨α⟩body:∀α.α     </w:t>
      </w:r>
    </w:p>
    <w:p w14:paraId="5DE3DBD7" w14:textId="77777777" w:rsidR="00CD4C2C" w:rsidRDefault="00000000">
      <w:pPr>
        <w:pStyle w:val="Heading4"/>
      </w:pPr>
      <w:bookmarkStart w:id="33" w:name="type-safety"/>
      <w:bookmarkEnd w:id="32"/>
      <w:r>
        <w:t>4.1.3 Type Safety</w:t>
      </w:r>
    </w:p>
    <w:p w14:paraId="09759EED" w14:textId="77777777" w:rsidR="00CD4C2C" w:rsidRDefault="00000000">
      <w:pPr>
        <w:pStyle w:val="FirstParagraph"/>
      </w:pPr>
      <w:r>
        <w:rPr>
          <w:b/>
          <w:bCs/>
        </w:rPr>
        <w:t>Theorem 1 (Type Safety).</w:t>
      </w:r>
      <w:r>
        <w:t xml:space="preserve"> If program P is well-typed (Γ ⊢ P : ok), then for all inputs σ satisfying Γ: 1. Every arithmetic expression evaluates without currency mismatch 2. Every fee f computes to a value v : Amt[c] where c is f’s declared currency (or Num if undeclared) 3. No implicit currency conversion occurs</w:t>
      </w:r>
    </w:p>
    <w:p w14:paraId="005E9915" w14:textId="77777777" w:rsidR="00CD4C2C" w:rsidRDefault="00000000">
      <w:pPr>
        <w:pStyle w:val="BodyText"/>
      </w:pPr>
      <w:r>
        <w:rPr>
          <w:i/>
          <w:iCs/>
        </w:rPr>
        <w:t>Proof sketch.</w:t>
      </w:r>
      <w:r>
        <w:t xml:space="preserve"> By structural induction on typing derivations.</w:t>
      </w:r>
    </w:p>
    <w:p w14:paraId="482369D5" w14:textId="77777777" w:rsidR="00CD4C2C" w:rsidRDefault="00000000">
      <w:pPr>
        <w:pStyle w:val="BodyText"/>
      </w:pPr>
      <w:r>
        <w:rPr>
          <w:i/>
          <w:iCs/>
        </w:rPr>
        <w:t>Base cases:</w:t>
      </w:r>
      <w:r>
        <w:t xml:space="preserve"> Numeric literals have type Num by T-NUM. Currency literals n⟨c⟩ have type Amt[c] by T-CURR, where c is validated against the ISO-4217 database.</w:t>
      </w:r>
    </w:p>
    <w:p w14:paraId="119FFADB" w14:textId="77777777" w:rsidR="00CD4C2C" w:rsidRDefault="00000000">
      <w:pPr>
        <w:pStyle w:val="BodyText"/>
      </w:pPr>
      <w:r>
        <w:rPr>
          <w:i/>
          <w:iCs/>
        </w:rPr>
        <w:t>Inductive cases:</w:t>
      </w:r>
      <w:r>
        <w:t xml:space="preserve"> For T-ADD-AMT, both operands must have type Amt[c] for the same c; the result preserves this currency tag. For T-MUL-SCALAR-R and T-MUL-SCALAR-L, the currency of the Amt operand is preserved regardless of operand order. For T-CONVERT, the explicit conversion changes the currency tag from c₁ to c₂, requiring runtime exchange rate lookup.</w:t>
      </w:r>
    </w:p>
    <w:p w14:paraId="416769B1" w14:textId="77777777" w:rsidR="00CD4C2C" w:rsidRDefault="00000000">
      <w:pPr>
        <w:pStyle w:val="BodyText"/>
      </w:pPr>
      <w:r>
        <w:t>The type checker implementation (</w:t>
      </w:r>
      <w:r>
        <w:rPr>
          <w:rStyle w:val="VerbatimChar"/>
        </w:rPr>
        <w:t>CurrencyTypeChecker.cs</w:t>
      </w:r>
      <w:r>
        <w:t xml:space="preserve">) enforces these rules, rejecting programs that violate conditions (1)-(3) before evaluation. Specifically, </w:t>
      </w:r>
      <w:r>
        <w:rPr>
          <w:rStyle w:val="VerbatimChar"/>
        </w:rPr>
        <w:t>InferArithmeticType()</w:t>
      </w:r>
      <w:r>
        <w:t xml:space="preserve"> implements T-ADD-AMT, T-MUL-SCALAR-R, and T-MUL-SCALAR-L; </w:t>
      </w:r>
      <w:r>
        <w:rPr>
          <w:rStyle w:val="VerbatimChar"/>
        </w:rPr>
        <w:t>InferConvertType()</w:t>
      </w:r>
      <w:r>
        <w:t xml:space="preserve"> implements T-CONVERT; and </w:t>
      </w:r>
      <w:r>
        <w:rPr>
          <w:rStyle w:val="VerbatimChar"/>
        </w:rPr>
        <w:t>TypeError.MixedCurrencyArithmetic()</w:t>
      </w:r>
      <w:r>
        <w:t xml:space="preserve"> signals violations of condition (1).</w:t>
      </w:r>
    </w:p>
    <w:p w14:paraId="374E85BD" w14:textId="77777777" w:rsidR="00CD4C2C" w:rsidRDefault="00000000">
      <w:pPr>
        <w:pStyle w:val="BodyText"/>
      </w:pPr>
      <w:r>
        <w:rPr>
          <w:b/>
          <w:bCs/>
        </w:rPr>
        <w:t>Example - Type Error Detection:</w:t>
      </w:r>
    </w:p>
    <w:p w14:paraId="5A6D86B7" w14:textId="77777777" w:rsidR="00CD4C2C" w:rsidRDefault="00000000">
      <w:pPr>
        <w:pStyle w:val="SourceCode"/>
      </w:pPr>
      <w:r>
        <w:rPr>
          <w:rStyle w:val="VerbatimChar"/>
        </w:rPr>
        <w:t># Type error detected at compile time:</w:t>
      </w:r>
      <w:r>
        <w:br/>
      </w:r>
      <w:r>
        <w:rPr>
          <w:rStyle w:val="VerbatimChar"/>
        </w:rPr>
        <w:t>YIELD FilingFee + SearchFee   -- where FilingFee:Amt[EUR], SearchFee:Amt[USD]</w:t>
      </w:r>
      <w:r>
        <w:br/>
      </w:r>
      <w:r>
        <w:rPr>
          <w:rStyle w:val="VerbatimChar"/>
        </w:rPr>
        <w:t># Error: Cannot add EUR and USD without conversion</w:t>
      </w:r>
      <w:r>
        <w:br/>
      </w:r>
      <w:r>
        <w:br/>
      </w:r>
      <w:r>
        <w:rPr>
          <w:rStyle w:val="VerbatimChar"/>
        </w:rPr>
        <w:t># Correct version with explicit conversion:</w:t>
      </w:r>
      <w:r>
        <w:br/>
      </w:r>
      <w:r>
        <w:rPr>
          <w:rStyle w:val="VerbatimChar"/>
        </w:rPr>
        <w:t>YIELD FilingFee + CONVERT(SearchFee, USD, EUR)</w:t>
      </w:r>
    </w:p>
    <w:p w14:paraId="36D5F944" w14:textId="77777777" w:rsidR="00CD4C2C" w:rsidRDefault="00000000">
      <w:pPr>
        <w:pStyle w:val="Heading3"/>
      </w:pPr>
      <w:bookmarkStart w:id="34" w:name="completeness-analysis"/>
      <w:bookmarkEnd w:id="30"/>
      <w:bookmarkEnd w:id="33"/>
      <w:r>
        <w:t>4.2 Completeness Analysis</w:t>
      </w:r>
    </w:p>
    <w:p w14:paraId="49C876ED" w14:textId="77777777" w:rsidR="00CD4C2C" w:rsidRDefault="00000000">
      <w:pPr>
        <w:pStyle w:val="FirstParagraph"/>
      </w:pPr>
      <w:r>
        <w:t xml:space="preserve">IPFLang supports static analysis to determine whether fee computations produce defined outputs for all valid input combinations. The analysis operates in two modes: </w:t>
      </w:r>
      <w:r>
        <w:rPr>
          <w:i/>
          <w:iCs/>
        </w:rPr>
        <w:lastRenderedPageBreak/>
        <w:t>exhaustive verification</w:t>
      </w:r>
      <w:r>
        <w:t xml:space="preserve"> for small domains providing formal guarantees, and </w:t>
      </w:r>
      <w:r>
        <w:rPr>
          <w:i/>
          <w:iCs/>
        </w:rPr>
        <w:t>boundary-based testing</w:t>
      </w:r>
      <w:r>
        <w:t xml:space="preserve"> for large domains providing high-confidence heuristic assurance.</w:t>
      </w:r>
    </w:p>
    <w:p w14:paraId="2A87380B" w14:textId="77777777" w:rsidR="00CD4C2C" w:rsidRDefault="00000000">
      <w:pPr>
        <w:pStyle w:val="Heading4"/>
      </w:pPr>
      <w:bookmarkStart w:id="35" w:name="formal-definitions"/>
      <w:r>
        <w:t>4.2.1 Formal Definitions</w:t>
      </w:r>
    </w:p>
    <w:p w14:paraId="207DBE96" w14:textId="77777777" w:rsidR="00CD4C2C"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13054A00" w14:textId="77777777" w:rsidR="00CD4C2C" w:rsidRDefault="00000000">
      <w:pPr>
        <w:pStyle w:val="BodyText"/>
      </w:pPr>
      <w:r>
        <w:rPr>
          <w:b/>
          <w:bCs/>
        </w:rPr>
        <w:t>Definition 2 (Valuation Space).</w:t>
      </w:r>
      <w:r>
        <w:t xml:space="preserve"> The valuation space Σ is the Cartesian product of all input domains: Σ = Dom₁ × Dom₂ × … × Domₘ</w:t>
      </w:r>
    </w:p>
    <w:p w14:paraId="4CF49CBE" w14:textId="77777777" w:rsidR="00CD4C2C" w:rsidRDefault="00000000">
      <w:pPr>
        <w:pStyle w:val="BodyText"/>
      </w:pPr>
      <w:r>
        <w:rPr>
          <w:b/>
          <w:bCs/>
        </w:rPr>
        <w:t>Definition 3 (Coverage).</w:t>
      </w:r>
      <w:r>
        <w:t xml:space="preserve"> For fee f with conditional yields guarded by conditions φ₁, …, φₙ, the coverage is:</w:t>
      </w:r>
    </w:p>
    <w:p w14:paraId="5F2E0E72" w14:textId="77777777" w:rsidR="00CD4C2C" w:rsidRDefault="00000000">
      <w:pPr>
        <w:pStyle w:val="BodyText"/>
      </w:pPr>
      <w:r>
        <w:t xml:space="preserve">  Cov(f) = {σ∈Σ:∃i.σ⊨φi}  </w:t>
      </w:r>
    </w:p>
    <w:p w14:paraId="04ED1B10" w14:textId="77777777" w:rsidR="00CD4C2C"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1733DAA7" w14:textId="77777777" w:rsidR="00CD4C2C" w:rsidRDefault="00000000">
      <w:pPr>
        <w:pStyle w:val="Heading4"/>
      </w:pPr>
      <w:bookmarkStart w:id="36" w:name="analysis-algorithm"/>
      <w:bookmarkEnd w:id="35"/>
      <w:r>
        <w:t>4.2.2 Analysis Algorithm</w:t>
      </w:r>
    </w:p>
    <w:p w14:paraId="3B580818" w14:textId="77777777" w:rsidR="00CD4C2C" w:rsidRDefault="00000000">
      <w:pPr>
        <w:pStyle w:val="FirstParagraph"/>
      </w:pPr>
      <w:r>
        <w:t>The completeness analysis employs two strategies depending on domain size:</w:t>
      </w:r>
    </w:p>
    <w:p w14:paraId="3B3B48E0" w14:textId="77777777" w:rsidR="00CD4C2C" w:rsidRDefault="00000000">
      <w:pPr>
        <w:pStyle w:val="BodyText"/>
      </w:pPr>
      <w:r>
        <w:rPr>
          <w:b/>
          <w:bCs/>
        </w:rPr>
        <w:t>[INSERT FIGURE 4: figures/figure2_completeness_algorithm.mmd - Completeness Analysis Algorithm Flowchart]</w:t>
      </w:r>
    </w:p>
    <w:p w14:paraId="6C679024" w14:textId="77777777" w:rsidR="00CD4C2C" w:rsidRDefault="00000000">
      <w:pPr>
        <w:pStyle w:val="SourceCode"/>
      </w:pPr>
      <w:r>
        <w:rPr>
          <w:rStyle w:val="VerbatimChar"/>
        </w:rPr>
        <w:t>Algorithm 1: Completeness Analysis</w:t>
      </w:r>
      <w:r>
        <w:br/>
      </w:r>
      <w:r>
        <w:rPr>
          <w:rStyle w:val="VerbatimChar"/>
        </w:rPr>
        <w:t>─────────────────────────────────────────────────────────────────────</w:t>
      </w:r>
      <w:r>
        <w:br/>
      </w:r>
      <w:r>
        <w:rPr>
          <w:rStyle w:val="VerbatimChar"/>
        </w:rPr>
        <w:t>Input:  Fee f with conditions Φ = {φ₁, ..., φₙ}</w:t>
      </w:r>
      <w:r>
        <w:br/>
      </w:r>
      <w:r>
        <w:rPr>
          <w:rStyle w:val="VerbatimChar"/>
        </w:rPr>
        <w:t xml:space="preserve">        Input domains D = {D₁, ..., Dₘ}</w:t>
      </w:r>
      <w:r>
        <w:br/>
      </w:r>
      <w:r>
        <w:rPr>
          <w:rStyle w:val="VerbatimChar"/>
        </w:rPr>
        <w:t>Output: (complete: Bool, gaps: Set⟨InputCombination⟩)</w:t>
      </w:r>
      <w:r>
        <w:br/>
      </w:r>
      <w:r>
        <w:br/>
      </w:r>
      <w:r>
        <w:rPr>
          <w:rStyle w:val="VerbatimChar"/>
        </w:rPr>
        <w:t xml:space="preserve"> 1: Σ ← D₁ × D₂ × ... × Dₘ                    // Valuation space</w:t>
      </w:r>
      <w:r>
        <w:br/>
      </w:r>
      <w:r>
        <w:rPr>
          <w:rStyle w:val="VerbatimChar"/>
        </w:rPr>
        <w:t xml:space="preserve"> 2: |Σ| ← ∏ᵢ |Dᵢ|                             // Domain size</w:t>
      </w:r>
      <w:r>
        <w:br/>
      </w:r>
      <w:r>
        <w:rPr>
          <w:rStyle w:val="VerbatimChar"/>
        </w:rPr>
        <w:t xml:space="preserve"> 3: gaps ← ∅</w:t>
      </w:r>
      <w:r>
        <w:br/>
      </w:r>
      <w:r>
        <w:rPr>
          <w:rStyle w:val="VerbatimChar"/>
        </w:rPr>
        <w:t xml:space="preserve"> 4:</w:t>
      </w:r>
      <w:r>
        <w:br/>
      </w:r>
      <w:r>
        <w:rPr>
          <w:rStyle w:val="VerbatimChar"/>
        </w:rPr>
        <w:t xml:space="preserve"> 5: if |Σ| ≤ EXHAUSTIVE_THRESHOLD then        // Default: 10⁶</w:t>
      </w:r>
      <w:r>
        <w:br/>
      </w:r>
      <w:r>
        <w:rPr>
          <w:rStyle w:val="VerbatimChar"/>
        </w:rPr>
        <w:t xml:space="preserve"> 6:     // EXHAUSTIVE VERIFICATION (provides formal guarantee)</w:t>
      </w:r>
      <w:r>
        <w:br/>
      </w:r>
      <w:r>
        <w:rPr>
          <w:rStyle w:val="VerbatimChar"/>
        </w:rPr>
        <w:t xml:space="preserve"> 7:     for each σ ∈ Σ do</w:t>
      </w:r>
      <w:r>
        <w:br/>
      </w:r>
      <w:r>
        <w:rPr>
          <w:rStyle w:val="VerbatimChar"/>
        </w:rPr>
        <w:t xml:space="preserve"> 8:         if ¬∃φᵢ ∈ Φ : σ ⊨ φᵢ then</w:t>
      </w:r>
      <w:r>
        <w:br/>
      </w:r>
      <w:r>
        <w:rPr>
          <w:rStyle w:val="VerbatimChar"/>
        </w:rPr>
        <w:t xml:space="preserve"> 9:             gaps ← gaps ∪ {σ}</w:t>
      </w:r>
      <w:r>
        <w:br/>
      </w:r>
      <w:r>
        <w:rPr>
          <w:rStyle w:val="VerbatimChar"/>
        </w:rPr>
        <w:t>10:             if |gaps| ≥ MAX_GAPS then break</w:t>
      </w:r>
      <w:r>
        <w:br/>
      </w:r>
      <w:r>
        <w:rPr>
          <w:rStyle w:val="VerbatimChar"/>
        </w:rPr>
        <w:t>11: else</w:t>
      </w:r>
      <w:r>
        <w:br/>
      </w:r>
      <w:r>
        <w:rPr>
          <w:rStyle w:val="VerbatimChar"/>
        </w:rPr>
        <w:t>12:     // BOUNDARY-BASED TESTING (heuristic, no formal guarantee)</w:t>
      </w:r>
      <w:r>
        <w:br/>
      </w:r>
      <w:r>
        <w:rPr>
          <w:rStyle w:val="VerbatimChar"/>
        </w:rPr>
        <w:t>13:     S ← SampleRepresentative(D)           // Boundary sampling</w:t>
      </w:r>
      <w:r>
        <w:br/>
      </w:r>
      <w:r>
        <w:rPr>
          <w:rStyle w:val="VerbatimChar"/>
        </w:rPr>
        <w:t>14:     for each σ ∈ S do</w:t>
      </w:r>
      <w:r>
        <w:br/>
      </w:r>
      <w:r>
        <w:rPr>
          <w:rStyle w:val="VerbatimChar"/>
        </w:rPr>
        <w:t>15:         if ¬∃φᵢ ∈ Φ : σ ⊨ φᵢ then</w:t>
      </w:r>
      <w:r>
        <w:br/>
      </w:r>
      <w:r>
        <w:rPr>
          <w:rStyle w:val="VerbatimChar"/>
        </w:rPr>
        <w:t>16:             gaps ← gaps ∪ {σ}</w:t>
      </w:r>
      <w:r>
        <w:br/>
      </w:r>
      <w:r>
        <w:rPr>
          <w:rStyle w:val="VerbatimChar"/>
        </w:rPr>
        <w:t>17:</w:t>
      </w:r>
      <w:r>
        <w:br/>
      </w:r>
      <w:r>
        <w:rPr>
          <w:rStyle w:val="VerbatimChar"/>
        </w:rPr>
        <w:t>18: return (gaps = ∅, gaps)</w:t>
      </w:r>
    </w:p>
    <w:p w14:paraId="5C119BF4" w14:textId="77777777" w:rsidR="00CD4C2C" w:rsidRDefault="00000000">
      <w:pPr>
        <w:pStyle w:val="Heading4"/>
      </w:pPr>
      <w:bookmarkStart w:id="37" w:name="complexity-analysis"/>
      <w:bookmarkEnd w:id="36"/>
      <w:r>
        <w:lastRenderedPageBreak/>
        <w:t>4.2.3 Complexity Analysis</w:t>
      </w:r>
    </w:p>
    <w:p w14:paraId="2A98C89E" w14:textId="77777777" w:rsidR="00CD4C2C"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42551B3B" w14:textId="77777777" w:rsidR="00CD4C2C" w:rsidRDefault="00000000">
      <w:pPr>
        <w:pStyle w:val="Compact"/>
        <w:numPr>
          <w:ilvl w:val="0"/>
          <w:numId w:val="5"/>
        </w:numPr>
      </w:pPr>
      <w:r>
        <w:rPr>
          <w:b/>
          <w:bCs/>
        </w:rPr>
        <w:t>Exhaustive verification</w:t>
      </w:r>
      <w:r>
        <w:t xml:space="preserve"> (N ≤ 10⁶): O(N · n · k) time, O(|gaps|) space. Provides formal guarantee.</w:t>
      </w:r>
    </w:p>
    <w:p w14:paraId="56028B5C" w14:textId="77777777" w:rsidR="00CD4C2C" w:rsidRDefault="00000000">
      <w:pPr>
        <w:pStyle w:val="Compact"/>
        <w:numPr>
          <w:ilvl w:val="0"/>
          <w:numId w:val="5"/>
        </w:numPr>
      </w:pPr>
      <w:r>
        <w:rPr>
          <w:b/>
          <w:bCs/>
        </w:rPr>
        <w:t>Boundary-based testing</w:t>
      </w:r>
      <w:r>
        <w:t xml:space="preserve"> (N &gt; 10⁶): O(S · n · k) time where S = O(5ᵐ) for boundary sampling with 5 representatives per domain. Provides heuristic assurance only.</w:t>
      </w:r>
    </w:p>
    <w:p w14:paraId="3AA93BF6" w14:textId="77777777" w:rsidR="00CD4C2C" w:rsidRDefault="00000000">
      <w:pPr>
        <w:pStyle w:val="Heading4"/>
      </w:pPr>
      <w:bookmarkStart w:id="38" w:name="sampling-strategy"/>
      <w:bookmarkEnd w:id="37"/>
      <w:r>
        <w:t>4.2.4 Sampling Strategy</w:t>
      </w:r>
    </w:p>
    <w:p w14:paraId="096E29A8" w14:textId="77777777" w:rsidR="00CD4C2C" w:rsidRDefault="00000000">
      <w:pPr>
        <w:pStyle w:val="FirstParagraph"/>
      </w:pPr>
      <w:r>
        <w:t xml:space="preserve">For numeric domains [min, max], the representative sampling selects boundary values (min and max), threshold values consisting of integers appearing in conditions (such as 15 and 50 from </w:t>
      </w:r>
      <w:r>
        <w:rPr>
          <w:rStyle w:val="VerbatimChar"/>
        </w:rPr>
        <w:t>ClaimCount GT 15</w:t>
      </w:r>
      <w:r>
        <w:t>), the midpoint (min + max) / 2, and near-boundary values (min + 1 and max - 1).</w:t>
      </w:r>
    </w:p>
    <w:p w14:paraId="6240CAFA" w14:textId="77777777" w:rsidR="00CD4C2C" w:rsidRDefault="00000000">
      <w:pPr>
        <w:pStyle w:val="BodyText"/>
      </w:pPr>
      <w:r>
        <w:t>For Boolean domains, sampling includes both TRUE and FALSE exhaustively. For LIST domains, sampling covers all choices exhaustively up to the cardinality limit. For MULTILIST domains, sampling includes the empty set, all singleton sets, and the full set.</w:t>
      </w:r>
    </w:p>
    <w:p w14:paraId="6AB7B475" w14:textId="77777777" w:rsidR="00CD4C2C" w:rsidRDefault="00000000">
      <w:pPr>
        <w:pStyle w:val="Heading4"/>
      </w:pPr>
      <w:bookmarkStart w:id="39" w:name="soundness-and-guarantees"/>
      <w:bookmarkEnd w:id="38"/>
      <w:r>
        <w:t>4.2.5 Soundness and Guarantees</w:t>
      </w:r>
    </w:p>
    <w:p w14:paraId="2492CBF7" w14:textId="77777777" w:rsidR="00CD4C2C" w:rsidRDefault="00000000">
      <w:pPr>
        <w:pStyle w:val="FirstParagraph"/>
      </w:pPr>
      <w:r>
        <w:rPr>
          <w:b/>
          <w:bCs/>
        </w:rPr>
        <w:t>Proposition 1 (Soundness of Exhaustive Mode).</w:t>
      </w:r>
      <w:r>
        <w:t xml:space="preserve"> If the exhaustive algorithm reports complete, the fee is genuinely complete.</w:t>
      </w:r>
    </w:p>
    <w:p w14:paraId="2EA785F1" w14:textId="77777777" w:rsidR="00CD4C2C" w:rsidRDefault="00000000">
      <w:pPr>
        <w:pStyle w:val="BodyText"/>
      </w:pPr>
      <w:r>
        <w:rPr>
          <w:i/>
          <w:iCs/>
        </w:rPr>
        <w:t>Proof.</w:t>
      </w:r>
      <w:r>
        <w:t xml:space="preserve"> The algorithm checks all σ ∈ Σ. If no gap is found, then ∀σ ∈ Σ. ∃φᵢ. σ ⊨ φᵢ, which is the definition of completeness.</w:t>
      </w:r>
    </w:p>
    <w:p w14:paraId="6BCA45C4" w14:textId="77777777" w:rsidR="00CD4C2C" w:rsidRDefault="00000000">
      <w:pPr>
        <w:pStyle w:val="BodyText"/>
      </w:pPr>
      <w:r>
        <w:rPr>
          <w:b/>
          <w:bCs/>
        </w:rPr>
        <w:t>Proposition 2 (Completeness of Exhaustive Mode).</w:t>
      </w:r>
      <w:r>
        <w:t xml:space="preserve"> If a gap exists, the exhaustive algorithm will find it (up to MAX_GAPS reporting limit).</w:t>
      </w:r>
    </w:p>
    <w:p w14:paraId="49E35A87" w14:textId="77777777" w:rsidR="00CD4C2C"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Pr>
          <w:b/>
          <w:bCs/>
        </w:rPr>
        <w:t>This mode does not provide formal guarantees</w:t>
      </w:r>
      <w:r>
        <w:t>; users requiring provable completeness should ensure domain sizes permit exhaustive verification or employ manual analysis. The distinction between exhaustive verification with formal guarantees and heuristic sampling reflects fundamental tradeoffs in static analysis between precision and scalability [25].</w:t>
      </w:r>
    </w:p>
    <w:p w14:paraId="3214BD4B" w14:textId="77777777" w:rsidR="00CD4C2C" w:rsidRDefault="00000000">
      <w:pPr>
        <w:pStyle w:val="BodyText"/>
      </w:pPr>
      <w:r>
        <w:rPr>
          <w:b/>
          <w:bCs/>
        </w:rPr>
        <w:t>Example - Gap Detection:</w:t>
      </w:r>
    </w:p>
    <w:p w14:paraId="60AEAE53" w14:textId="77777777" w:rsidR="00CD4C2C" w:rsidRDefault="00000000">
      <w:pPr>
        <w:pStyle w:val="SourceCode"/>
      </w:pPr>
      <w:r>
        <w:rPr>
          <w:rStyle w:val="VerbatimChar"/>
        </w:rPr>
        <w:t>COMPUTE FEE ClaimFee</w:t>
      </w:r>
      <w:r>
        <w:br/>
      </w:r>
      <w:r>
        <w:rPr>
          <w:rStyle w:val="VerbatimChar"/>
        </w:rPr>
        <w:t xml:space="preserve">  YIELD 100 * (ClaimCount - 20) IF EntityType EQ Large AND ClaimCount GT 20</w:t>
      </w:r>
      <w:r>
        <w:br/>
      </w:r>
      <w:r>
        <w:rPr>
          <w:rStyle w:val="VerbatimChar"/>
        </w:rPr>
        <w:t xml:space="preserve">  YIELD 50 * (ClaimCount - 20) IF EntityType EQ Small AND ClaimCount GT 20</w:t>
      </w:r>
      <w:r>
        <w:br/>
      </w:r>
      <w:r>
        <w:rPr>
          <w:rStyle w:val="VerbatimChar"/>
        </w:rPr>
        <w:t>ENDCOMPUTE</w:t>
      </w:r>
      <w:r>
        <w:br/>
      </w:r>
      <w:r>
        <w:br/>
      </w:r>
      <w:r>
        <w:rPr>
          <w:rStyle w:val="VerbatimChar"/>
        </w:rPr>
        <w:t>VERIFY COMPLETE FEE ClaimFee</w:t>
      </w:r>
    </w:p>
    <w:p w14:paraId="28629C51" w14:textId="77777777" w:rsidR="00CD4C2C" w:rsidRDefault="00000000">
      <w:pPr>
        <w:pStyle w:val="FirstParagraph"/>
      </w:pPr>
      <w:r>
        <w:lastRenderedPageBreak/>
        <w:t>Output: “Gap: {EntityType=Micro}” and “Gap: {ClaimCount ≤ 20}”</w:t>
      </w:r>
    </w:p>
    <w:p w14:paraId="6A13940F" w14:textId="77777777" w:rsidR="00CD4C2C" w:rsidRDefault="00000000">
      <w:pPr>
        <w:pStyle w:val="Heading3"/>
      </w:pPr>
      <w:bookmarkStart w:id="40" w:name="monotonicity-verification"/>
      <w:bookmarkEnd w:id="34"/>
      <w:bookmarkEnd w:id="39"/>
      <w:r>
        <w:t>4.3 Monotonicity Verification</w:t>
      </w:r>
    </w:p>
    <w:p w14:paraId="0C23EBFA" w14:textId="77777777" w:rsidR="00CD4C2C" w:rsidRDefault="00000000">
      <w:pPr>
        <w:pStyle w:val="FirstParagraph"/>
      </w:pPr>
      <w:r>
        <w:t>Fee schedules should exhibit predictable behavior: increasing claim count should never decrease the fee.</w:t>
      </w:r>
    </w:p>
    <w:p w14:paraId="59209835" w14:textId="77777777" w:rsidR="00CD4C2C" w:rsidRDefault="00000000">
      <w:pPr>
        <w:pStyle w:val="BodyText"/>
      </w:pPr>
      <w:r>
        <w:rPr>
          <w:b/>
          <w:bCs/>
        </w:rPr>
        <w:t>[INSERT FIGURE 5: figures/figure7_monotonicity.mmd - Monotonicity Verification Process and Direction Types]</w:t>
      </w:r>
    </w:p>
    <w:p w14:paraId="527C008B" w14:textId="77777777" w:rsidR="00CD4C2C" w:rsidRDefault="00000000">
      <w:pPr>
        <w:pStyle w:val="Heading4"/>
      </w:pPr>
      <w:bookmarkStart w:id="41" w:name="formal-definition"/>
      <w:r>
        <w:t>4.3.1 Formal Definition</w:t>
      </w:r>
    </w:p>
    <w:p w14:paraId="7A2DC5C9" w14:textId="77777777" w:rsidR="00CD4C2C"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4909A26F" w14:textId="77777777" w:rsidR="00CD4C2C" w:rsidRDefault="00000000">
      <w:pPr>
        <w:pStyle w:val="BodyText"/>
      </w:pPr>
      <w:r>
        <w:t xml:space="preserve">  ∀σ−x.  ∀v1,v2∈Dom(x).  v1&lt;v2 ⟹ f(σ−x[x↦v1]) ≤ f(σ−x[x↦v2])  </w:t>
      </w:r>
    </w:p>
    <w:p w14:paraId="11A96441" w14:textId="77777777" w:rsidR="00CD4C2C"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2A77C29E" w14:textId="77777777" w:rsidR="00CD4C2C" w:rsidRDefault="00000000">
      <w:pPr>
        <w:pStyle w:val="Heading4"/>
      </w:pPr>
      <w:bookmarkStart w:id="42" w:name="verification-algorithm"/>
      <w:bookmarkEnd w:id="41"/>
      <w:r>
        <w:t>4.3.2 Verification Algorithm</w:t>
      </w:r>
    </w:p>
    <w:p w14:paraId="4F71F94B" w14:textId="77777777" w:rsidR="00CD4C2C" w:rsidRDefault="00000000">
      <w:pPr>
        <w:pStyle w:val="SourceCode"/>
      </w:pPr>
      <w:r>
        <w:rPr>
          <w:rStyle w:val="VerbatimChar"/>
        </w:rPr>
        <w:t>Algorithm 2: Monotonicity Verification</w:t>
      </w:r>
      <w:r>
        <w:br/>
      </w:r>
      <w:r>
        <w:rPr>
          <w:rStyle w:val="VerbatimChar"/>
        </w:rPr>
        <w:t>─────────────────────────────────────────────────────────────────────</w:t>
      </w:r>
      <w:r>
        <w:br/>
      </w:r>
      <w:r>
        <w:rPr>
          <w:rStyle w:val="VerbatimChar"/>
        </w:rPr>
        <w:t>Input:  Fee f, numeric input x with domain Dₓ = [min, max]</w:t>
      </w:r>
      <w:r>
        <w:br/>
      </w:r>
      <w:r>
        <w:rPr>
          <w:rStyle w:val="VerbatimChar"/>
        </w:rPr>
        <w:t xml:space="preserve">        Other domains D₋ₓ, expected direction d</w:t>
      </w:r>
      <w:r>
        <w:br/>
      </w:r>
      <w:r>
        <w:rPr>
          <w:rStyle w:val="VerbatimChar"/>
        </w:rPr>
        <w:t>Output: (monotonic: Bool, violations: List⟨Violation⟩)</w:t>
      </w:r>
      <w:r>
        <w:br/>
      </w:r>
      <w:r>
        <w:br/>
      </w:r>
      <w:r>
        <w:rPr>
          <w:rStyle w:val="VerbatimChar"/>
        </w:rPr>
        <w:t xml:space="preserve"> 1: violations ← []</w:t>
      </w:r>
      <w:r>
        <w:br/>
      </w:r>
      <w:r>
        <w:rPr>
          <w:rStyle w:val="VerbatimChar"/>
        </w:rPr>
        <w:t xml:space="preserve"> 2: for each σ₋ₓ ∈ SampleRepresentative(D₋ₓ) do   // Context sampling</w:t>
      </w:r>
      <w:r>
        <w:br/>
      </w:r>
      <w:r>
        <w:rPr>
          <w:rStyle w:val="VerbatimChar"/>
        </w:rPr>
        <w:t xml:space="preserve"> 3:     V ← SampleMonotonic(Dₓ, 20)               // 20 ordered values</w:t>
      </w:r>
      <w:r>
        <w:br/>
      </w:r>
      <w:r>
        <w:rPr>
          <w:rStyle w:val="VerbatimChar"/>
        </w:rPr>
        <w:t xml:space="preserve"> 4:     prev_fee ← ⊥</w:t>
      </w:r>
      <w:r>
        <w:br/>
      </w:r>
      <w:r>
        <w:rPr>
          <w:rStyle w:val="VerbatimChar"/>
        </w:rPr>
        <w:t xml:space="preserve"> 5:     for each v ∈ sort(V) do</w:t>
      </w:r>
      <w:r>
        <w:br/>
      </w:r>
      <w:r>
        <w:rPr>
          <w:rStyle w:val="VerbatimChar"/>
        </w:rPr>
        <w:t xml:space="preserve"> 6:         curr_fee ← Evaluate(f, σ₋ₓ[x ↦ v])</w:t>
      </w:r>
      <w:r>
        <w:br/>
      </w:r>
      <w:r>
        <w:rPr>
          <w:rStyle w:val="VerbatimChar"/>
        </w:rPr>
        <w:t xml:space="preserve"> 7:         if prev_fee ≠ ⊥ then</w:t>
      </w:r>
      <w:r>
        <w:br/>
      </w:r>
      <w:r>
        <w:rPr>
          <w:rStyle w:val="VerbatimChar"/>
        </w:rPr>
        <w:t xml:space="preserve"> 8:             if Violates(prev_fee, curr_fee, d) then</w:t>
      </w:r>
      <w:r>
        <w:br/>
      </w:r>
      <w:r>
        <w:rPr>
          <w:rStyle w:val="VerbatimChar"/>
        </w:rPr>
        <w:t xml:space="preserve"> 9:                 violations.append((σ₋ₓ, prev_v, prev_fee, v, curr_fee))</w:t>
      </w:r>
      <w:r>
        <w:br/>
      </w:r>
      <w:r>
        <w:rPr>
          <w:rStyle w:val="VerbatimChar"/>
        </w:rPr>
        <w:t>10:         prev_fee ← curr_fee; prev_v ← v</w:t>
      </w:r>
      <w:r>
        <w:br/>
      </w:r>
      <w:r>
        <w:rPr>
          <w:rStyle w:val="VerbatimChar"/>
        </w:rPr>
        <w:t>11: return (violations = [], violations)</w:t>
      </w:r>
    </w:p>
    <w:p w14:paraId="6275A08A" w14:textId="77777777" w:rsidR="00CD4C2C" w:rsidRDefault="00000000">
      <w:pPr>
        <w:pStyle w:val="FirstParagraph"/>
      </w:pPr>
      <w:r>
        <w:t>where Violates(p, c, d) returns true if and only if: d = NonDecreasing and c &lt; p; d = NonIncreasing and c &gt; p; d = StrictlyIncreasing and c ≤ p; or d = StrictlyDecreasing and c ≥ p.</w:t>
      </w:r>
    </w:p>
    <w:p w14:paraId="559CB65B" w14:textId="77777777" w:rsidR="00CD4C2C" w:rsidRDefault="00000000">
      <w:pPr>
        <w:pStyle w:val="BodyText"/>
      </w:pPr>
      <w:r>
        <w:rPr>
          <w:b/>
          <w:bCs/>
        </w:rPr>
        <w:t>Remark (Currency Comparison).</w:t>
      </w:r>
      <w:r>
        <w:t xml:space="preserve"> Monotonicity verification compares fee values numerically. When f returns Amt[c], comparison uses the underlying numeric value; currency tags must match (guaranteed by type safety). Recent work on verification-preserving program transformations [26] demonstrates techniques for ensuring that program properties are maintained across transformations, providing theoretical foundations relevant to IPFLang’s verification approach.</w:t>
      </w:r>
    </w:p>
    <w:p w14:paraId="780CB44C" w14:textId="77777777" w:rsidR="00CD4C2C" w:rsidRDefault="00000000">
      <w:pPr>
        <w:pStyle w:val="BodyText"/>
      </w:pPr>
      <w:r>
        <w:rPr>
          <w:b/>
          <w:bCs/>
        </w:rPr>
        <w:t>Example:</w:t>
      </w:r>
    </w:p>
    <w:p w14:paraId="1A6DAF63" w14:textId="77777777" w:rsidR="00CD4C2C" w:rsidRDefault="00000000">
      <w:pPr>
        <w:pStyle w:val="SourceCode"/>
      </w:pPr>
      <w:r>
        <w:rPr>
          <w:rStyle w:val="VerbatimChar"/>
        </w:rPr>
        <w:t>VERIFY MONOTONIC FEE ExcessClaimsFee WITH RESPECT TO ClaimCount</w:t>
      </w:r>
      <w:r>
        <w:br/>
      </w:r>
      <w:r>
        <w:rPr>
          <w:rStyle w:val="VerbatimChar"/>
        </w:rPr>
        <w:t>VERIFY MONOTONIC FEE DiscountFee WITH RESPECT TO YearsInProgram DIRECTION NonIncreasing</w:t>
      </w:r>
    </w:p>
    <w:p w14:paraId="591306B3" w14:textId="77777777" w:rsidR="00CD4C2C" w:rsidRDefault="00000000">
      <w:pPr>
        <w:pStyle w:val="Heading2"/>
      </w:pPr>
      <w:bookmarkStart w:id="43" w:name="provenance-and-auditability"/>
      <w:bookmarkEnd w:id="29"/>
      <w:bookmarkEnd w:id="40"/>
      <w:bookmarkEnd w:id="42"/>
      <w:r>
        <w:lastRenderedPageBreak/>
        <w:t>5. Provenance and Auditability</w:t>
      </w:r>
    </w:p>
    <w:p w14:paraId="49F4EA73" w14:textId="77777777" w:rsidR="00CD4C2C" w:rsidRDefault="00000000">
      <w:pPr>
        <w:pStyle w:val="Heading3"/>
      </w:pPr>
      <w:bookmarkStart w:id="44" w:name="execution-tracing"/>
      <w:r>
        <w:t>5.1 Execution Tracing</w:t>
      </w:r>
    </w:p>
    <w:p w14:paraId="53D32D6B" w14:textId="77777777" w:rsidR="00CD4C2C"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6782546F" w14:textId="77777777" w:rsidR="00CD4C2C" w:rsidRDefault="00000000">
      <w:pPr>
        <w:pStyle w:val="BodyText"/>
      </w:pPr>
      <w:r>
        <w:t>This trace enables practitioners to verify calculations against official schedules and assists in dispute resolution.</w:t>
      </w:r>
    </w:p>
    <w:p w14:paraId="0DEE1C1D" w14:textId="77777777" w:rsidR="00CD4C2C" w:rsidRDefault="00000000">
      <w:pPr>
        <w:pStyle w:val="BodyText"/>
      </w:pPr>
      <w:r>
        <w:rPr>
          <w:b/>
          <w:bCs/>
        </w:rPr>
        <w:t>[INSERT FIGURE 6: figures/figure3_provenance_structure.mmd - Provenance Record Structure]</w:t>
      </w:r>
    </w:p>
    <w:p w14:paraId="02B94CB2" w14:textId="77777777" w:rsidR="00CD4C2C" w:rsidRDefault="00000000">
      <w:pPr>
        <w:pStyle w:val="Heading3"/>
      </w:pPr>
      <w:bookmarkStart w:id="45" w:name="counterfactual-analysis"/>
      <w:bookmarkEnd w:id="44"/>
      <w:r>
        <w:t>5.2 Counterfactual Analysis</w:t>
      </w:r>
    </w:p>
    <w:p w14:paraId="19BFF912" w14:textId="77777777" w:rsidR="00CD4C2C" w:rsidRDefault="00000000">
      <w:pPr>
        <w:pStyle w:val="FirstParagraph"/>
      </w:pPr>
      <w:r>
        <w:t>The counterfactual engine answers “what-if” questions: how would the total fee change if a specific input were different? For each input, the system computes alternative scenarios:</w:t>
      </w:r>
    </w:p>
    <w:p w14:paraId="74C2E80D" w14:textId="77777777" w:rsidR="00CD4C2C" w:rsidRDefault="00000000">
      <w:pPr>
        <w:pStyle w:val="SourceCode"/>
      </w:pPr>
      <w:r>
        <w:rPr>
          <w:rStyle w:val="VerbatimChar"/>
        </w:rPr>
        <w:t>$ ipflang run filing.ipf --inputs params.json --counterfactuals</w:t>
      </w:r>
      <w:r>
        <w:br/>
      </w:r>
      <w:r>
        <w:br/>
      </w:r>
      <w:r>
        <w:rPr>
          <w:rStyle w:val="VerbatimChar"/>
        </w:rPr>
        <w:t>Counterfactual Analysis:</w:t>
      </w:r>
      <w:r>
        <w:br/>
      </w:r>
      <w:r>
        <w:rPr>
          <w:rStyle w:val="VerbatimChar"/>
        </w:rPr>
        <w:t xml:space="preserve">  If EntityType were SmallEntity instead of LargeEntity:</w:t>
      </w:r>
      <w:r>
        <w:br/>
      </w:r>
      <w:r>
        <w:rPr>
          <w:rStyle w:val="VerbatimChar"/>
        </w:rPr>
        <w:t xml:space="preserve">    FilingFee: 1820 -&gt; 910 (difference: -910)</w:t>
      </w:r>
      <w:r>
        <w:br/>
      </w:r>
      <w:r>
        <w:rPr>
          <w:rStyle w:val="VerbatimChar"/>
        </w:rPr>
        <w:t xml:space="preserve">    Total: 2540 -&gt; 1630 (difference: -910)</w:t>
      </w:r>
    </w:p>
    <w:p w14:paraId="744D3A9F" w14:textId="77777777" w:rsidR="00CD4C2C" w:rsidRDefault="00000000">
      <w:pPr>
        <w:pStyle w:val="FirstParagraph"/>
      </w:pPr>
      <w:r>
        <w:t>This capability supports budget planning, client advisory, and regulatory impact assessment.</w:t>
      </w:r>
    </w:p>
    <w:p w14:paraId="09B50258" w14:textId="77777777" w:rsidR="00CD4C2C" w:rsidRDefault="00000000">
      <w:pPr>
        <w:pStyle w:val="Heading2"/>
      </w:pPr>
      <w:bookmarkStart w:id="46" w:name="reference-implementation"/>
      <w:bookmarkEnd w:id="43"/>
      <w:bookmarkEnd w:id="45"/>
      <w:r>
        <w:t>6. Reference Implementation</w:t>
      </w:r>
    </w:p>
    <w:p w14:paraId="0027932F" w14:textId="77777777" w:rsidR="00CD4C2C" w:rsidRDefault="00000000">
      <w:pPr>
        <w:pStyle w:val="Heading3"/>
      </w:pPr>
      <w:bookmarkStart w:id="47" w:name="architecture-overview"/>
      <w:r>
        <w:t>6.1 Architecture Overview</w:t>
      </w:r>
    </w:p>
    <w:p w14:paraId="094621CF" w14:textId="77777777" w:rsidR="00CD4C2C" w:rsidRDefault="00000000">
      <w:pPr>
        <w:pStyle w:val="FirstParagraph"/>
      </w:pPr>
      <w:r>
        <w:rPr>
          <w:b/>
          <w:bCs/>
        </w:rPr>
        <w:t>[INSERT FIGURE 7: figures/figure4_architecture.mmd - IPFLang Engine Architecture]</w:t>
      </w:r>
    </w:p>
    <w:p w14:paraId="628BAA5C" w14:textId="77777777" w:rsidR="00CD4C2C" w:rsidRDefault="00000000">
      <w:pPr>
        <w:pStyle w:val="BodyText"/>
      </w:pPr>
      <w:r>
        <w:t>The IPFLang reference implementation comprises approximately 15,000 lines of C# targeting .NET 10.0, organized into modular subsystems:</w:t>
      </w:r>
    </w:p>
    <w:p w14:paraId="2313816D" w14:textId="77777777" w:rsidR="00CD4C2C" w:rsidRDefault="00000000">
      <w:pPr>
        <w:pStyle w:val="BodyText"/>
      </w:pPr>
      <w:r>
        <w:rPr>
          <w:b/>
          <w:bCs/>
        </w:rPr>
        <w:t>Parser Module:</w:t>
      </w:r>
      <w:r>
        <w:t xml:space="preserve"> Lexical analysis, recursive descent parsing [17], and AST construction with comprehensive error reporting including line numbers and expected tokens.</w:t>
      </w:r>
    </w:p>
    <w:p w14:paraId="3E590060" w14:textId="77777777" w:rsidR="00CD4C2C" w:rsidRDefault="00000000">
      <w:pPr>
        <w:pStyle w:val="BodyText"/>
      </w:pPr>
      <w:r>
        <w:rPr>
          <w:b/>
          <w:bCs/>
        </w:rPr>
        <w:t>Semantic Checker:</w:t>
      </w:r>
      <w:r>
        <w:t xml:space="preserve"> Type validation ensuring identifier resolution, type compatibility, constraint validation, and circular dependency detection in LET statements.</w:t>
      </w:r>
    </w:p>
    <w:p w14:paraId="77702B2E" w14:textId="77777777" w:rsidR="00CD4C2C" w:rsidRDefault="00000000">
      <w:pPr>
        <w:pStyle w:val="BodyText"/>
      </w:pPr>
      <w:r>
        <w:rPr>
          <w:b/>
          <w:bCs/>
        </w:rPr>
        <w:t>Type System:</w:t>
      </w:r>
      <w:r>
        <w:t xml:space="preserve"> Currency-aware type checking with 161 ISO 4217 currencies, polymorphic type support, and detailed type error reporting.</w:t>
      </w:r>
    </w:p>
    <w:p w14:paraId="2535686B" w14:textId="77777777" w:rsidR="00CD4C2C" w:rsidRDefault="00000000">
      <w:pPr>
        <w:pStyle w:val="BodyText"/>
      </w:pPr>
      <w:r>
        <w:rPr>
          <w:b/>
          <w:bCs/>
        </w:rPr>
        <w:t>Evaluator:</w:t>
      </w:r>
      <w:r>
        <w:t xml:space="preserve"> Depth-first AST traversal with environment binding, supporting expression memoization, short-circuit boolean evaluation, and constant folding.</w:t>
      </w:r>
    </w:p>
    <w:p w14:paraId="0CF38925" w14:textId="77777777" w:rsidR="00CD4C2C" w:rsidRDefault="00000000">
      <w:pPr>
        <w:pStyle w:val="BodyText"/>
      </w:pPr>
      <w:r>
        <w:rPr>
          <w:b/>
          <w:bCs/>
        </w:rPr>
        <w:lastRenderedPageBreak/>
        <w:t>Analysis Module:</w:t>
      </w:r>
      <w:r>
        <w:t xml:space="preserve"> Completeness checker with exhaustive and sampling modes, monotonicity checker with four direction types, domain analyzer, and condition extractor.</w:t>
      </w:r>
    </w:p>
    <w:p w14:paraId="75E113B9" w14:textId="77777777" w:rsidR="00CD4C2C" w:rsidRDefault="00000000">
      <w:pPr>
        <w:pStyle w:val="BodyText"/>
      </w:pPr>
      <w:r>
        <w:rPr>
          <w:b/>
          <w:bCs/>
        </w:rPr>
        <w:t>Provenance Module:</w:t>
      </w:r>
      <w:r>
        <w:t xml:space="preserve"> Audit trail recording, counterfactual engine for what-if analysis, and provenance export formatting.</w:t>
      </w:r>
    </w:p>
    <w:p w14:paraId="56BEA4C1" w14:textId="77777777" w:rsidR="00CD4C2C" w:rsidRDefault="00000000">
      <w:pPr>
        <w:pStyle w:val="BodyText"/>
      </w:pPr>
      <w:r>
        <w:rPr>
          <w:b/>
          <w:bCs/>
        </w:rPr>
        <w:t>Versioning Module:</w:t>
      </w:r>
      <w:r>
        <w:t xml:space="preserve"> Version metadata management, diff engine for version comparison, impact analyzer, and temporal query support.</w:t>
      </w:r>
    </w:p>
    <w:p w14:paraId="6AC36663" w14:textId="77777777" w:rsidR="00CD4C2C" w:rsidRDefault="00000000">
      <w:pPr>
        <w:pStyle w:val="BodyText"/>
      </w:pPr>
      <w:r>
        <w:rPr>
          <w:b/>
          <w:bCs/>
        </w:rPr>
        <w:t>Composition Module:</w:t>
      </w:r>
      <w:r>
        <w:t xml:space="preserve"> Jurisdiction inheritance with input/fee merging, override detection, and inheritance analysis reporting.</w:t>
      </w:r>
    </w:p>
    <w:p w14:paraId="653BE1D8" w14:textId="77777777" w:rsidR="00CD4C2C" w:rsidRDefault="00000000">
      <w:pPr>
        <w:pStyle w:val="Heading3"/>
      </w:pPr>
      <w:bookmarkStart w:id="48" w:name="command-line-interface"/>
      <w:bookmarkEnd w:id="47"/>
      <w:r>
        <w:t>6.2 Command-Line Interface</w:t>
      </w:r>
    </w:p>
    <w:p w14:paraId="4553FB4D" w14:textId="77777777" w:rsidR="00CD4C2C" w:rsidRDefault="00000000">
      <w:pPr>
        <w:pStyle w:val="FirstParagraph"/>
      </w:pPr>
      <w:r>
        <w:t>The CLI provides five commands:</w:t>
      </w:r>
    </w:p>
    <w:p w14:paraId="41DC9F06" w14:textId="77777777" w:rsidR="00CD4C2C" w:rsidRDefault="00000000">
      <w:pPr>
        <w:pStyle w:val="BodyText"/>
      </w:pPr>
      <w:r>
        <w:rPr>
          <w:b/>
          <w:bCs/>
        </w:rPr>
        <w:t>parse</w:t>
      </w:r>
      <w:r>
        <w:t xml:space="preserve"> - Validate syntax and types:</w:t>
      </w:r>
    </w:p>
    <w:p w14:paraId="47CD9227" w14:textId="77777777" w:rsidR="00CD4C2C" w:rsidRDefault="00000000">
      <w:pPr>
        <w:pStyle w:val="SourceCode"/>
      </w:pPr>
      <w:r>
        <w:rPr>
          <w:rStyle w:val="ExtensionTok"/>
        </w:rPr>
        <w:t>ipflang</w:t>
      </w:r>
      <w:r>
        <w:rPr>
          <w:rStyle w:val="NormalTok"/>
        </w:rPr>
        <w:t xml:space="preserve"> parse filing.ipf</w:t>
      </w:r>
    </w:p>
    <w:p w14:paraId="346CCE5E" w14:textId="77777777" w:rsidR="00CD4C2C" w:rsidRDefault="00000000">
      <w:pPr>
        <w:pStyle w:val="FirstParagraph"/>
      </w:pPr>
      <w:r>
        <w:rPr>
          <w:b/>
          <w:bCs/>
        </w:rPr>
        <w:t>run</w:t>
      </w:r>
      <w:r>
        <w:t xml:space="preserve"> - Execute fee calculation:</w:t>
      </w:r>
    </w:p>
    <w:p w14:paraId="4D35AAB7" w14:textId="77777777" w:rsidR="00CD4C2C" w:rsidRDefault="00000000">
      <w:pPr>
        <w:pStyle w:val="SourceCode"/>
      </w:pPr>
      <w:r>
        <w:rPr>
          <w:rStyle w:val="ExtensionTok"/>
        </w:rPr>
        <w:t>ipflang</w:t>
      </w:r>
      <w:r>
        <w:rPr>
          <w:rStyle w:val="NormalTok"/>
        </w:rPr>
        <w:t xml:space="preserve"> run filing.ipf </w:t>
      </w:r>
      <w:r>
        <w:rPr>
          <w:rStyle w:val="AttributeTok"/>
        </w:rPr>
        <w:t>--inputs</w:t>
      </w:r>
      <w:r>
        <w:rPr>
          <w:rStyle w:val="NormalTok"/>
        </w:rPr>
        <w:t xml:space="preserve"> params.json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1EE2FBA9" w14:textId="77777777" w:rsidR="00CD4C2C" w:rsidRDefault="00000000">
      <w:pPr>
        <w:pStyle w:val="FirstParagraph"/>
      </w:pPr>
      <w:r>
        <w:rPr>
          <w:b/>
          <w:bCs/>
        </w:rPr>
        <w:t>verify</w:t>
      </w:r>
      <w:r>
        <w:t xml:space="preserve"> - Run verification directives:</w:t>
      </w:r>
    </w:p>
    <w:p w14:paraId="04DD3952" w14:textId="77777777" w:rsidR="00CD4C2C" w:rsidRDefault="00000000">
      <w:pPr>
        <w:pStyle w:val="SourceCode"/>
      </w:pPr>
      <w:r>
        <w:rPr>
          <w:rStyle w:val="ExtensionTok"/>
        </w:rPr>
        <w:t>ipflang</w:t>
      </w:r>
      <w:r>
        <w:rPr>
          <w:rStyle w:val="NormalTok"/>
        </w:rPr>
        <w:t xml:space="preserve"> verify filing.ipf</w:t>
      </w:r>
    </w:p>
    <w:p w14:paraId="35ECB7BC" w14:textId="77777777" w:rsidR="00CD4C2C" w:rsidRDefault="00000000">
      <w:pPr>
        <w:pStyle w:val="FirstParagraph"/>
      </w:pPr>
      <w:r>
        <w:rPr>
          <w:b/>
          <w:bCs/>
        </w:rPr>
        <w:t>info</w:t>
      </w:r>
      <w:r>
        <w:t xml:space="preserve"> - Display script metadata:</w:t>
      </w:r>
    </w:p>
    <w:p w14:paraId="555182EF" w14:textId="77777777" w:rsidR="00CD4C2C" w:rsidRDefault="00000000">
      <w:pPr>
        <w:pStyle w:val="SourceCode"/>
      </w:pPr>
      <w:r>
        <w:rPr>
          <w:rStyle w:val="ExtensionTok"/>
        </w:rPr>
        <w:t>ipflang</w:t>
      </w:r>
      <w:r>
        <w:rPr>
          <w:rStyle w:val="NormalTok"/>
        </w:rPr>
        <w:t xml:space="preserve"> info filing.ipf</w:t>
      </w:r>
    </w:p>
    <w:p w14:paraId="3318EA49" w14:textId="77777777" w:rsidR="00CD4C2C" w:rsidRDefault="00000000">
      <w:pPr>
        <w:pStyle w:val="FirstParagraph"/>
      </w:pPr>
      <w:r>
        <w:rPr>
          <w:b/>
          <w:bCs/>
        </w:rPr>
        <w:t>compose</w:t>
      </w:r>
      <w:r>
        <w:t xml:space="preserve"> - Combine jurisdictions:</w:t>
      </w:r>
    </w:p>
    <w:p w14:paraId="5DE0B5BB" w14:textId="77777777" w:rsidR="00CD4C2C" w:rsidRDefault="00000000">
      <w:pPr>
        <w:pStyle w:val="SourceCode"/>
      </w:pPr>
      <w:r>
        <w:rPr>
          <w:rStyle w:val="ExtensionTok"/>
        </w:rPr>
        <w:t>ipflang</w:t>
      </w:r>
      <w:r>
        <w:rPr>
          <w:rStyle w:val="NormalTok"/>
        </w:rPr>
        <w:t xml:space="preserve"> compose base.ipf national.ipf </w:t>
      </w:r>
      <w:r>
        <w:rPr>
          <w:rStyle w:val="PreprocessorTok"/>
        </w:rPr>
        <w:t>[--</w:t>
      </w:r>
      <w:r>
        <w:rPr>
          <w:rStyle w:val="SpecialStringTok"/>
        </w:rPr>
        <w:t>analysis</w:t>
      </w:r>
      <w:r>
        <w:rPr>
          <w:rStyle w:val="PreprocessorTok"/>
        </w:rPr>
        <w:t>]</w:t>
      </w:r>
    </w:p>
    <w:p w14:paraId="10A89E27" w14:textId="77777777" w:rsidR="00CD4C2C" w:rsidRDefault="00000000">
      <w:pPr>
        <w:pStyle w:val="Heading3"/>
      </w:pPr>
      <w:bookmarkStart w:id="49" w:name="inputoutput-formats"/>
      <w:bookmarkEnd w:id="48"/>
      <w:r>
        <w:t>6.3 Input/Output Formats</w:t>
      </w:r>
    </w:p>
    <w:p w14:paraId="2FC80221" w14:textId="77777777" w:rsidR="00CD4C2C" w:rsidRDefault="00000000">
      <w:pPr>
        <w:pStyle w:val="FirstParagraph"/>
      </w:pPr>
      <w:r>
        <w:rPr>
          <w:b/>
          <w:bCs/>
        </w:rPr>
        <w:t>Input (JSON):</w:t>
      </w:r>
    </w:p>
    <w:p w14:paraId="27067C2A" w14:textId="77777777" w:rsidR="00CD4C2C" w:rsidRDefault="00000000">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"SmallEntity"</w:t>
      </w:r>
      <w:r>
        <w:rPr>
          <w:rStyle w:val="FunctionTok"/>
        </w:rPr>
        <w:t>,</w:t>
      </w:r>
      <w:r>
        <w:br/>
      </w:r>
      <w:r>
        <w:rPr>
          <w:rStyle w:val="NormalTok"/>
        </w:rPr>
        <w:t xml:space="preserve">  </w:t>
      </w:r>
      <w:r>
        <w:rPr>
          <w:rStyle w:val="DataTypeTok"/>
        </w:rPr>
        <w:t>"ClaimCount"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"RequestsExamination"</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"FilingDate"</w:t>
      </w:r>
      <w:r>
        <w:rPr>
          <w:rStyle w:val="FunctionTok"/>
        </w:rPr>
        <w:t>:</w:t>
      </w:r>
      <w:r>
        <w:rPr>
          <w:rStyle w:val="NormalTok"/>
        </w:rPr>
        <w:t xml:space="preserve"> </w:t>
      </w:r>
      <w:r>
        <w:rPr>
          <w:rStyle w:val="StringTok"/>
        </w:rPr>
        <w:t>"2024-01-15"</w:t>
      </w:r>
      <w:r>
        <w:br/>
      </w:r>
      <w:r>
        <w:rPr>
          <w:rStyle w:val="FunctionTok"/>
        </w:rPr>
        <w:t>}</w:t>
      </w:r>
    </w:p>
    <w:p w14:paraId="3ED6185F" w14:textId="77777777" w:rsidR="00CD4C2C" w:rsidRDefault="00000000">
      <w:pPr>
        <w:pStyle w:val="FirstParagraph"/>
      </w:pPr>
      <w:r>
        <w:rPr>
          <w:b/>
          <w:bCs/>
        </w:rPr>
        <w:t>Output:</w:t>
      </w:r>
    </w:p>
    <w:p w14:paraId="3671C86F" w14:textId="77777777" w:rsidR="00CD4C2C"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lastRenderedPageBreak/>
        <w:t>Search Fee:        EUR 1,460.00</w:t>
      </w:r>
      <w:r>
        <w:br/>
      </w:r>
      <w:r>
        <w:rPr>
          <w:rStyle w:val="VerbatimChar"/>
        </w:rPr>
        <w:t>----------------------------</w:t>
      </w:r>
      <w:r>
        <w:br/>
      </w:r>
      <w:r>
        <w:rPr>
          <w:rStyle w:val="VerbatimChar"/>
        </w:rPr>
        <w:t>Total:             EUR 4,905.00</w:t>
      </w:r>
    </w:p>
    <w:p w14:paraId="46230E95" w14:textId="77777777" w:rsidR="00CD4C2C" w:rsidRDefault="00000000">
      <w:pPr>
        <w:pStyle w:val="Heading3"/>
      </w:pPr>
      <w:bookmarkStart w:id="50" w:name="source-code-availability"/>
      <w:bookmarkEnd w:id="49"/>
      <w:r>
        <w:t>6.4 Source Code Availability</w:t>
      </w:r>
    </w:p>
    <w:p w14:paraId="49F3562D" w14:textId="77777777" w:rsidR="00CD4C2C"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 </w:t>
      </w:r>
      <w:r>
        <w:rPr>
          <w:rStyle w:val="VerbatimChar"/>
        </w:rPr>
        <w:t>examples/</w:t>
      </w:r>
      <w:r>
        <w:t xml:space="preserve"> directory (approximately 1,900 lines of DSL code) demonstrating language features, 118 production jurisdiction files in the </w:t>
      </w:r>
      <w:r>
        <w:rPr>
          <w:rStyle w:val="VerbatimChar"/>
        </w:rPr>
        <w:t>jurisdictions/</w:t>
      </w:r>
      <w:r>
        <w:t xml:space="preserve"> directory covering PCT national/regional phase entry fees (approximately 11,800 lines of DSL code), and documentation with syntax reference.</w:t>
      </w:r>
    </w:p>
    <w:p w14:paraId="39E18606" w14:textId="77777777" w:rsidR="00CD4C2C" w:rsidRDefault="00000000">
      <w:pPr>
        <w:pStyle w:val="Heading2"/>
      </w:pPr>
      <w:bookmarkStart w:id="51" w:name="evaluation"/>
      <w:bookmarkEnd w:id="46"/>
      <w:bookmarkEnd w:id="50"/>
      <w:r>
        <w:t>7. Evaluation</w:t>
      </w:r>
    </w:p>
    <w:p w14:paraId="1BDF70B8" w14:textId="77777777" w:rsidR="00CD4C2C" w:rsidRDefault="00000000">
      <w:pPr>
        <w:pStyle w:val="Heading3"/>
      </w:pPr>
      <w:bookmarkStart w:id="52" w:name="representative-examples"/>
      <w:r>
        <w:t>7.1 Representative Examples</w:t>
      </w:r>
    </w:p>
    <w:p w14:paraId="65F402D5" w14:textId="77777777" w:rsidR="00CD4C2C" w:rsidRDefault="00000000">
      <w:pPr>
        <w:pStyle w:val="FirstParagraph"/>
      </w:pPr>
      <w:r>
        <w:rPr>
          <w:b/>
          <w:bCs/>
        </w:rPr>
        <w:t>[INSERT FIGURE 8: figures/figure8_jurisdiction_coverage.mmd - PCT National/Regional Phase Jurisdiction Coverage]</w:t>
      </w:r>
    </w:p>
    <w:p w14:paraId="5D1D83DD" w14:textId="77777777" w:rsidR="00CD4C2C" w:rsidRDefault="00000000">
      <w:pPr>
        <w:pStyle w:val="BodyText"/>
      </w:pPr>
      <w:r>
        <w:t xml:space="preserve">The implementation includes 20 IPFLang example files in the </w:t>
      </w:r>
      <w:r>
        <w:rPr>
          <w:rStyle w:val="VerbatimChar"/>
        </w:rPr>
        <w:t>examples/</w:t>
      </w:r>
      <w:r>
        <w:t xml:space="preserve"> directory demonstrating language expressiveness across diverse fee structure patterns, plus </w:t>
      </w:r>
      <w:r>
        <w:rPr>
          <w:b/>
          <w:bCs/>
        </w:rPr>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505890FF" w14:textId="77777777" w:rsidR="00CD4C2C"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70BF6D10" w14:textId="77777777" w:rsidR="00CD4C2C" w:rsidRDefault="00000000">
      <w:pPr>
        <w:pStyle w:val="BodyText"/>
      </w:pPr>
      <w:r>
        <w:t>Feature demonstrations include currency type safety with mixed-currency error detection, entity-based discount patterns (50% and 75% reductions), temporal operations for date-dependent fees, nested CASE blocks for complex conditional logic, MULTILIST with !COUNT for designation fees, optional fees and versioning, and jurisdiction composition (EPO base combined with DE/FR/RO national phases).</w:t>
      </w:r>
    </w:p>
    <w:p w14:paraId="7AC7E443" w14:textId="77777777" w:rsidR="00CD4C2C" w:rsidRDefault="00000000">
      <w:pPr>
        <w:pStyle w:val="BodyText"/>
      </w:pPr>
      <w:r>
        <w:t>Error detection examples cover mixed currency arithmetic (EUR + USD), incomplete fee coverage, non-monotonic fee behavior, invalid currency codes, and undefined variable references.</w:t>
      </w:r>
    </w:p>
    <w:p w14:paraId="618CDC71" w14:textId="77777777" w:rsidR="00CD4C2C" w:rsidRDefault="00000000">
      <w:pPr>
        <w:pStyle w:val="BodyText"/>
      </w:pPr>
      <w:r>
        <w:t>The 118 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w:t>
      </w:r>
      <w:r>
        <w:rPr>
          <w:rStyle w:val="VerbatimChar"/>
        </w:rPr>
        <w:t>PCT-XX.ipf</w:t>
      </w:r>
      <w:r>
        <w:t xml:space="preserve"> where XX is the ISO country code) that either stand alone or inherit from and extend their regional base. For example, </w:t>
      </w:r>
      <w:r>
        <w:rPr>
          <w:rStyle w:val="VerbatimChar"/>
        </w:rPr>
        <w:t>PCT-RO.ipf</w:t>
      </w:r>
      <w:r>
        <w:t xml:space="preserve"> (Romania) composes with </w:t>
      </w:r>
      <w:r>
        <w:rPr>
          <w:rStyle w:val="VerbatimChar"/>
        </w:rPr>
        <w:t>bases/base_ep.ipf</w:t>
      </w:r>
      <w:r>
        <w:t xml:space="preserve"> to inherit EPO validation requirements while adding OSIM-specific national phase fees. This hierarchical organization eliminates duplication across jurisdictions sharing common regional structures while allowing country-specific customizations.</w:t>
      </w:r>
    </w:p>
    <w:p w14:paraId="73F1CFDC" w14:textId="77777777" w:rsidR="00CD4C2C" w:rsidRDefault="00000000">
      <w:pPr>
        <w:pStyle w:val="Heading3"/>
      </w:pPr>
      <w:bookmarkStart w:id="53" w:name="jurisdiction-file-validation"/>
      <w:bookmarkEnd w:id="52"/>
      <w:r>
        <w:lastRenderedPageBreak/>
        <w:t>7.2 Jurisdiction File Validation</w:t>
      </w:r>
    </w:p>
    <w:p w14:paraId="1EC031F2" w14:textId="77777777" w:rsidR="00CD4C2C" w:rsidRDefault="00000000">
      <w:pPr>
        <w:pStyle w:val="FirstParagraph"/>
      </w:pPr>
      <w:r>
        <w:t xml:space="preserve">The 118 production jurisdiction files in the </w:t>
      </w:r>
      <w:r>
        <w:rPr>
          <w:rStyle w:val="VerbatimChar"/>
        </w:rPr>
        <w:t>jurisdictions/</w:t>
      </w:r>
      <w:r>
        <w:t xml:space="preserve"> directory were validated by a domain expert (Robert Fichter, Ph.D., Jet IP) against official PCT national/regional phase entry fee schedules from patent offices worldwide. The validation process verified dollar-accurate calculations across all supported jurisdictions covering the period 2023-2024.</w:t>
      </w:r>
    </w:p>
    <w:p w14:paraId="4E48D0AD" w14:textId="77777777" w:rsidR="00CD4C2C" w:rsidRDefault="00000000">
      <w:pPr>
        <w:pStyle w:val="BodyText"/>
      </w:pPr>
      <w:r>
        <w:t xml:space="preserve">The jurisdiction files are organized hierarchically with 4 regional base files defining common fee structures: - </w:t>
      </w:r>
      <w:r>
        <w:rPr>
          <w:b/>
          <w:bCs/>
        </w:rPr>
        <w:t>base_ep.ipf</w:t>
      </w:r>
      <w:r>
        <w:t xml:space="preserve">: European Patent Convention member states (38 countries) - </w:t>
      </w:r>
      <w:r>
        <w:rPr>
          <w:b/>
          <w:bCs/>
        </w:rPr>
        <w:t>base_ea.ipf</w:t>
      </w:r>
      <w:r>
        <w:t>: Eurasian Patent Organization member states (9 countries)</w:t>
      </w:r>
      <w:r>
        <w:br/>
        <w:t xml:space="preserve">- </w:t>
      </w:r>
      <w:r>
        <w:rPr>
          <w:b/>
          <w:bCs/>
        </w:rPr>
        <w:t>base_ap.ipf</w:t>
      </w:r>
      <w:r>
        <w:t xml:space="preserve">: African Regional Intellectual Property Organization (ARIPO) member states (19 countries) - </w:t>
      </w:r>
      <w:r>
        <w:rPr>
          <w:b/>
          <w:bCs/>
        </w:rPr>
        <w:t>base_oa.ipf</w:t>
      </w:r>
      <w:r>
        <w:t>: African Intellectual Property Organization (OAPI) member states (17 countries)</w:t>
      </w:r>
    </w:p>
    <w:p w14:paraId="5A7A6CCA" w14:textId="77777777" w:rsidR="00CD4C2C" w:rsidRDefault="00000000">
      <w:pPr>
        <w:pStyle w:val="BodyText"/>
      </w:pPr>
      <w:r>
        <w:t>Individual jurisdiction files (</w:t>
      </w:r>
      <w:r>
        <w:rPr>
          <w:rStyle w:val="VerbatimChar"/>
        </w:rPr>
        <w:t>PCT-XX.ipf</w:t>
      </w:r>
      <w:r>
        <w:t xml:space="preserve"> where XX is the ISO country code) either stand alone or inherit from and extend their regional base using the COMPOSE directive. For example, </w:t>
      </w:r>
      <w:r>
        <w:rPr>
          <w:rStyle w:val="VerbatimChar"/>
        </w:rPr>
        <w:t>PCT-RO.ipf</w:t>
      </w:r>
      <w:r>
        <w:t xml:space="preserve"> (Romania) composes with </w:t>
      </w:r>
      <w:r>
        <w:rPr>
          <w:rStyle w:val="VerbatimChar"/>
        </w:rPr>
        <w:t>bases/base_ep.ipf</w:t>
      </w:r>
      <w:r>
        <w:t xml:space="preserve"> to inherit EPO validation requirements while adding OSIM-specific national phase fees. This hierarchical organization eliminates duplication while allowing country-specific customizations.</w:t>
      </w:r>
    </w:p>
    <w:p w14:paraId="25AC6976" w14:textId="77777777" w:rsidR="00CD4C2C" w:rsidRDefault="00000000">
      <w:pPr>
        <w:pStyle w:val="BodyText"/>
      </w:pPr>
      <w:r>
        <w:t xml:space="preserve">The test suite includes </w:t>
      </w:r>
      <w:r>
        <w:rPr>
          <w:rStyle w:val="VerbatimChar"/>
        </w:rPr>
        <w:t>RealWorldValidationTests.cs</w:t>
      </w:r>
      <w:r>
        <w:t xml:space="preserve"> with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25692CE" w14:textId="77777777" w:rsidR="00CD4C2C" w:rsidRDefault="00000000">
      <w:pPr>
        <w:pStyle w:val="Heading3"/>
      </w:pPr>
      <w:bookmarkStart w:id="54" w:name="test-suite"/>
      <w:bookmarkEnd w:id="53"/>
      <w:r>
        <w:t>7.3 Test Suite</w:t>
      </w:r>
    </w:p>
    <w:p w14:paraId="2E4AD8DB" w14:textId="77777777" w:rsidR="00CD4C2C" w:rsidRDefault="00000000">
      <w:pPr>
        <w:pStyle w:val="FirstParagraph"/>
      </w:pPr>
      <w:r>
        <w:t>The test suite comprises 260 test methods across 18 test categories covering:</w:t>
      </w:r>
    </w:p>
    <w:tbl>
      <w:tblPr>
        <w:tblStyle w:val="Table"/>
        <w:tblW w:w="0" w:type="auto"/>
        <w:tblLook w:val="0020" w:firstRow="1" w:lastRow="0" w:firstColumn="0" w:lastColumn="0" w:noHBand="0" w:noVBand="0"/>
      </w:tblPr>
      <w:tblGrid>
        <w:gridCol w:w="2943"/>
        <w:gridCol w:w="769"/>
        <w:gridCol w:w="3339"/>
      </w:tblGrid>
      <w:tr w:rsidR="00CD4C2C" w14:paraId="0DC9DE2A" w14:textId="77777777" w:rsidTr="00CD4C2C">
        <w:trPr>
          <w:cnfStyle w:val="100000000000" w:firstRow="1" w:lastRow="0" w:firstColumn="0" w:lastColumn="0" w:oddVBand="0" w:evenVBand="0" w:oddHBand="0" w:evenHBand="0" w:firstRowFirstColumn="0" w:firstRowLastColumn="0" w:lastRowFirstColumn="0" w:lastRowLastColumn="0"/>
          <w:tblHeader/>
        </w:trPr>
        <w:tc>
          <w:tcPr>
            <w:tcW w:w="0" w:type="auto"/>
          </w:tcPr>
          <w:p w14:paraId="086E123E" w14:textId="77777777" w:rsidR="00CD4C2C" w:rsidRDefault="00000000">
            <w:pPr>
              <w:pStyle w:val="Compact"/>
            </w:pPr>
            <w:r>
              <w:t>Category</w:t>
            </w:r>
          </w:p>
        </w:tc>
        <w:tc>
          <w:tcPr>
            <w:tcW w:w="0" w:type="auto"/>
          </w:tcPr>
          <w:p w14:paraId="01BE8F59" w14:textId="77777777" w:rsidR="00CD4C2C" w:rsidRDefault="00000000">
            <w:pPr>
              <w:pStyle w:val="Compact"/>
            </w:pPr>
            <w:r>
              <w:t>Tests</w:t>
            </w:r>
          </w:p>
        </w:tc>
        <w:tc>
          <w:tcPr>
            <w:tcW w:w="0" w:type="auto"/>
          </w:tcPr>
          <w:p w14:paraId="068DED00" w14:textId="77777777" w:rsidR="00CD4C2C" w:rsidRDefault="00000000">
            <w:pPr>
              <w:pStyle w:val="Compact"/>
            </w:pPr>
            <w:r>
              <w:t>Coverage</w:t>
            </w:r>
          </w:p>
        </w:tc>
      </w:tr>
      <w:tr w:rsidR="00CD4C2C" w14:paraId="1DC350CF" w14:textId="77777777">
        <w:tc>
          <w:tcPr>
            <w:tcW w:w="0" w:type="auto"/>
          </w:tcPr>
          <w:p w14:paraId="145CAE78" w14:textId="77777777" w:rsidR="00CD4C2C" w:rsidRDefault="00000000">
            <w:pPr>
              <w:pStyle w:val="Compact"/>
            </w:pPr>
            <w:r>
              <w:t>Calculator operations</w:t>
            </w:r>
          </w:p>
        </w:tc>
        <w:tc>
          <w:tcPr>
            <w:tcW w:w="0" w:type="auto"/>
          </w:tcPr>
          <w:p w14:paraId="429DE52F" w14:textId="77777777" w:rsidR="00CD4C2C" w:rsidRDefault="00000000">
            <w:pPr>
              <w:pStyle w:val="Compact"/>
            </w:pPr>
            <w:r>
              <w:t>15</w:t>
            </w:r>
          </w:p>
        </w:tc>
        <w:tc>
          <w:tcPr>
            <w:tcW w:w="0" w:type="auto"/>
          </w:tcPr>
          <w:p w14:paraId="3E6E0504" w14:textId="77777777" w:rsidR="00CD4C2C" w:rsidRDefault="00000000">
            <w:pPr>
              <w:pStyle w:val="Compact"/>
            </w:pPr>
            <w:r>
              <w:t>Basic fee computation</w:t>
            </w:r>
          </w:p>
        </w:tc>
      </w:tr>
      <w:tr w:rsidR="00CD4C2C" w14:paraId="0705BB8E" w14:textId="77777777">
        <w:tc>
          <w:tcPr>
            <w:tcW w:w="0" w:type="auto"/>
          </w:tcPr>
          <w:p w14:paraId="68FFCD51" w14:textId="77777777" w:rsidR="00CD4C2C" w:rsidRDefault="00000000">
            <w:pPr>
              <w:pStyle w:val="Compact"/>
            </w:pPr>
            <w:r>
              <w:t>Currency type safety</w:t>
            </w:r>
          </w:p>
        </w:tc>
        <w:tc>
          <w:tcPr>
            <w:tcW w:w="0" w:type="auto"/>
          </w:tcPr>
          <w:p w14:paraId="38749E81" w14:textId="77777777" w:rsidR="00CD4C2C" w:rsidRDefault="00000000">
            <w:pPr>
              <w:pStyle w:val="Compact"/>
            </w:pPr>
            <w:r>
              <w:t>31</w:t>
            </w:r>
          </w:p>
        </w:tc>
        <w:tc>
          <w:tcPr>
            <w:tcW w:w="0" w:type="auto"/>
          </w:tcPr>
          <w:p w14:paraId="6CF17AED" w14:textId="77777777" w:rsidR="00CD4C2C" w:rsidRDefault="00000000">
            <w:pPr>
              <w:pStyle w:val="Compact"/>
            </w:pPr>
            <w:r>
              <w:t>Type checking, 161 currencies</w:t>
            </w:r>
          </w:p>
        </w:tc>
      </w:tr>
      <w:tr w:rsidR="00CD4C2C" w14:paraId="25BD9F3D" w14:textId="77777777">
        <w:tc>
          <w:tcPr>
            <w:tcW w:w="0" w:type="auto"/>
          </w:tcPr>
          <w:p w14:paraId="01F8E7F8" w14:textId="77777777" w:rsidR="00CD4C2C" w:rsidRDefault="00000000">
            <w:pPr>
              <w:pStyle w:val="Compact"/>
            </w:pPr>
            <w:r>
              <w:t>Completeness verification</w:t>
            </w:r>
          </w:p>
        </w:tc>
        <w:tc>
          <w:tcPr>
            <w:tcW w:w="0" w:type="auto"/>
          </w:tcPr>
          <w:p w14:paraId="44E7BD1B" w14:textId="77777777" w:rsidR="00CD4C2C" w:rsidRDefault="00000000">
            <w:pPr>
              <w:pStyle w:val="Compact"/>
            </w:pPr>
            <w:r>
              <w:t>25</w:t>
            </w:r>
          </w:p>
        </w:tc>
        <w:tc>
          <w:tcPr>
            <w:tcW w:w="0" w:type="auto"/>
          </w:tcPr>
          <w:p w14:paraId="094E8E81" w14:textId="77777777" w:rsidR="00CD4C2C" w:rsidRDefault="00000000">
            <w:pPr>
              <w:pStyle w:val="Compact"/>
            </w:pPr>
            <w:r>
              <w:t>Gap detection, sampling</w:t>
            </w:r>
          </w:p>
        </w:tc>
      </w:tr>
      <w:tr w:rsidR="00CD4C2C" w14:paraId="28C48D1A" w14:textId="77777777">
        <w:tc>
          <w:tcPr>
            <w:tcW w:w="0" w:type="auto"/>
          </w:tcPr>
          <w:p w14:paraId="7692BFB9" w14:textId="77777777" w:rsidR="00CD4C2C" w:rsidRDefault="00000000">
            <w:pPr>
              <w:pStyle w:val="Compact"/>
            </w:pPr>
            <w:r>
              <w:t>Monotonicity verification</w:t>
            </w:r>
          </w:p>
        </w:tc>
        <w:tc>
          <w:tcPr>
            <w:tcW w:w="0" w:type="auto"/>
          </w:tcPr>
          <w:p w14:paraId="76D210DE" w14:textId="77777777" w:rsidR="00CD4C2C" w:rsidRDefault="00000000">
            <w:pPr>
              <w:pStyle w:val="Compact"/>
            </w:pPr>
            <w:r>
              <w:t>4</w:t>
            </w:r>
          </w:p>
        </w:tc>
        <w:tc>
          <w:tcPr>
            <w:tcW w:w="0" w:type="auto"/>
          </w:tcPr>
          <w:p w14:paraId="73DE0DCE" w14:textId="77777777" w:rsidR="00CD4C2C" w:rsidRDefault="00000000">
            <w:pPr>
              <w:pStyle w:val="Compact"/>
            </w:pPr>
            <w:r>
              <w:t>Direction enforcement</w:t>
            </w:r>
          </w:p>
        </w:tc>
      </w:tr>
      <w:tr w:rsidR="00CD4C2C" w14:paraId="33D1F131" w14:textId="77777777">
        <w:tc>
          <w:tcPr>
            <w:tcW w:w="0" w:type="auto"/>
          </w:tcPr>
          <w:p w14:paraId="1765DC44" w14:textId="77777777" w:rsidR="00CD4C2C" w:rsidRDefault="00000000">
            <w:pPr>
              <w:pStyle w:val="Compact"/>
            </w:pPr>
            <w:r>
              <w:t>Temporal operations</w:t>
            </w:r>
          </w:p>
        </w:tc>
        <w:tc>
          <w:tcPr>
            <w:tcW w:w="0" w:type="auto"/>
          </w:tcPr>
          <w:p w14:paraId="39BFCA8F" w14:textId="77777777" w:rsidR="00CD4C2C" w:rsidRDefault="00000000">
            <w:pPr>
              <w:pStyle w:val="Compact"/>
            </w:pPr>
            <w:r>
              <w:t>54</w:t>
            </w:r>
          </w:p>
        </w:tc>
        <w:tc>
          <w:tcPr>
            <w:tcW w:w="0" w:type="auto"/>
          </w:tcPr>
          <w:p w14:paraId="0DCAB016" w14:textId="77777777" w:rsidR="00CD4C2C" w:rsidRDefault="00000000">
            <w:pPr>
              <w:pStyle w:val="Compact"/>
            </w:pPr>
            <w:r>
              <w:t>Date calculations</w:t>
            </w:r>
          </w:p>
        </w:tc>
      </w:tr>
      <w:tr w:rsidR="00CD4C2C" w14:paraId="6985713A" w14:textId="77777777">
        <w:tc>
          <w:tcPr>
            <w:tcW w:w="0" w:type="auto"/>
          </w:tcPr>
          <w:p w14:paraId="181EBD4B" w14:textId="77777777" w:rsidR="00CD4C2C" w:rsidRDefault="00000000">
            <w:pPr>
              <w:pStyle w:val="Compact"/>
            </w:pPr>
            <w:r>
              <w:t>Provenance tracking</w:t>
            </w:r>
          </w:p>
        </w:tc>
        <w:tc>
          <w:tcPr>
            <w:tcW w:w="0" w:type="auto"/>
          </w:tcPr>
          <w:p w14:paraId="6E50AD93" w14:textId="77777777" w:rsidR="00CD4C2C" w:rsidRDefault="00000000">
            <w:pPr>
              <w:pStyle w:val="Compact"/>
            </w:pPr>
            <w:r>
              <w:t>20</w:t>
            </w:r>
          </w:p>
        </w:tc>
        <w:tc>
          <w:tcPr>
            <w:tcW w:w="0" w:type="auto"/>
          </w:tcPr>
          <w:p w14:paraId="281FDD9C" w14:textId="77777777" w:rsidR="00CD4C2C" w:rsidRDefault="00000000">
            <w:pPr>
              <w:pStyle w:val="Compact"/>
            </w:pPr>
            <w:r>
              <w:t>Audit trails</w:t>
            </w:r>
          </w:p>
        </w:tc>
      </w:tr>
      <w:tr w:rsidR="00CD4C2C" w14:paraId="26D11B9D" w14:textId="77777777">
        <w:tc>
          <w:tcPr>
            <w:tcW w:w="0" w:type="auto"/>
          </w:tcPr>
          <w:p w14:paraId="3F55A9D1" w14:textId="77777777" w:rsidR="00CD4C2C" w:rsidRDefault="00000000">
            <w:pPr>
              <w:pStyle w:val="Compact"/>
            </w:pPr>
            <w:r>
              <w:t>Jurisdiction composition</w:t>
            </w:r>
          </w:p>
        </w:tc>
        <w:tc>
          <w:tcPr>
            <w:tcW w:w="0" w:type="auto"/>
          </w:tcPr>
          <w:p w14:paraId="54609868" w14:textId="77777777" w:rsidR="00CD4C2C" w:rsidRDefault="00000000">
            <w:pPr>
              <w:pStyle w:val="Compact"/>
            </w:pPr>
            <w:r>
              <w:t>19</w:t>
            </w:r>
          </w:p>
        </w:tc>
        <w:tc>
          <w:tcPr>
            <w:tcW w:w="0" w:type="auto"/>
          </w:tcPr>
          <w:p w14:paraId="18C3B3B0" w14:textId="77777777" w:rsidR="00CD4C2C" w:rsidRDefault="00000000">
            <w:pPr>
              <w:pStyle w:val="Compact"/>
            </w:pPr>
            <w:r>
              <w:t>Inheritance, overrides</w:t>
            </w:r>
          </w:p>
        </w:tc>
      </w:tr>
      <w:tr w:rsidR="00CD4C2C" w14:paraId="4EF8FB24" w14:textId="77777777">
        <w:tc>
          <w:tcPr>
            <w:tcW w:w="0" w:type="auto"/>
          </w:tcPr>
          <w:p w14:paraId="3F1D241C" w14:textId="77777777" w:rsidR="00CD4C2C" w:rsidRDefault="00000000">
            <w:pPr>
              <w:pStyle w:val="Compact"/>
            </w:pPr>
            <w:r>
              <w:t>Versioning</w:t>
            </w:r>
          </w:p>
        </w:tc>
        <w:tc>
          <w:tcPr>
            <w:tcW w:w="0" w:type="auto"/>
          </w:tcPr>
          <w:p w14:paraId="5BFF2A5A" w14:textId="77777777" w:rsidR="00CD4C2C" w:rsidRDefault="00000000">
            <w:pPr>
              <w:pStyle w:val="Compact"/>
            </w:pPr>
            <w:r>
              <w:t>21</w:t>
            </w:r>
          </w:p>
        </w:tc>
        <w:tc>
          <w:tcPr>
            <w:tcW w:w="0" w:type="auto"/>
          </w:tcPr>
          <w:p w14:paraId="670892EA" w14:textId="77777777" w:rsidR="00CD4C2C" w:rsidRDefault="00000000">
            <w:pPr>
              <w:pStyle w:val="Compact"/>
            </w:pPr>
            <w:r>
              <w:t>Diff, impact analysis</w:t>
            </w:r>
          </w:p>
        </w:tc>
      </w:tr>
      <w:tr w:rsidR="00CD4C2C" w14:paraId="507E2DDA" w14:textId="77777777">
        <w:tc>
          <w:tcPr>
            <w:tcW w:w="0" w:type="auto"/>
          </w:tcPr>
          <w:p w14:paraId="40C76FA4" w14:textId="77777777" w:rsidR="00CD4C2C" w:rsidRDefault="00000000">
            <w:pPr>
              <w:pStyle w:val="Compact"/>
            </w:pPr>
            <w:r>
              <w:t>Other</w:t>
            </w:r>
          </w:p>
        </w:tc>
        <w:tc>
          <w:tcPr>
            <w:tcW w:w="0" w:type="auto"/>
          </w:tcPr>
          <w:p w14:paraId="3E12BF12" w14:textId="77777777" w:rsidR="00CD4C2C" w:rsidRDefault="00000000">
            <w:pPr>
              <w:pStyle w:val="Compact"/>
            </w:pPr>
            <w:r>
              <w:t>77</w:t>
            </w:r>
          </w:p>
        </w:tc>
        <w:tc>
          <w:tcPr>
            <w:tcW w:w="0" w:type="auto"/>
          </w:tcPr>
          <w:p w14:paraId="7038DCDE" w14:textId="77777777" w:rsidR="00CD4C2C" w:rsidRDefault="00000000">
            <w:pPr>
              <w:pStyle w:val="Compact"/>
            </w:pPr>
            <w:r>
              <w:t>Semantics, parsing, logic</w:t>
            </w:r>
          </w:p>
        </w:tc>
      </w:tr>
    </w:tbl>
    <w:p w14:paraId="13B1F21E" w14:textId="77777777" w:rsidR="00CD4C2C" w:rsidRDefault="00000000">
      <w:pPr>
        <w:pStyle w:val="BodyText"/>
      </w:pPr>
      <w:r>
        <w:t>All 260 tests pass with 100% success rate. Test execution completes in sub-millisecond time per test, confirming that DSL interpretation imposes negligible overhead.</w:t>
      </w:r>
    </w:p>
    <w:p w14:paraId="2CA22E49" w14:textId="77777777" w:rsidR="00CD4C2C" w:rsidRDefault="00000000">
      <w:pPr>
        <w:pStyle w:val="Heading3"/>
      </w:pPr>
      <w:bookmarkStart w:id="55" w:name="threats-to-validity"/>
      <w:bookmarkEnd w:id="54"/>
      <w:r>
        <w:lastRenderedPageBreak/>
        <w:t>7.4 Threats to Validity</w:t>
      </w:r>
    </w:p>
    <w:p w14:paraId="64D661A3" w14:textId="77777777" w:rsidR="00CD4C2C" w:rsidRDefault="00000000">
      <w:pPr>
        <w:pStyle w:val="FirstParagraph"/>
      </w:pPr>
      <w:r>
        <w:rPr>
          <w:b/>
          <w:bCs/>
        </w:rPr>
        <w:t>Internal Validity.</w:t>
      </w:r>
      <w:r>
        <w:t xml:space="preserve"> The test suite validates correctness of the implementation but may not cover all edge cases. The 266 tests focus on feature coverage rather than exhaustive input space exploration. The validation against official fee schedules covers representative scenarios but not all possible input combinations.</w:t>
      </w:r>
    </w:p>
    <w:p w14:paraId="0F6C901F" w14:textId="77777777" w:rsidR="00CD4C2C" w:rsidRDefault="00000000">
      <w:pPr>
        <w:pStyle w:val="BodyText"/>
      </w:pPr>
      <w:r>
        <w:rPr>
          <w:b/>
          <w:bCs/>
        </w:rPr>
        <w:t>External Validity.</w:t>
      </w:r>
      <w:r>
        <w:t xml:space="preserve"> The 118 production jurisdiction files in </w:t>
      </w:r>
      <w:r>
        <w:rPr>
          <w:rStyle w:val="VerbatimChar"/>
        </w:rPr>
        <w:t>jurisdictions/</w:t>
      </w:r>
      <w:r>
        <w:t xml:space="preserve"> covering PCT national/regional phase entry for major patent offices were validated by a domain expert (Robert Fichter, Ph.D.)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52E1A9EF" w14:textId="77777777" w:rsidR="00CD4C2C" w:rsidRDefault="00000000">
      <w:pPr>
        <w:pStyle w:val="BodyText"/>
      </w:pPr>
      <w:r>
        <w:rPr>
          <w:b/>
          <w:bCs/>
        </w:rPr>
        <w:t>Construct Validity.</w:t>
      </w:r>
      <w:r>
        <w:t xml:space="preserve"> Performance measurements reflect test execution time, not isolated component performance. Claims about syntax readability for domain experts are based on established DSL design principles [16, 23] rather than empirical user studies. The keyword-based syntax (EQ, GT, AND) was designed to improve readability compared to symbolic operators, and the explicit block delimiters (ENDCOMPUTE, ENDDEFINE) were chosen to reduce syntax errors, but </w:t>
      </w:r>
      <w:r>
        <w:rPr>
          <w:b/>
          <w:bCs/>
        </w:rPr>
        <w:t>these design hypotheses have not been validated through controlled experiments with practitioners</w:t>
      </w:r>
      <w:r>
        <w:t>. This limitation should be considered when evaluating claims about the language’s accessibility.</w:t>
      </w:r>
    </w:p>
    <w:p w14:paraId="36412A44" w14:textId="77777777" w:rsidR="00CD4C2C"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64F53289" w14:textId="77777777" w:rsidR="00CD4C2C" w:rsidRDefault="00000000">
      <w:pPr>
        <w:pStyle w:val="Heading2"/>
      </w:pPr>
      <w:bookmarkStart w:id="56" w:name="discussion"/>
      <w:bookmarkEnd w:id="51"/>
      <w:bookmarkEnd w:id="55"/>
      <w:r>
        <w:t>8. Discussion</w:t>
      </w:r>
    </w:p>
    <w:p w14:paraId="2DA091E7" w14:textId="77777777" w:rsidR="00CD4C2C" w:rsidRDefault="00000000">
      <w:pPr>
        <w:pStyle w:val="Heading3"/>
      </w:pPr>
      <w:bookmarkStart w:id="57" w:name="advantages-of-dsl-based-standardization"/>
      <w:r>
        <w:t>8.1 Advantages of DSL-Based Standardization</w:t>
      </w:r>
    </w:p>
    <w:p w14:paraId="040A267C" w14:textId="77777777" w:rsidR="00CD4C2C" w:rsidRDefault="00000000">
      <w:pPr>
        <w:pStyle w:val="FirstParagraph"/>
      </w:pPr>
      <w:r>
        <w:rPr>
          <w:b/>
          <w:bCs/>
        </w:rPr>
        <w:t>Transparency and auditability.</w:t>
      </w:r>
      <w:r>
        <w:t xml:space="preserve"> 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14:paraId="1473152D" w14:textId="77777777" w:rsidR="00CD4C2C" w:rsidRDefault="00000000">
      <w:pPr>
        <w:pStyle w:val="BodyText"/>
      </w:pPr>
      <w:r>
        <w:rPr>
          <w:b/>
          <w:bCs/>
        </w:rPr>
        <w:t>Formal verification.</w:t>
      </w:r>
      <w:r>
        <w:t xml:space="preserve"> Static completeness checking (exhaustive mode) and monotonicity checking provide formal guarantees impossible with imperative implementations. For domains within the exhaustive threshold, practitioners can be confident that fee definitions cover all cases and behave predictably.</w:t>
      </w:r>
    </w:p>
    <w:p w14:paraId="1E0026AF" w14:textId="77777777" w:rsidR="00CD4C2C" w:rsidRDefault="00000000">
      <w:pPr>
        <w:pStyle w:val="BodyText"/>
      </w:pPr>
      <w:r>
        <w:rPr>
          <w:b/>
          <w:bCs/>
        </w:rPr>
        <w:t>Vendor independence.</w:t>
      </w:r>
      <w:r>
        <w:t xml:space="preserve"> IPFLang-based calculations are vendor-neutral: any conforming interpreter can execute scripts. Multiple tools can compete on user experience while using a shared, open calculation engine.</w:t>
      </w:r>
    </w:p>
    <w:p w14:paraId="06D8B80F" w14:textId="77777777" w:rsidR="00CD4C2C" w:rsidRDefault="00000000">
      <w:pPr>
        <w:pStyle w:val="BodyText"/>
      </w:pPr>
      <w:r>
        <w:rPr>
          <w:b/>
          <w:bCs/>
        </w:rPr>
        <w:lastRenderedPageBreak/>
        <w:t>Rapid adaptation.</w:t>
      </w:r>
      <w:r>
        <w:t xml:space="preserve"> Government fee schedules change frequently. IPFLang enables updates through script editing and verification, compared to longer cycles for traditional software development.</w:t>
      </w:r>
    </w:p>
    <w:p w14:paraId="4319B891" w14:textId="77777777" w:rsidR="00CD4C2C" w:rsidRDefault="00000000">
      <w:pPr>
        <w:pStyle w:val="Heading3"/>
      </w:pPr>
      <w:bookmarkStart w:id="58" w:name="cross-domain-applicability"/>
      <w:bookmarkEnd w:id="57"/>
      <w:r>
        <w:t>8.2 Cross-Domain Applicability</w:t>
      </w:r>
    </w:p>
    <w:p w14:paraId="4CCA7774" w14:textId="77777777" w:rsidR="00CD4C2C" w:rsidRDefault="00000000">
      <w:pPr>
        <w:pStyle w:val="FirstParagraph"/>
      </w:pPr>
      <w:r>
        <w:t>IPFLang’s design patterns address common regulatory calculation structures beyond intellectual property.</w:t>
      </w:r>
    </w:p>
    <w:p w14:paraId="0E5582BF" w14:textId="77777777" w:rsidR="00CD4C2C" w:rsidRDefault="00000000">
      <w:pPr>
        <w:pStyle w:val="BodyText"/>
      </w:pPr>
      <w:r>
        <w:rPr>
          <w:b/>
          <w:bCs/>
        </w:rPr>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0185988E" w14:textId="77777777" w:rsidR="00CD4C2C" w:rsidRDefault="00000000">
      <w:pPr>
        <w:pStyle w:val="BodyText"/>
      </w:pPr>
      <w:r>
        <w:rPr>
          <w:b/>
          <w:bCs/>
        </w:rPr>
        <w:t>Volume-based progressive pricing</w:t>
      </w:r>
      <w:r>
        <w:t xml:space="preserve"> uses marginal pricing where unit cost changes at thresholds. In IP, claim fees charge one rate for claims 1-15, another for 16-50, and higher for 51+. Cross-domain applications include import duties, tiered utility pricing, and bulk discount structures.</w:t>
      </w:r>
    </w:p>
    <w:p w14:paraId="7D3A37C7" w14:textId="77777777" w:rsidR="00CD4C2C"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3D7AD657" w14:textId="77777777" w:rsidR="00CD4C2C"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2C7D8F2A" w14:textId="77777777" w:rsidR="00CD4C2C"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67EA03A4" w14:textId="77777777" w:rsidR="00CD4C2C" w:rsidRDefault="00000000">
      <w:pPr>
        <w:pStyle w:val="Heading3"/>
      </w:pPr>
      <w:bookmarkStart w:id="59" w:name="limitations"/>
      <w:bookmarkEnd w:id="58"/>
      <w:r>
        <w:t>8.3 Limitations</w:t>
      </w:r>
    </w:p>
    <w:p w14:paraId="179A8C10" w14:textId="77777777" w:rsidR="00CD4C2C" w:rsidRDefault="00000000">
      <w:pPr>
        <w:pStyle w:val="FirstParagraph"/>
      </w:pPr>
      <w:r>
        <w:t>Several limitations constrain the current work. Regarding implementation scope, the reference implementation provides only a CLI interface; REST API support would enable 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1EFC015B" w14:textId="77777777" w:rsidR="00CD4C2C" w:rsidRDefault="00000000">
      <w:pPr>
        <w:pStyle w:val="BodyText"/>
      </w:pPr>
      <w:r>
        <w:t>The type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for domain experts have not been conducted, and design decisions favoring readability (keyword operators, explicit block delimiters) are based on DSL design principles [16, 23] rather than empirical evidence. This constitutes a gap that future work must address.</w:t>
      </w:r>
    </w:p>
    <w:p w14:paraId="44CCB4BC" w14:textId="77777777" w:rsidR="00CD4C2C" w:rsidRDefault="00000000">
      <w:pPr>
        <w:pStyle w:val="BodyText"/>
      </w:pPr>
      <w:r>
        <w:lastRenderedPageBreak/>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7FB746B0" w14:textId="77777777" w:rsidR="00CD4C2C" w:rsidRDefault="00000000">
      <w:pPr>
        <w:pStyle w:val="Heading2"/>
      </w:pPr>
      <w:bookmarkStart w:id="60" w:name="conclusions-and-future-work"/>
      <w:bookmarkEnd w:id="56"/>
      <w:bookmarkEnd w:id="59"/>
      <w:r>
        <w:t>9. Conclusions and Future Work</w:t>
      </w:r>
    </w:p>
    <w:p w14:paraId="351FC899" w14:textId="77777777" w:rsidR="00CD4C2C" w:rsidRDefault="00000000">
      <w:pPr>
        <w:pStyle w:val="FirstParagraph"/>
      </w:pPr>
      <w:r>
        <w:t>This paper introduced IPFLang, a domain-specific language for standardizing intellectual property fee calculations. The key contributions are:</w:t>
      </w:r>
    </w:p>
    <w:p w14:paraId="1F5F5666" w14:textId="77777777" w:rsidR="00CD4C2C"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27823F1A" w14:textId="77777777" w:rsidR="00CD4C2C"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4ABB9D30" w14:textId="77777777" w:rsidR="00CD4C2C"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1A8A24FD" w14:textId="77777777" w:rsidR="00CD4C2C" w:rsidRDefault="00000000">
      <w:pPr>
        <w:numPr>
          <w:ilvl w:val="0"/>
          <w:numId w:val="6"/>
        </w:numPr>
      </w:pPr>
      <w:r>
        <w:rPr>
          <w:b/>
          <w:bCs/>
        </w:rPr>
        <w:t>Provenance tracking</w:t>
      </w:r>
      <w:r>
        <w:t xml:space="preserve"> with counterfactual analysis supporting auditability requirements for regulatory compliance and dispute resolution.</w:t>
      </w:r>
    </w:p>
    <w:p w14:paraId="40B9BCA0" w14:textId="77777777" w:rsidR="00CD4C2C" w:rsidRDefault="00000000">
      <w:pPr>
        <w:numPr>
          <w:ilvl w:val="0"/>
          <w:numId w:val="6"/>
        </w:numPr>
      </w:pPr>
      <w:r>
        <w:rPr>
          <w:b/>
          <w:bCs/>
        </w:rPr>
        <w:t>Reference implementation</w:t>
      </w:r>
      <w:r>
        <w:t xml:space="preserve"> validated through 266 passing tests, verification against official EPO and USPTO fee schedules, and 118 production jurisdiction files covering PCT national/regional phase entry.</w:t>
      </w:r>
    </w:p>
    <w:p w14:paraId="3086213D" w14:textId="77777777" w:rsidR="00CD4C2C" w:rsidRDefault="00000000">
      <w:pPr>
        <w:pStyle w:val="FirstParagraph"/>
      </w:pPr>
      <w:r>
        <w:rPr>
          <w:b/>
          <w:bCs/>
        </w:rPr>
        <w:t>Impact.</w:t>
      </w:r>
      <w:r>
        <w:t xml:space="preserve"> 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14:paraId="24B5F635" w14:textId="77777777" w:rsidR="00CD4C2C" w:rsidRDefault="00000000">
      <w:pPr>
        <w:pStyle w:val="BodyText"/>
      </w:pPr>
      <w:r>
        <w:rPr>
          <w:b/>
          <w:bCs/>
        </w:rPr>
        <w:t>Future work</w:t>
      </w:r>
      <w:r>
        <w:t xml:space="preserve"> will address current limitations through: (1) REST API implementation conforming to OpenAPI standards for enterprise integration; (2) expanded jurisdiction coverage through community contributions; (3) cross-domain pilots applying IPFLang patterns to tax calculations and customs duties; (4) formal mechanization of type safety proofs in a proof assistant such as Coq or F*; and (5) </w:t>
      </w:r>
      <w:r>
        <w:rPr>
          <w:b/>
          <w:bCs/>
        </w:rPr>
        <w:t>user studies with IP practitioners to empirically evaluate the readability and usability of the DSL syntax</w:t>
      </w:r>
      <w:r>
        <w:t>, addressing the current gap between design-based readability claims and empirical validation.</w:t>
      </w:r>
    </w:p>
    <w:p w14:paraId="73B308F2" w14:textId="03714818" w:rsidR="00CD4C2C" w:rsidRDefault="00000000">
      <w:pPr>
        <w:pStyle w:val="BodyText"/>
      </w:pPr>
      <w:r>
        <w:t xml:space="preserve">The open-source implementation is available at </w:t>
      </w:r>
      <w:hyperlink r:id="rId9" w:history="1">
        <w:r w:rsidR="0025530B" w:rsidRPr="00213429">
          <w:rPr>
            <w:rStyle w:val="Hyperlink"/>
          </w:rPr>
          <w:t>https://github.com/vbocan/IPFLang</w:t>
        </w:r>
      </w:hyperlink>
      <w:r>
        <w:t xml:space="preserve"> under GPLv3.</w:t>
      </w:r>
    </w:p>
    <w:p w14:paraId="47BF15B3" w14:textId="77777777" w:rsidR="00CD4C2C" w:rsidRDefault="00000000">
      <w:pPr>
        <w:pStyle w:val="Heading2"/>
      </w:pPr>
      <w:bookmarkStart w:id="61" w:name="references"/>
      <w:bookmarkEnd w:id="60"/>
      <w:r>
        <w:lastRenderedPageBreak/>
        <w:t>References</w:t>
      </w:r>
    </w:p>
    <w:p w14:paraId="08B041F5" w14:textId="77777777" w:rsidR="00CD4C2C" w:rsidRDefault="00000000">
      <w:pPr>
        <w:pStyle w:val="FirstParagraph"/>
      </w:pPr>
      <w:r>
        <w:t>[1] United States Patent and Trademark Office, 2025. USPTO Fee Schedule. https://www.uspto.gov/learning-and-resources/fees-and-payment/uspto-fee-schedule (accessed 15 December 2024).</w:t>
      </w:r>
    </w:p>
    <w:p w14:paraId="6CDF03E1" w14:textId="77777777" w:rsidR="00CD4C2C" w:rsidRDefault="00000000">
      <w:pPr>
        <w:pStyle w:val="BodyText"/>
      </w:pPr>
      <w:r>
        <w:t>[2] European Patent Office, 2024. EPO Schedule of Fees. https://my.epoline.org/epoline-portal/classic/epoline.Scheduleoffees (accessed 15 December 2024).</w:t>
      </w:r>
    </w:p>
    <w:p w14:paraId="42A4D190" w14:textId="77777777" w:rsidR="00CD4C2C" w:rsidRDefault="00000000">
      <w:pPr>
        <w:pStyle w:val="BodyText"/>
      </w:pPr>
      <w:r>
        <w:t>[3] Japan Patent Office, 2024. JPO Fee Information. https://www.jpo.go.jp/ (accessed 15 December 2024).</w:t>
      </w:r>
    </w:p>
    <w:p w14:paraId="480860D9" w14:textId="77777777" w:rsidR="00CD4C2C" w:rsidRDefault="00000000">
      <w:pPr>
        <w:pStyle w:val="BodyText"/>
      </w:pPr>
      <w:r>
        <w:t>[4] World Intellectual Property Organization, 2024. WIPO PCT Fee Tables. https://www.wipo.int/ (accessed 15 December 2024).</w:t>
      </w:r>
    </w:p>
    <w:p w14:paraId="04782F04" w14:textId="77777777" w:rsidR="00CD4C2C" w:rsidRDefault="00000000">
      <w:pPr>
        <w:pStyle w:val="BodyText"/>
      </w:pPr>
      <w:r>
        <w:t>[5] CPA Global (Clarivate), 2024. IP Management Solutions. https://www.cpaglobal.com/ (accessed 15 December 2024).</w:t>
      </w:r>
    </w:p>
    <w:p w14:paraId="11B05930" w14:textId="77777777" w:rsidR="00CD4C2C" w:rsidRDefault="00000000">
      <w:pPr>
        <w:pStyle w:val="BodyText"/>
      </w:pPr>
      <w:r>
        <w:t>[6] T. Athan, H. Boley, G. Governatori, M. Palmirani, A. Paschke, A. Wyner, LegalRuleML: Design Principles and Foundations, in: Reasoning Web. Web Logic Rules, Springer, Cham, 2015, pp. 151–188. https://doi.org/10.1007/978-3-319-21768-0_6.</w:t>
      </w:r>
    </w:p>
    <w:p w14:paraId="355A4AC6" w14:textId="77777777" w:rsidR="00CD4C2C" w:rsidRDefault="00000000">
      <w:pPr>
        <w:pStyle w:val="BodyText"/>
      </w:pPr>
      <w:r>
        <w:t>[7] D. Merigoux, N. Chataing, J. Protzenko, Catala: A Programming Language for the Law, Proc. ACM Program. Lang. 5 (ICFP) (2021) Article 77. https://doi.org/10.1145/3473582.</w:t>
      </w:r>
    </w:p>
    <w:p w14:paraId="63F35A94" w14:textId="77777777" w:rsidR="00CD4C2C" w:rsidRDefault="00000000">
      <w:pPr>
        <w:pStyle w:val="BodyText"/>
      </w:pPr>
      <w:r>
        <w:t>[8] World Intellectual Property Organization, 2023. WIPO ST.96 - Processing of IP Information using XML. https://www.wipo.int/standards/en/st96.html (accessed 15 December 2024).</w:t>
      </w:r>
    </w:p>
    <w:p w14:paraId="09E6D901" w14:textId="77777777" w:rsidR="00CD4C2C" w:rsidRDefault="00000000">
      <w:pPr>
        <w:pStyle w:val="BodyText"/>
      </w:pPr>
      <w:r>
        <w:t>[9] European Patent Office, 2024. EPO Open Patent Services (OPS) API. https://www.epo.org/searching-for-patents/data/web-services/ops.html (accessed 15 December 2024).</w:t>
      </w:r>
    </w:p>
    <w:p w14:paraId="781FAACA" w14:textId="77777777" w:rsidR="00CD4C2C" w:rsidRDefault="00000000">
      <w:pPr>
        <w:pStyle w:val="BodyText"/>
      </w:pPr>
      <w:r>
        <w:t>[10] T. Hvitved, Contract Formalisation and Modular Implementation of Domain-Specific Languages, PhD Thesis, University of Copenhagen, Denmark, 2011.</w:t>
      </w:r>
    </w:p>
    <w:p w14:paraId="71E806C2" w14:textId="77777777" w:rsidR="00CD4C2C" w:rsidRDefault="00000000">
      <w:pPr>
        <w:pStyle w:val="BodyText"/>
      </w:pPr>
      <w:r>
        <w:t>[11] A. Kennedy, Types for Units-of-Measure: Theory and Practice, in: Central European Functional Programming School (CEFP 2009), Springer, 2010, pp. 268–305. https://doi.org/10.1007/978-3-642-17685-2_8.</w:t>
      </w:r>
    </w:p>
    <w:p w14:paraId="6D583896" w14:textId="77777777" w:rsidR="00CD4C2C" w:rsidRDefault="00000000">
      <w:pPr>
        <w:pStyle w:val="BodyText"/>
      </w:pPr>
      <w:r>
        <w:t>[12] OpenFisca Contributors, 2024. OpenFisca: Open-source platform for tax-benefit microsimulation. https://openfisca.org/ (accessed 15 December 2024).</w:t>
      </w:r>
    </w:p>
    <w:p w14:paraId="6C7FB2EC" w14:textId="77777777" w:rsidR="00CD4C2C" w:rsidRDefault="00000000">
      <w:pPr>
        <w:pStyle w:val="BodyText"/>
      </w:pPr>
      <w:r>
        <w:t>[13] Red Hat, 2024. Drools Business Rules Management System. https://www.drools.org/ (accessed 15 December 2024).</w:t>
      </w:r>
    </w:p>
    <w:p w14:paraId="79FFFF3E" w14:textId="77777777" w:rsidR="00CD4C2C" w:rsidRDefault="00000000">
      <w:pPr>
        <w:pStyle w:val="BodyText"/>
      </w:pPr>
      <w:r>
        <w:t>[14] New Zealand Government, 2018. Better Rules for Government Discovery Report. https://www.digital.govt.nz/dmsdocument/95-better-rules-for-government-discovery-report/html (accessed 15 December 2024).</w:t>
      </w:r>
    </w:p>
    <w:p w14:paraId="6CEFE2EF" w14:textId="77777777" w:rsidR="00CD4C2C" w:rsidRDefault="00000000">
      <w:pPr>
        <w:pStyle w:val="BodyText"/>
      </w:pPr>
      <w:r>
        <w:t>[15] M. Waddington, Rules as Code, IEEE IT Prof. 22 (3) (2020) 14–19.</w:t>
      </w:r>
    </w:p>
    <w:p w14:paraId="49E1DCF1" w14:textId="77777777" w:rsidR="00CD4C2C" w:rsidRDefault="00000000">
      <w:pPr>
        <w:pStyle w:val="BodyText"/>
      </w:pPr>
      <w:r>
        <w:lastRenderedPageBreak/>
        <w:t>[16] M. Fowler, Domain-Specific Languages, Addison-Wesley, Boston, 2010.</w:t>
      </w:r>
    </w:p>
    <w:p w14:paraId="78E5D59A" w14:textId="77777777" w:rsidR="00CD4C2C" w:rsidRDefault="00000000">
      <w:pPr>
        <w:pStyle w:val="BodyText"/>
      </w:pPr>
      <w:r>
        <w:t>[17] A.V. Aho, M.S. Lam, R. Sethi, J.D. Ullman, Compilers: Principles, Techniques, and Tools, second ed., Addison-Wesley, Boston, 2006.</w:t>
      </w:r>
    </w:p>
    <w:p w14:paraId="24405CCC" w14:textId="77777777" w:rsidR="00CD4C2C" w:rsidRDefault="00000000">
      <w:pPr>
        <w:pStyle w:val="BodyText"/>
      </w:pPr>
      <w:r>
        <w:t>[18] C.V. Chien, Holding Up and Holding Out, Michigan Telecommunications and Technology Law Review 21 (1) (2014) 1–44.</w:t>
      </w:r>
    </w:p>
    <w:p w14:paraId="5434CEA8" w14:textId="77777777" w:rsidR="00CD4C2C"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08E8E6FD" w14:textId="77777777" w:rsidR="00CD4C2C" w:rsidRDefault="00000000">
      <w:pPr>
        <w:pStyle w:val="BodyText"/>
      </w:pPr>
      <w:r>
        <w:t>[20] D. Orchard, V.-B. Liepelt, H. Eades III, Quantitative Program Reasoning with Graded Modal Types, Proc. ACM Program. Lang. 3 (ICFP) (2019) Article 110. https://doi.org/10.1145/3341714.</w:t>
      </w:r>
    </w:p>
    <w:p w14:paraId="69F23739" w14:textId="77777777" w:rsidR="00CD4C2C" w:rsidRDefault="00000000">
      <w:pPr>
        <w:pStyle w:val="BodyText"/>
      </w:pPr>
      <w:r>
        <w:t>[21] J. Mohun, A. Roberts, Cracking the Code: Rulemaking for Humans and Machines, OECD Working Papers on Public Governance, No. 42, OECD Publishing, Paris, 2020. https://doi.org/10.1787/3afe6ba5-en.</w:t>
      </w:r>
    </w:p>
    <w:p w14:paraId="0C3D7235" w14:textId="77777777" w:rsidR="00CD4C2C" w:rsidRDefault="00000000">
      <w:pPr>
        <w:pStyle w:val="BodyText"/>
      </w:pPr>
      <w:r>
        <w:t>[22] D. Rapson, J. Sheridan, J. Mohun, A. Roberts, Rules as Code for a More Transparent and Efficient Global Economy, Centre for International Governance Innovation (CIGI), Policy Brief No. 187, 2023.</w:t>
      </w:r>
    </w:p>
    <w:p w14:paraId="2C530F55" w14:textId="77777777" w:rsidR="00CD4C2C" w:rsidRDefault="00000000">
      <w:pPr>
        <w:pStyle w:val="BodyText"/>
      </w:pPr>
      <w:r>
        <w:t>[23] M. Mernik, J. Heering, A.M. Sloane, When and How to Develop Domain-Specific Languages, ACM Comput. Surv. 37 (4) (2005) 316–344. https://doi.org/10.1145/1118890.1118892.</w:t>
      </w:r>
    </w:p>
    <w:p w14:paraId="097FEC93" w14:textId="77777777" w:rsidR="00CD4C2C" w:rsidRDefault="00000000">
      <w:pPr>
        <w:pStyle w:val="BodyText"/>
      </w:pPr>
      <w:r>
        <w:t>[24] Java Community Process, JSR 354: Money and Currency API, Java Specification Request, 2015. https://jcp.org/en/jsr/detail?id=354 (accessed 15 December 2024).</w:t>
      </w:r>
    </w:p>
    <w:p w14:paraId="0BA37BD4" w14:textId="77777777" w:rsidR="00CD4C2C" w:rsidRDefault="00000000">
      <w:pPr>
        <w:pStyle w:val="BodyText"/>
      </w:pPr>
      <w:r>
        <w:t>[25] P. Cousot, R. Cousot, Abstract Interpretation: A Unified Lattice Model for Static Analysis of Programs by Construction or Approximation of Fixpoints, in: Proc. 4th ACM SIGACT-SIGPLAN Symposium on Principles of Programming Languages (POPL), ACM, 1977, pp. 238–252. https://doi.org/10.1145/512950.512973.</w:t>
      </w:r>
    </w:p>
    <w:p w14:paraId="19D21EE1" w14:textId="77777777" w:rsidR="00CD4C2C" w:rsidRDefault="00000000">
      <w:pPr>
        <w:pStyle w:val="BodyText"/>
      </w:pPr>
      <w:r>
        <w:t>[26] T. Dardinier, G. Parthasarathy, P. Müller, Verification-Preserving Inlining in Automatic Separation Logic Verifiers, Proc. ACM Program. Lang. 7 (OOPSLA1) (2023) Article 80. https://doi.org/10.1145/3586054.</w:t>
      </w:r>
    </w:p>
    <w:p w14:paraId="265E0361" w14:textId="77777777" w:rsidR="00CD4C2C" w:rsidRDefault="00000000">
      <w:pPr>
        <w:pStyle w:val="Heading2"/>
      </w:pPr>
      <w:bookmarkStart w:id="62" w:name="author-biography"/>
      <w:bookmarkEnd w:id="61"/>
      <w:r>
        <w:t>Author Biography</w:t>
      </w:r>
    </w:p>
    <w:p w14:paraId="7FB469BD" w14:textId="77777777" w:rsidR="00CD4C2C" w:rsidRDefault="00000000">
      <w:pPr>
        <w:pStyle w:val="FirstParagraph"/>
      </w:pPr>
      <w:r>
        <w:rPr>
          <w:b/>
          <w:bCs/>
        </w:rPr>
        <w:t>Valer Bocan, PhD, CSSLP</w:t>
      </w:r>
      <w:r>
        <w:t xml:space="preserve"> 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w:t>
      </w:r>
      <w:r>
        <w:lastRenderedPageBreak/>
        <w:t>management system), QRNG Data Diode (quantum random number generation infrastructure), and Delta Forth (a Forth language implementation for .NET).</w:t>
      </w:r>
    </w:p>
    <w:p w14:paraId="699EFE69" w14:textId="77777777" w:rsidR="00CD4C2C" w:rsidRDefault="00000000">
      <w:pPr>
        <w:pStyle w:val="Heading2"/>
      </w:pPr>
      <w:bookmarkStart w:id="63" w:name="acknowledgments"/>
      <w:bookmarkEnd w:id="62"/>
      <w:r>
        <w:t>Acknowledgments</w:t>
      </w:r>
    </w:p>
    <w:p w14:paraId="1392F1CA" w14:textId="77777777" w:rsidR="00CD4C2C" w:rsidRDefault="00000000">
      <w:pPr>
        <w:pStyle w:val="FirstParagraph"/>
      </w:pPr>
      <w:r>
        <w:t>The author gratefully acknowledges Robert Fichter, Ph.D. 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p w14:paraId="07529E97" w14:textId="77777777" w:rsidR="00CD4C2C" w:rsidRDefault="00000000">
      <w:pPr>
        <w:pStyle w:val="Heading2"/>
      </w:pPr>
      <w:bookmarkStart w:id="64" w:name="data-availability-statement"/>
      <w:bookmarkEnd w:id="63"/>
      <w:r>
        <w:t>Data Availability Statement</w:t>
      </w:r>
    </w:p>
    <w:p w14:paraId="079AAFEC" w14:textId="77777777" w:rsidR="00CD4C2C" w:rsidRDefault="00000000">
      <w:pPr>
        <w:pStyle w:val="FirstParagraph"/>
      </w:pPr>
      <w:r>
        <w:t>The IPFLang reference implementation, including all example files and test suite, is available under GPLv3 at https://github.com/vbocan/IPFLang.</w:t>
      </w:r>
    </w:p>
    <w:p w14:paraId="58111BCF" w14:textId="77777777" w:rsidR="00CD4C2C" w:rsidRDefault="00000000">
      <w:pPr>
        <w:pStyle w:val="Heading2"/>
      </w:pPr>
      <w:bookmarkStart w:id="65" w:name="funding"/>
      <w:bookmarkEnd w:id="64"/>
      <w:r>
        <w:t>Funding</w:t>
      </w:r>
    </w:p>
    <w:p w14:paraId="2364BB14" w14:textId="77777777" w:rsidR="00CD4C2C" w:rsidRDefault="00000000">
      <w:pPr>
        <w:pStyle w:val="FirstParagraph"/>
      </w:pPr>
      <w:r>
        <w:t>This research did not receive any specific grant from funding agencies in the public, commercial, or not-for-profit sectors.</w:t>
      </w:r>
    </w:p>
    <w:p w14:paraId="73B08DB3" w14:textId="77777777" w:rsidR="00CD4C2C" w:rsidRDefault="00000000">
      <w:pPr>
        <w:pStyle w:val="Heading2"/>
      </w:pPr>
      <w:bookmarkStart w:id="66" w:name="credit-author-contribution-statement"/>
      <w:bookmarkEnd w:id="65"/>
      <w:proofErr w:type="spellStart"/>
      <w:r>
        <w:t>CRediT</w:t>
      </w:r>
      <w:proofErr w:type="spellEnd"/>
      <w:r>
        <w:t xml:space="preserve"> Author Contribution Statement</w:t>
      </w:r>
    </w:p>
    <w:p w14:paraId="5738F513" w14:textId="77777777" w:rsidR="00CD4C2C" w:rsidRDefault="00000000">
      <w:pPr>
        <w:pStyle w:val="FirstParagraph"/>
      </w:pPr>
      <w:r>
        <w:rPr>
          <w:b/>
          <w:bCs/>
        </w:rPr>
        <w:t>Valer Bocan:</w:t>
      </w:r>
      <w:r>
        <w:t xml:space="preserve"> Conceptualization, Methodology, Software, Validation, Formal analysis, Investigation, Resources, Data curation, Writing - original draft, Writing - review &amp; editing, Visualization, Supervision, Project administration.</w:t>
      </w:r>
    </w:p>
    <w:p w14:paraId="1BB3A5BA" w14:textId="77777777" w:rsidR="00CD4C2C" w:rsidRDefault="00000000">
      <w:pPr>
        <w:pStyle w:val="Heading2"/>
      </w:pPr>
      <w:bookmarkStart w:id="67" w:name="declaration-of-competing-interests"/>
      <w:bookmarkEnd w:id="66"/>
      <w:r>
        <w:t>Declaration of Competing Interests</w:t>
      </w:r>
    </w:p>
    <w:p w14:paraId="55E995E1" w14:textId="77777777" w:rsidR="00CD4C2C" w:rsidRDefault="00000000">
      <w:pPr>
        <w:pStyle w:val="FirstParagraph"/>
      </w:pPr>
      <w:r>
        <w:t>The author declares no competing interests. IPFLang is released as open-source software with no commercial affiliations.</w:t>
      </w:r>
      <w:bookmarkEnd w:id="0"/>
      <w:bookmarkEnd w:id="67"/>
    </w:p>
    <w:sectPr w:rsidR="00CD4C2C" w:rsidSect="0025530B">
      <w:footerReference w:type="default" r:id="rId10"/>
      <w:footnotePr>
        <w:numRestart w:val="eachSect"/>
      </w:footnotePr>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52803" w14:textId="77777777" w:rsidR="000F6460" w:rsidRDefault="000F6460" w:rsidP="0025530B">
      <w:pPr>
        <w:spacing w:after="0"/>
      </w:pPr>
      <w:r>
        <w:separator/>
      </w:r>
    </w:p>
  </w:endnote>
  <w:endnote w:type="continuationSeparator" w:id="0">
    <w:p w14:paraId="3DE6D40D" w14:textId="77777777" w:rsidR="000F6460" w:rsidRDefault="000F6460" w:rsidP="0025530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58940"/>
      <w:docPartObj>
        <w:docPartGallery w:val="Page Numbers (Bottom of Page)"/>
        <w:docPartUnique/>
      </w:docPartObj>
    </w:sdtPr>
    <w:sdtEndPr>
      <w:rPr>
        <w:noProof/>
      </w:rPr>
    </w:sdtEndPr>
    <w:sdtContent>
      <w:p w14:paraId="6314AF23" w14:textId="548F7A85" w:rsidR="0025530B" w:rsidRDefault="002553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60C1A0" w14:textId="77777777" w:rsidR="0025530B" w:rsidRDefault="002553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B1A13" w14:textId="77777777" w:rsidR="000F6460" w:rsidRDefault="000F6460" w:rsidP="0025530B">
      <w:pPr>
        <w:spacing w:after="0"/>
      </w:pPr>
      <w:r>
        <w:separator/>
      </w:r>
    </w:p>
  </w:footnote>
  <w:footnote w:type="continuationSeparator" w:id="0">
    <w:p w14:paraId="074B978C" w14:textId="77777777" w:rsidR="000F6460" w:rsidRDefault="000F6460" w:rsidP="0025530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77A6A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EA052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73086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75674086">
    <w:abstractNumId w:val="0"/>
  </w:num>
  <w:num w:numId="2" w16cid:durableId="45836364">
    <w:abstractNumId w:val="1"/>
  </w:num>
  <w:num w:numId="3" w16cid:durableId="1416240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00921345">
    <w:abstractNumId w:val="1"/>
  </w:num>
  <w:num w:numId="5" w16cid:durableId="542639883">
    <w:abstractNumId w:val="1"/>
  </w:num>
  <w:num w:numId="6" w16cid:durableId="400903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D4C2C"/>
    <w:rsid w:val="000F6460"/>
    <w:rsid w:val="0025530B"/>
    <w:rsid w:val="00324DFA"/>
    <w:rsid w:val="00577CF9"/>
    <w:rsid w:val="005C02C4"/>
    <w:rsid w:val="00B046C6"/>
    <w:rsid w:val="00CD4C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42C1B"/>
  <w15:docId w15:val="{CB957EEF-F487-4EF6-A32B-6CB84EBB1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25530B"/>
    <w:rPr>
      <w:color w:val="605E5C"/>
      <w:shd w:val="clear" w:color="auto" w:fill="E1DFDD"/>
    </w:rPr>
  </w:style>
  <w:style w:type="paragraph" w:styleId="Header">
    <w:name w:val="header"/>
    <w:basedOn w:val="Normal"/>
    <w:link w:val="HeaderChar"/>
    <w:rsid w:val="0025530B"/>
    <w:pPr>
      <w:tabs>
        <w:tab w:val="center" w:pos="4680"/>
        <w:tab w:val="right" w:pos="9360"/>
      </w:tabs>
      <w:spacing w:after="0"/>
    </w:pPr>
  </w:style>
  <w:style w:type="character" w:customStyle="1" w:styleId="HeaderChar">
    <w:name w:val="Header Char"/>
    <w:basedOn w:val="DefaultParagraphFont"/>
    <w:link w:val="Header"/>
    <w:rsid w:val="0025530B"/>
  </w:style>
  <w:style w:type="paragraph" w:styleId="Footer">
    <w:name w:val="footer"/>
    <w:basedOn w:val="Normal"/>
    <w:link w:val="FooterChar"/>
    <w:uiPriority w:val="99"/>
    <w:rsid w:val="0025530B"/>
    <w:pPr>
      <w:tabs>
        <w:tab w:val="center" w:pos="4680"/>
        <w:tab w:val="right" w:pos="9360"/>
      </w:tabs>
      <w:spacing w:after="0"/>
    </w:pPr>
  </w:style>
  <w:style w:type="character" w:customStyle="1" w:styleId="FooterChar">
    <w:name w:val="Footer Char"/>
    <w:basedOn w:val="DefaultParagraphFont"/>
    <w:link w:val="Footer"/>
    <w:uiPriority w:val="99"/>
    <w:rsid w:val="0025530B"/>
  </w:style>
  <w:style w:type="table" w:styleId="ListTable3">
    <w:name w:val="List Table 3"/>
    <w:basedOn w:val="TableNormal"/>
    <w:uiPriority w:val="48"/>
    <w:rsid w:val="0025530B"/>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aler.bocan@up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vbocan/IPFL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020D3-B041-4B8B-9F14-AD9A395C6F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28</Pages>
  <Words>9711</Words>
  <Characters>55355</Characters>
  <Application>Microsoft Office Word</Application>
  <DocSecurity>0</DocSecurity>
  <Lines>461</Lines>
  <Paragraphs>129</Paragraphs>
  <ScaleCrop>false</ScaleCrop>
  <Company/>
  <LinksUpToDate>false</LinksUpToDate>
  <CharactersWithSpaces>64937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3</cp:revision>
  <dcterms:created xsi:type="dcterms:W3CDTF">2025-12-17T04:03:00Z</dcterms:created>
  <dcterms:modified xsi:type="dcterms:W3CDTF">2025-12-17T04:22:00Z</dcterms:modified>
</cp:coreProperties>
</file>