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Currency-aware type system prevents cross-currency errors at compile time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Static verification ensures fee definitions cover all valid input combinations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Formal EBNF grammar with declarative syntax for regulatory fee rules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Validated with 122 production jurisdiction files and 261 test methods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Open-source implementation achieves sub-millisecond execution performance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2025-12-26T07:18:47.838Z</dcterms:created>
  <dcterms:modified xsi:type="dcterms:W3CDTF">2025-12-26T07:18:47.838Z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