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61FB60" w14:textId="77777777" w:rsidR="00CD154C" w:rsidRPr="00CD154C" w:rsidRDefault="00CD154C" w:rsidP="00CD154C">
      <w:pPr>
        <w:pStyle w:val="Heading1"/>
      </w:pPr>
      <w:r w:rsidRPr="00CD154C">
        <w:t>Highlights</w:t>
      </w:r>
    </w:p>
    <w:p w14:paraId="57F574B4" w14:textId="77777777" w:rsidR="00CD154C" w:rsidRPr="00CD154C" w:rsidRDefault="00CD154C" w:rsidP="00CD154C">
      <w:pPr>
        <w:numPr>
          <w:ilvl w:val="0"/>
          <w:numId w:val="1"/>
        </w:numPr>
      </w:pPr>
      <w:r w:rsidRPr="00CD154C">
        <w:t>Formal DSL specification addressing the IP fee calculation standardization gap</w:t>
      </w:r>
    </w:p>
    <w:p w14:paraId="7E8B0DA1" w14:textId="77777777" w:rsidR="00CD154C" w:rsidRPr="00CD154C" w:rsidRDefault="00CD154C" w:rsidP="00CD154C">
      <w:pPr>
        <w:numPr>
          <w:ilvl w:val="0"/>
          <w:numId w:val="1"/>
        </w:numPr>
      </w:pPr>
      <w:r w:rsidRPr="00CD154C">
        <w:t>Currency-aware type system with 161 ISO 4217 currencies preventing cross-currency errors</w:t>
      </w:r>
    </w:p>
    <w:p w14:paraId="3796DD70" w14:textId="77777777" w:rsidR="00CD154C" w:rsidRPr="00CD154C" w:rsidRDefault="00CD154C" w:rsidP="00CD154C">
      <w:pPr>
        <w:numPr>
          <w:ilvl w:val="0"/>
          <w:numId w:val="1"/>
        </w:numPr>
      </w:pPr>
      <w:r w:rsidRPr="00CD154C">
        <w:t>Static analysis of fee completeness and monotonicity</w:t>
      </w:r>
    </w:p>
    <w:p w14:paraId="5BA10FEE" w14:textId="77777777" w:rsidR="006E5160" w:rsidRDefault="00CD154C" w:rsidP="00CD154C">
      <w:pPr>
        <w:numPr>
          <w:ilvl w:val="0"/>
          <w:numId w:val="1"/>
        </w:numPr>
      </w:pPr>
      <w:r w:rsidRPr="00CD154C">
        <w:t>Provenance tracking with counterfactual analysis for auditability</w:t>
      </w:r>
    </w:p>
    <w:p w14:paraId="56340BE6" w14:textId="5A2514F0" w:rsidR="00DE1127" w:rsidRDefault="00CD154C" w:rsidP="00CD154C">
      <w:pPr>
        <w:numPr>
          <w:ilvl w:val="0"/>
          <w:numId w:val="1"/>
        </w:numPr>
      </w:pPr>
      <w:r w:rsidRPr="00CD154C">
        <w:t>Expert validation of 118 production jurisdiction files covering PCT national/regional phase entry fees</w:t>
      </w:r>
    </w:p>
    <w:sectPr w:rsidR="00DE11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1"/>
    <w:multiLevelType w:val="multilevel"/>
    <w:tmpl w:val="BA64399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317975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548E"/>
    <w:rsid w:val="004A2D1C"/>
    <w:rsid w:val="006E5160"/>
    <w:rsid w:val="00B10B12"/>
    <w:rsid w:val="00B9548E"/>
    <w:rsid w:val="00CD154C"/>
    <w:rsid w:val="00DE1127"/>
    <w:rsid w:val="00FA29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E5BA32"/>
  <w15:chartTrackingRefBased/>
  <w15:docId w15:val="{57132E91-9E16-4468-8615-8BE4A05429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54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54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54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54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54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54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54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54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54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54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54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54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54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54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54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54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54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54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54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54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54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54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54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54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54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54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54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54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54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59</Words>
  <Characters>342</Characters>
  <Application>Microsoft Office Word</Application>
  <DocSecurity>0</DocSecurity>
  <Lines>2</Lines>
  <Paragraphs>1</Paragraphs>
  <ScaleCrop>false</ScaleCrop>
  <Company/>
  <LinksUpToDate>false</LinksUpToDate>
  <CharactersWithSpaces>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Valer BOCAN</dc:creator>
  <cp:keywords/>
  <dc:description/>
  <cp:lastModifiedBy>Valer BOCAN</cp:lastModifiedBy>
  <cp:revision>5</cp:revision>
  <dcterms:created xsi:type="dcterms:W3CDTF">2025-12-23T18:55:00Z</dcterms:created>
  <dcterms:modified xsi:type="dcterms:W3CDTF">2025-12-23T19:22:00Z</dcterms:modified>
</cp:coreProperties>
</file>