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c950876f1e1ea20f627cc54952fa83ebebff490"/>
    <w:p>
      <w:pPr>
        <w:pStyle w:val="Heading1"/>
      </w:pPr>
      <w:r>
        <w:t xml:space="preserve">IPFLang: A Domain-Specific Language for Standardizing Multi-Jurisdiction Intellectual Property Fee Calculation</w:t>
      </w:r>
    </w:p>
    <w:p>
      <w:pPr>
        <w:pStyle w:val="FirstParagraph"/>
      </w:pPr>
      <w:r>
        <w:rPr>
          <w:b/>
          <w:bCs/>
        </w:rPr>
        <w:t xml:space="preserve">Valer Bocan, PhD, CSSLP</w:t>
      </w:r>
      <w:r>
        <w:t xml:space="preserve"> </w:t>
      </w:r>
      <w:r>
        <w:t xml:space="preserve">Department of Computer and Information Technology</w:t>
      </w:r>
      <w:r>
        <w:t xml:space="preserve"> </w:t>
      </w:r>
      <w:r>
        <w:t xml:space="preserve">Politehnica University Timisoara</w:t>
      </w:r>
      <w:r>
        <w:t xml:space="preserve"> </w:t>
      </w:r>
      <w:r>
        <w:t xml:space="preserve">Timisoara, 300223, Romania</w:t>
      </w:r>
      <w:r>
        <w:t xml:space="preserve"> </w:t>
      </w:r>
      <w:r>
        <w:t xml:space="preserve">Email: valer.bocan@upt.ro</w:t>
      </w:r>
      <w:r>
        <w:t xml:space="preserve"> </w:t>
      </w:r>
      <w:r>
        <w:t xml:space="preserve">ORCID: 0009-0006-9084-4064</w:t>
      </w:r>
    </w:p>
    <w:p>
      <w:r>
        <w:pict>
          <v:rect style="width:0;height:1.5pt" o:hralign="center" o:hrstd="t" o:hr="t"/>
        </w:pict>
      </w:r>
    </w:p>
    <w:bookmarkStart w:id="9" w:name="abstract"/>
    <w:p>
      <w:pPr>
        <w:pStyle w:val="Heading2"/>
      </w:pPr>
      <w:r>
        <w:t xml:space="preserve">Abstract</w:t>
      </w:r>
    </w:p>
    <w:p>
      <w:pPr>
        <w:pStyle w:val="FirstParagraph"/>
      </w:pPr>
      <w:r>
        <w:t xml:space="preserve">The intellectual property management industry faces interoperability challenges due to fragmented, proprietary fee calculation implementations across patent offices—no standard exists for encoding or exchanging fee computation rules. This paper presents IPFLang, a domain-specific language specification for multi-jurisdiction fee calculation. IPFLang provides: (1) a formal EBNF grammar with declarative fee computation blocks; (2) a currency-aware type system supporting 161 ISO 4217 currencies that prevents cross-currency arithmetic errors at compile time; (3) static analysis of fee completeness (with formal guarantees for bounded domains) and monotonicity; and (4) provenance tracking for auditability. We present formal typing rules with a type safety argument, analysis algorithms with complexity bounds, and expert validation of production jurisdiction files. The open-source reference implementation includes 118 production jurisdiction files covering PCT national/regional phase entry fees validated by domain experts, a comprehensive test suite with 260 test methods, and sub-millisecond execution. IPFLang establishes a foundation for regulatory calculation standardization, enabling vendor-independent fee computation across patent offices.</w:t>
      </w:r>
    </w:p>
    <w:p>
      <w:pPr>
        <w:pStyle w:val="BodyText"/>
      </w:pPr>
      <w:r>
        <w:rPr>
          <w:b/>
          <w:bCs/>
        </w:rPr>
        <w:t xml:space="preserve">Keywords:</w:t>
      </w:r>
      <w:r>
        <w:t xml:space="preserve"> </w:t>
      </w:r>
      <w:r>
        <w:t xml:space="preserve">domain-specific language, intellectual property, standardization, interoperability, type systems, static verification, regulatory automation, formal specification</w:t>
      </w:r>
    </w:p>
    <w:p>
      <w:r>
        <w:pict>
          <v:rect style="width:0;height:1.5pt" o:hralign="center" o:hrstd="t" o:hr="t"/>
        </w:pict>
      </w:r>
    </w:p>
    <w:bookmarkEnd w:id="9"/>
    <w:bookmarkStart w:id="10" w:name="highlights"/>
    <w:p>
      <w:pPr>
        <w:pStyle w:val="Heading2"/>
      </w:pPr>
      <w:r>
        <w:t xml:space="preserve">Highlights</w:t>
      </w:r>
    </w:p>
    <w:p>
      <w:pPr>
        <w:pStyle w:val="Compact"/>
        <w:numPr>
          <w:ilvl w:val="0"/>
          <w:numId w:val="1001"/>
        </w:numPr>
      </w:pPr>
      <w:r>
        <w:t xml:space="preserve">Formal DSL specification addressing the IP fee calculation standardization gap</w:t>
      </w:r>
    </w:p>
    <w:p>
      <w:pPr>
        <w:pStyle w:val="Compact"/>
        <w:numPr>
          <w:ilvl w:val="0"/>
          <w:numId w:val="1001"/>
        </w:numPr>
      </w:pPr>
      <w:r>
        <w:t xml:space="preserve">Currency-aware type system with 161 ISO 4217 currencies preventing cross-currency errors statically</w:t>
      </w:r>
    </w:p>
    <w:p>
      <w:pPr>
        <w:pStyle w:val="Compact"/>
        <w:numPr>
          <w:ilvl w:val="0"/>
          <w:numId w:val="1001"/>
        </w:numPr>
      </w:pPr>
      <w:r>
        <w:t xml:space="preserve">Static analysis of fee completeness (formal guarantees for bounded domains) and monotonicity</w:t>
      </w:r>
    </w:p>
    <w:p>
      <w:pPr>
        <w:pStyle w:val="Compact"/>
        <w:numPr>
          <w:ilvl w:val="0"/>
          <w:numId w:val="1001"/>
        </w:numPr>
      </w:pPr>
      <w:r>
        <w:t xml:space="preserve">Provenance tracking with counterfactual analysis for auditability</w:t>
      </w:r>
    </w:p>
    <w:p>
      <w:pPr>
        <w:pStyle w:val="Compact"/>
        <w:numPr>
          <w:ilvl w:val="0"/>
          <w:numId w:val="1001"/>
        </w:numPr>
      </w:pPr>
      <w:r>
        <w:t xml:space="preserve">Expert validation of 118 production jurisdiction files covering PCT national/regional phase entry fees</w:t>
      </w:r>
    </w:p>
    <w:p>
      <w:pPr>
        <w:pStyle w:val="Compact"/>
        <w:numPr>
          <w:ilvl w:val="0"/>
          <w:numId w:val="1001"/>
        </w:numPr>
      </w:pPr>
      <w:r>
        <w:t xml:space="preserve">Open-source reference implementation enabling vendor-independent fee computation</w:t>
      </w:r>
    </w:p>
    <w:p>
      <w:r>
        <w:pict>
          <v:rect style="width:0;height:1.5pt" o:hralign="center" o:hrstd="t" o:hr="t"/>
        </w:pict>
      </w:r>
    </w:p>
    <w:bookmarkEnd w:id="10"/>
    <w:bookmarkStart w:id="15" w:name="introduction"/>
    <w:p>
      <w:pPr>
        <w:pStyle w:val="Heading2"/>
      </w:pPr>
      <w:r>
        <w:t xml:space="preserve">1. Introduction</w:t>
      </w:r>
    </w:p>
    <w:bookmarkStart w:id="11" w:name="the-ip-technology-fragmentation-problem"/>
    <w:p>
      <w:pPr>
        <w:pStyle w:val="Heading3"/>
      </w:pPr>
      <w:r>
        <w:t xml:space="preserve">1.1 The IP Technology Fragmentation Problem</w:t>
      </w:r>
    </w:p>
    <w:p>
      <w:pPr>
        <w:pStyle w:val="FirstParagraph"/>
      </w:pPr>
      <w:r>
        <w:t xml:space="preserve">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pPr>
        <w:pStyle w:val="BodyText"/>
      </w:pPr>
      <w:r>
        <w:t xml:space="preserve">The first and perhaps most pressing issue is the absence of any standard data format across jurisdictions. Each patent office defines fee parameters using custom terminology, requiring manual interpretation and data entry for each calculation. Where the USPTO uses</w:t>
      </w:r>
      <w:r>
        <w:t xml:space="preserve"> </w:t>
      </w:r>
      <w:r>
        <w:t xml:space="preserve">“entity type”</w:t>
      </w:r>
      <w:r>
        <w:t xml:space="preserve"> </w:t>
      </w:r>
      <w:r>
        <w:t xml:space="preserve">classifications, the EPO employs</w:t>
      </w:r>
      <w:r>
        <w:t xml:space="preserve"> </w:t>
      </w:r>
      <w:r>
        <w:t xml:space="preserve">“applicant category”</w:t>
      </w:r>
      <w:r>
        <w:t xml:space="preserve"> </w:t>
      </w:r>
      <w:r>
        <w:t xml:space="preserve">with entirely different discount structures. WIPO PCT applications introduce additional complexity by requiring separate parameters for International Searching Authority selection, compounding the burden for practitioners handling multi-jurisdiction filings.</w:t>
      </w:r>
    </w:p>
    <w:p>
      <w:pPr>
        <w:pStyle w:val="BodyText"/>
      </w:pPr>
      <w:r>
        <w:t xml:space="preserve">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pPr>
        <w:pStyle w:val="BodyText"/>
      </w:pPr>
      <w:r>
        <w:t xml:space="preserve">The situation is further complicated by the proprietary nature of calculation logic itself. Fee computation rules remain embedded in server-side code, entirely inaccessible to practitioners who must verify accuracy against frequently-updated official fee schedules. When discrepancies arise between calculated and actual fees, practitioners find themselves unable to diagnose whether errors stem from incorrect inputs or flawed calculation logic, as the underlying implementation remains opaque.</w:t>
      </w:r>
    </w:p>
    <w:p>
      <w:pPr>
        <w:pStyle w:val="BodyText"/>
      </w:pPr>
      <w:r>
        <w:t xml:space="preserve">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bookmarkEnd w:id="11"/>
    <w:bookmarkStart w:id="12" w:name="the-need-for-standardization"/>
    <w:p>
      <w:pPr>
        <w:pStyle w:val="Heading3"/>
      </w:pPr>
      <w:r>
        <w:t xml:space="preserve">1.2 The Need for Standardization</w:t>
      </w:r>
    </w:p>
    <w:p>
      <w:pPr>
        <w:pStyle w:val="FirstParagraph"/>
      </w:pPr>
      <w:r>
        <w:t xml:space="preserve">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pPr>
        <w:pStyle w:val="BodyText"/>
      </w:pPr>
      <w:r>
        <w:t xml:space="preserve">The IP technology domain lacks equivalent standards for fee calculation, resulting in three critical gaps. The first is a specification gap: no standard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methods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bookmarkEnd w:id="12"/>
    <w:bookmarkStart w:id="13" w:name="research-questions-and-contributions"/>
    <w:p>
      <w:pPr>
        <w:pStyle w:val="Heading3"/>
      </w:pPr>
      <w:r>
        <w:t xml:space="preserve">1.3 Research Questions and Contributions</w:t>
      </w:r>
    </w:p>
    <w:p>
      <w:pPr>
        <w:pStyle w:val="FirstParagraph"/>
      </w:pPr>
      <w:r>
        <w:t xml:space="preserve">This work addresses four fundamental questions regarding standardization of IP fee calculations.</w:t>
      </w:r>
    </w:p>
    <w:p>
      <w:pPr>
        <w:pStyle w:val="BodyText"/>
      </w:pPr>
      <w:r>
        <w:t xml:space="preserve">The first research question concerns language design: can a domain-specific language provide sufficient expressiveness for complex regulatory fee structures while employing syntax designed for readability by domain experts?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pPr>
        <w:pStyle w:val="BodyText"/>
      </w:pPr>
      <w:r>
        <w:t xml:space="preserve">This paper presents IPFLang (Intellectual Property Fees Language), a domain-specific language specification for multi-jurisdiction fee calculations, with five principal contributions:</w:t>
      </w:r>
    </w:p>
    <w:p>
      <w:pPr>
        <w:numPr>
          <w:ilvl w:val="0"/>
          <w:numId w:val="1002"/>
        </w:numPr>
      </w:pPr>
      <w:r>
        <w:rPr>
          <w:b/>
          <w:bCs/>
        </w:rPr>
        <w:t xml:space="preserve">Language Specification</w:t>
      </w:r>
      <w:r>
        <w:t xml:space="preserve"> </w:t>
      </w:r>
      <w:r>
        <w:t xml:space="preserve">(Section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pPr>
        <w:numPr>
          <w:ilvl w:val="0"/>
          <w:numId w:val="1002"/>
        </w:numPr>
      </w:pPr>
      <w:r>
        <w:rPr>
          <w:b/>
          <w:bCs/>
        </w:rPr>
        <w:t xml:space="preserve">Type System and Static Verification</w:t>
      </w:r>
      <w:r>
        <w:t xml:space="preserve"> </w:t>
      </w:r>
      <w:r>
        <w:t xml:space="preserve">(Section 4): A currency-aware type system supporting 161 ISO 4217 currencies with formal typing rules that prevent cross-currency arithmetic errors at compile time, along with verification algorithms for completeness and monotonicity with complexity analysis.</w:t>
      </w:r>
    </w:p>
    <w:p>
      <w:pPr>
        <w:numPr>
          <w:ilvl w:val="0"/>
          <w:numId w:val="1002"/>
        </w:numPr>
      </w:pPr>
      <w:r>
        <w:rPr>
          <w:b/>
          <w:bCs/>
        </w:rPr>
        <w:t xml:space="preserve">Provenance and Auditability</w:t>
      </w:r>
      <w:r>
        <w:t xml:space="preserve"> </w:t>
      </w:r>
      <w:r>
        <w:t xml:space="preserve">(Section 5): Execution tracing showing how final amounts derive from input parameters, with counterfactual analysis enabling what-if scenarios for regulatory compliance.</w:t>
      </w:r>
    </w:p>
    <w:p>
      <w:pPr>
        <w:numPr>
          <w:ilvl w:val="0"/>
          <w:numId w:val="1002"/>
        </w:numPr>
      </w:pPr>
      <w:r>
        <w:rPr>
          <w:b/>
          <w:bCs/>
        </w:rPr>
        <w:t xml:space="preserve">Reference Implementation</w:t>
      </w:r>
      <w:r>
        <w:t xml:space="preserve"> </w:t>
      </w:r>
      <w:r>
        <w:t xml:space="preserve">(Section 6): An open-source command-line tool released under GPLv3 demonstrating IPFLang execution with 260 test methods validating type safety and verification correctness.</w:t>
      </w:r>
    </w:p>
    <w:p>
      <w:pPr>
        <w:numPr>
          <w:ilvl w:val="0"/>
          <w:numId w:val="1002"/>
        </w:numPr>
      </w:pPr>
      <w:r>
        <w:rPr>
          <w:b/>
          <w:bCs/>
        </w:rPr>
        <w:t xml:space="preserve">Validation</w:t>
      </w:r>
      <w:r>
        <w:t xml:space="preserve"> </w:t>
      </w:r>
      <w:r>
        <w:t xml:space="preserve">(Section 7): Expert validation of 118 production jurisdiction files covering PCT national/regional phase entry fees for major patent offices worldwide.</w:t>
      </w:r>
    </w:p>
    <w:bookmarkEnd w:id="13"/>
    <w:bookmarkStart w:id="14" w:name="paper-organization"/>
    <w:p>
      <w:pPr>
        <w:pStyle w:val="Heading3"/>
      </w:pPr>
      <w:r>
        <w:t xml:space="preserve">1.4 Paper Organization</w:t>
      </w:r>
    </w:p>
    <w:p>
      <w:pPr>
        <w:pStyle w:val="FirstParagraph"/>
      </w:pPr>
      <w:r>
        <w:t xml:space="preserve">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r>
        <w:pict>
          <v:rect style="width:0;height:1.5pt" o:hralign="center" o:hrstd="t" o:hr="t"/>
        </w:pict>
      </w:r>
    </w:p>
    <w:bookmarkEnd w:id="14"/>
    <w:bookmarkEnd w:id="15"/>
    <w:bookmarkStart w:id="19" w:name="related-work-and-standards-landscape"/>
    <w:p>
      <w:pPr>
        <w:pStyle w:val="Heading2"/>
      </w:pPr>
      <w:r>
        <w:t xml:space="preserve">2. Related Work and Standards Landscape</w:t>
      </w:r>
    </w:p>
    <w:bookmarkStart w:id="16" w:name="existing-ip-data-standards"/>
    <w:p>
      <w:pPr>
        <w:pStyle w:val="Heading3"/>
      </w:pPr>
      <w:r>
        <w:t xml:space="preserve">2.1 Existing IP Data Standards</w:t>
      </w:r>
    </w:p>
    <w:p>
      <w:pPr>
        <w:pStyle w:val="FirstParagraph"/>
      </w:pPr>
      <w:r>
        <w:t xml:space="preserve">The IP technology domain has achieved partial standardization in data exchange but lacks standards for computational tasks like fee calculation.</w:t>
      </w:r>
    </w:p>
    <w:p>
      <w:pPr>
        <w:pStyle w:val="BodyText"/>
      </w:pPr>
      <w:r>
        <w:t xml:space="preserve">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pPr>
        <w:pStyle w:val="BodyText"/>
      </w:pPr>
      <w:r>
        <w:t xml:space="preserve">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pPr>
        <w:pStyle w:val="BodyText"/>
      </w:pPr>
      <w:r>
        <w:t xml:space="preserve">The gap becomes clear upon examination: IP data standards focus on informational exchange such as bibliographic data, legal status, and full-text search, while omitting computational tasks entirely. Fee calculation remains manual, preventing end-to-end workflow automation.</w:t>
      </w:r>
    </w:p>
    <w:bookmarkEnd w:id="16"/>
    <w:bookmarkStart w:id="17" w:name="X738f784980d4a29760e47e790d6c25ae91fb2d9"/>
    <w:p>
      <w:pPr>
        <w:pStyle w:val="Heading3"/>
      </w:pPr>
      <w:r>
        <w:t xml:space="preserve">2.2 Domain-Specific Languages for Legal Domains</w:t>
      </w:r>
    </w:p>
    <w:p>
      <w:pPr>
        <w:pStyle w:val="FirstParagraph"/>
      </w:pPr>
      <w:r>
        <w:t xml:space="preserve">Academic research in computational law has produced several DSLs for legal rules, yet none address regulatory fee calculations with multi-currency and multi-jurisdiction requirements.</w:t>
      </w:r>
    </w:p>
    <w:p>
      <w:pPr>
        <w:pStyle w:val="BodyText"/>
      </w:pPr>
      <w:r>
        <w:t xml:space="preserve">LegalRuleML,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pPr>
        <w:pStyle w:val="BodyText"/>
      </w:pPr>
      <w:r>
        <w:t xml:space="preserve">Catala, created by Merigoux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IPFLang’s simpler type system (currency-parameterized amounts without dependent types) suffices for IP fee calculations where amounts are always non-negative and conditions are finite Boolean combinations.</w:t>
      </w:r>
    </w:p>
    <w:p>
      <w:pPr>
        <w:pStyle w:val="BodyText"/>
      </w:pPr>
      <w:r>
        <w:t xml:space="preserve">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pPr>
        <w:pStyle w:val="BodyText"/>
      </w:pPr>
      <w:r>
        <w:t xml:space="preserve">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consumption—a concept related to IPFLang’s tracking of monetary values across fee computations.</w:t>
      </w:r>
    </w:p>
    <w:p>
      <w:pPr>
        <w:pStyle w:val="BodyText"/>
      </w:pPr>
      <w:r>
        <w:t xml:space="preserve">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pPr>
        <w:pStyle w:val="BodyText"/>
      </w:pPr>
      <w:r>
        <w:t xml:space="preserve">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bookmarkEnd w:id="17"/>
    <w:bookmarkStart w:id="18" w:name="regulatory-automation-and-rules-engines"/>
    <w:p>
      <w:pPr>
        <w:pStyle w:val="Heading3"/>
      </w:pPr>
      <w:r>
        <w:t xml:space="preserve">2.3 Regulatory Automation and Rules Engines</w:t>
      </w:r>
    </w:p>
    <w:p>
      <w:pPr>
        <w:pStyle w:val="FirstParagraph"/>
      </w:pPr>
      <w:r>
        <w:t xml:space="preserve">Automated compliance checking represents a related domain where technology assists regulatory interpretation.</w:t>
      </w:r>
    </w:p>
    <w:p>
      <w:pPr>
        <w:pStyle w:val="BodyText"/>
      </w:pPr>
      <w:r>
        <w:t xml:space="preserve">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pPr>
        <w:pStyle w:val="BodyText"/>
      </w:pPr>
      <w:r>
        <w:t xml:space="preserve">Some governments have begun pursuing rules-as-code initiatives that encode regulations in executable formats [14, 15]. New Zealand’s</w:t>
      </w:r>
      <w:r>
        <w:t xml:space="preserve"> </w:t>
      </w:r>
      <w:r>
        <w:t xml:space="preserve">“Better Rules”</w:t>
      </w:r>
      <w:r>
        <w:t xml:space="preserve"> </w:t>
      </w:r>
      <w:r>
        <w:t xml:space="preserve">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initiatives typically use general-purpose languages rather than domain-specific languages, limiting accessibility to legal experts who must rely on programmers for implementation.</w:t>
      </w:r>
    </w:p>
    <w:p>
      <w:pPr>
        <w:pStyle w:val="BodyText"/>
      </w:pPr>
      <w:r>
        <w:t xml:space="preserve">Table 1 provides a systematic comparison of IPFLang with related approaches.</w:t>
      </w:r>
    </w:p>
    <w:tbl>
      <w:tblPr>
        <w:tblStyle w:val="Table"/>
        <w:tblW w:type="pct" w:w="5000"/>
        <w:tblLayout w:type="fixed"/>
        <w:tblLook w:firstRow="1" w:lastRow="0" w:firstColumn="0" w:lastColumn="0" w:noHBand="0" w:noVBand="0" w:val="0020"/>
      </w:tblPr>
      <w:tblGrid>
        <w:gridCol w:w="1228"/>
        <w:gridCol w:w="1228"/>
        <w:gridCol w:w="1092"/>
        <w:gridCol w:w="1775"/>
        <w:gridCol w:w="1092"/>
        <w:gridCol w:w="1502"/>
      </w:tblGrid>
      <w:tr>
        <w:trPr>
          <w:tblHeader w:val="on"/>
        </w:trPr>
        <w:tc>
          <w:tcPr/>
          <w:p>
            <w:pPr>
              <w:pStyle w:val="Compact"/>
            </w:pPr>
            <w:r>
              <w:t xml:space="preserve">Feature</w:t>
            </w:r>
          </w:p>
        </w:tc>
        <w:tc>
          <w:tcPr/>
          <w:p>
            <w:pPr>
              <w:pStyle w:val="Compact"/>
            </w:pPr>
            <w:r>
              <w:t xml:space="preserve">IPFLang</w:t>
            </w:r>
          </w:p>
        </w:tc>
        <w:tc>
          <w:tcPr/>
          <w:p>
            <w:pPr>
              <w:pStyle w:val="Compact"/>
            </w:pPr>
            <w:r>
              <w:t xml:space="preserve">Catala</w:t>
            </w:r>
          </w:p>
        </w:tc>
        <w:tc>
          <w:tcPr/>
          <w:p>
            <w:pPr>
              <w:pStyle w:val="Compact"/>
            </w:pPr>
            <w:r>
              <w:t xml:space="preserve">LegalRuleML</w:t>
            </w:r>
          </w:p>
        </w:tc>
        <w:tc>
          <w:tcPr/>
          <w:p>
            <w:pPr>
              <w:pStyle w:val="Compact"/>
            </w:pPr>
            <w:r>
              <w:t xml:space="preserve">Drools</w:t>
            </w:r>
          </w:p>
        </w:tc>
        <w:tc>
          <w:tcPr/>
          <w:p>
            <w:pPr>
              <w:pStyle w:val="Compact"/>
            </w:pPr>
            <w:r>
              <w:t xml:space="preserve">OpenFisca</w:t>
            </w:r>
          </w:p>
        </w:tc>
      </w:tr>
      <w:tr>
        <w:tc>
          <w:tcPr/>
          <w:p>
            <w:pPr>
              <w:pStyle w:val="Compact"/>
            </w:pPr>
            <w:r>
              <w:t xml:space="preserve">Primary Domain</w:t>
            </w:r>
          </w:p>
        </w:tc>
        <w:tc>
          <w:tcPr/>
          <w:p>
            <w:pPr>
              <w:pStyle w:val="Compact"/>
            </w:pPr>
            <w:r>
              <w:t xml:space="preserve">IP fees</w:t>
            </w:r>
          </w:p>
        </w:tc>
        <w:tc>
          <w:tcPr/>
          <w:p>
            <w:pPr>
              <w:pStyle w:val="Compact"/>
            </w:pPr>
            <w:r>
              <w:t xml:space="preserve">Tax law</w:t>
            </w:r>
          </w:p>
        </w:tc>
        <w:tc>
          <w:tcPr/>
          <w:p>
            <w:pPr>
              <w:pStyle w:val="Compact"/>
            </w:pPr>
            <w:r>
              <w:t xml:space="preserve">Compliance</w:t>
            </w:r>
          </w:p>
        </w:tc>
        <w:tc>
          <w:tcPr/>
          <w:p>
            <w:pPr>
              <w:pStyle w:val="Compact"/>
            </w:pPr>
            <w:r>
              <w:t xml:space="preserve">General</w:t>
            </w:r>
          </w:p>
        </w:tc>
        <w:tc>
          <w:tcPr/>
          <w:p>
            <w:pPr>
              <w:pStyle w:val="Compact"/>
            </w:pPr>
            <w:r>
              <w:t xml:space="preserve">Tax-benefit</w:t>
            </w:r>
          </w:p>
        </w:tc>
      </w:tr>
      <w:tr>
        <w:tc>
          <w:tcPr/>
          <w:p>
            <w:pPr>
              <w:pStyle w:val="Compact"/>
            </w:pPr>
            <w:r>
              <w:t xml:space="preserve">Type Safety</w:t>
            </w:r>
          </w:p>
        </w:tc>
        <w:tc>
          <w:tcPr/>
          <w:p>
            <w:pPr>
              <w:pStyle w:val="Compact"/>
            </w:pPr>
            <w:r>
              <w:t xml:space="preserve">Currency-aware</w:t>
            </w:r>
          </w:p>
        </w:tc>
        <w:tc>
          <w:tcPr/>
          <w:p>
            <w:pPr>
              <w:pStyle w:val="Compact"/>
            </w:pPr>
            <w:r>
              <w:t xml:space="preserve">Dependent types</w:t>
            </w:r>
          </w:p>
        </w:tc>
        <w:tc>
          <w:tcPr/>
          <w:p>
            <w:pPr>
              <w:pStyle w:val="Compact"/>
            </w:pPr>
            <w:r>
              <w:t xml:space="preserve">None</w:t>
            </w:r>
          </w:p>
        </w:tc>
        <w:tc>
          <w:tcPr/>
          <w:p>
            <w:pPr>
              <w:pStyle w:val="Compact"/>
            </w:pPr>
            <w:r>
              <w:t xml:space="preserve">None</w:t>
            </w:r>
          </w:p>
        </w:tc>
        <w:tc>
          <w:tcPr/>
          <w:p>
            <w:pPr>
              <w:pStyle w:val="Compact"/>
            </w:pPr>
            <w:r>
              <w:t xml:space="preserve">Runtime</w:t>
            </w:r>
          </w:p>
        </w:tc>
      </w:tr>
      <w:tr>
        <w:tc>
          <w:tcPr/>
          <w:p>
            <w:pPr>
              <w:pStyle w:val="Compact"/>
            </w:pPr>
            <w:r>
              <w:t xml:space="preserve">Multi-currency</w:t>
            </w:r>
          </w:p>
        </w:tc>
        <w:tc>
          <w:tcPr/>
          <w:p>
            <w:pPr>
              <w:pStyle w:val="Compact"/>
            </w:pPr>
            <w:r>
              <w:t xml:space="preserve">Built-in (161 ISO 4217)</w:t>
            </w:r>
          </w:p>
        </w:tc>
        <w:tc>
          <w:tcPr/>
          <w:p>
            <w:pPr>
              <w:pStyle w:val="Compact"/>
            </w:pPr>
            <w:r>
              <w:t xml:space="preserve">User-definable</w:t>
            </w:r>
          </w:p>
        </w:tc>
        <w:tc>
          <w:tcPr/>
          <w:p>
            <w:pPr>
              <w:pStyle w:val="Compact"/>
            </w:pPr>
            <w:r>
              <w:t xml:space="preserve">No</w:t>
            </w:r>
          </w:p>
        </w:tc>
        <w:tc>
          <w:tcPr/>
          <w:p>
            <w:pPr>
              <w:pStyle w:val="Compact"/>
            </w:pPr>
            <w:r>
              <w:t xml:space="preserve">No</w:t>
            </w:r>
          </w:p>
        </w:tc>
        <w:tc>
          <w:tcPr/>
          <w:p>
            <w:pPr>
              <w:pStyle w:val="Compact"/>
            </w:pPr>
            <w:r>
              <w:t xml:space="preserve">Limited</w:t>
            </w:r>
          </w:p>
        </w:tc>
      </w:tr>
      <w:tr>
        <w:tc>
          <w:tcPr/>
          <w:p>
            <w:pPr>
              <w:pStyle w:val="Compact"/>
            </w:pPr>
            <w:r>
              <w:t xml:space="preserve">Static Verification</w:t>
            </w:r>
          </w:p>
        </w:tc>
        <w:tc>
          <w:tcPr/>
          <w:p>
            <w:pPr>
              <w:pStyle w:val="Compact"/>
            </w:pPr>
            <w:r>
              <w:t xml:space="preserve">Completeness, Monotonicity</w:t>
            </w:r>
          </w:p>
        </w:tc>
        <w:tc>
          <w:tcPr/>
          <w:p>
            <w:pPr>
              <w:pStyle w:val="Compact"/>
            </w:pPr>
            <w:r>
              <w:t xml:space="preserve">Exhaustiveness</w:t>
            </w:r>
          </w:p>
        </w:tc>
        <w:tc>
          <w:tcPr/>
          <w:p>
            <w:pPr>
              <w:pStyle w:val="Compact"/>
            </w:pPr>
            <w:r>
              <w:t xml:space="preserve">Defeasibility</w:t>
            </w:r>
          </w:p>
        </w:tc>
        <w:tc>
          <w:tcPr/>
          <w:p>
            <w:pPr>
              <w:pStyle w:val="Compact"/>
            </w:pPr>
            <w:r>
              <w:t xml:space="preserve">None</w:t>
            </w:r>
          </w:p>
        </w:tc>
        <w:tc>
          <w:tcPr/>
          <w:p>
            <w:pPr>
              <w:pStyle w:val="Compact"/>
            </w:pPr>
            <w:r>
              <w:t xml:space="preserve">None</w:t>
            </w:r>
          </w:p>
        </w:tc>
      </w:tr>
      <w:tr>
        <w:tc>
          <w:tcPr/>
          <w:p>
            <w:pPr>
              <w:pStyle w:val="Compact"/>
            </w:pPr>
            <w:r>
              <w:t xml:space="preserve">Syntax Style</w:t>
            </w:r>
          </w:p>
        </w:tc>
        <w:tc>
          <w:tcPr/>
          <w:p>
            <w:pPr>
              <w:pStyle w:val="Compact"/>
            </w:pPr>
            <w:r>
              <w:t xml:space="preserve">Declarative keywords</w:t>
            </w:r>
          </w:p>
        </w:tc>
        <w:tc>
          <w:tcPr/>
          <w:p>
            <w:pPr>
              <w:pStyle w:val="Compact"/>
            </w:pPr>
            <w:r>
              <w:t xml:space="preserve">Literate</w:t>
            </w:r>
          </w:p>
        </w:tc>
        <w:tc>
          <w:tcPr/>
          <w:p>
            <w:pPr>
              <w:pStyle w:val="Compact"/>
            </w:pPr>
            <w:r>
              <w:t xml:space="preserve">XML</w:t>
            </w:r>
          </w:p>
        </w:tc>
        <w:tc>
          <w:tcPr/>
          <w:p>
            <w:pPr>
              <w:pStyle w:val="Compact"/>
            </w:pPr>
            <w:r>
              <w:t xml:space="preserve">Drools DRL</w:t>
            </w:r>
          </w:p>
        </w:tc>
        <w:tc>
          <w:tcPr/>
          <w:p>
            <w:pPr>
              <w:pStyle w:val="Compact"/>
            </w:pPr>
            <w:r>
              <w:t xml:space="preserve">Python</w:t>
            </w:r>
          </w:p>
        </w:tc>
      </w:tr>
      <w:tr>
        <w:tc>
          <w:tcPr/>
          <w:p>
            <w:pPr>
              <w:pStyle w:val="Compact"/>
            </w:pPr>
            <w:r>
              <w:t xml:space="preserve">Target User</w:t>
            </w:r>
          </w:p>
        </w:tc>
        <w:tc>
          <w:tcPr/>
          <w:p>
            <w:pPr>
              <w:pStyle w:val="Compact"/>
            </w:pPr>
            <w:r>
              <w:t xml:space="preserve">Domain experts</w:t>
            </w:r>
          </w:p>
        </w:tc>
        <w:tc>
          <w:tcPr/>
          <w:p>
            <w:pPr>
              <w:pStyle w:val="Compact"/>
            </w:pPr>
            <w:r>
              <w:t xml:space="preserve">Formal methods experts</w:t>
            </w:r>
          </w:p>
        </w:tc>
        <w:tc>
          <w:tcPr/>
          <w:p>
            <w:pPr>
              <w:pStyle w:val="Compact"/>
            </w:pPr>
            <w:r>
              <w:t xml:space="preserve">Ontology engineers</w:t>
            </w:r>
          </w:p>
        </w:tc>
        <w:tc>
          <w:tcPr/>
          <w:p>
            <w:pPr>
              <w:pStyle w:val="Compact"/>
            </w:pPr>
            <w:r>
              <w:t xml:space="preserve">Developers</w:t>
            </w:r>
          </w:p>
        </w:tc>
        <w:tc>
          <w:tcPr/>
          <w:p>
            <w:pPr>
              <w:pStyle w:val="Compact"/>
            </w:pPr>
            <w:r>
              <w:t xml:space="preserve">Developers</w:t>
            </w:r>
          </w:p>
        </w:tc>
      </w:tr>
      <w:tr>
        <w:tc>
          <w:tcPr/>
          <w:p>
            <w:pPr>
              <w:pStyle w:val="Compact"/>
            </w:pPr>
            <w:r>
              <w:t xml:space="preserve">Multi-jurisdiction</w:t>
            </w:r>
          </w:p>
        </w:tc>
        <w:tc>
          <w:tcPr/>
          <w:p>
            <w:pPr>
              <w:pStyle w:val="Compact"/>
            </w:pPr>
            <w:r>
              <w:t xml:space="preserve">Composition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Interoperability Focus</w:t>
            </w:r>
          </w:p>
        </w:tc>
        <w:tc>
          <w:tcPr/>
          <w:p>
            <w:pPr>
              <w:pStyle w:val="Compact"/>
            </w:pPr>
            <w:r>
              <w:t xml:space="preserve">Multi-jurisdiction</w:t>
            </w:r>
          </w:p>
        </w:tc>
        <w:tc>
          <w:tcPr/>
          <w:p>
            <w:pPr>
              <w:pStyle w:val="Compact"/>
            </w:pPr>
            <w:r>
              <w:t xml:space="preserve">Single-jurisdiction</w:t>
            </w:r>
          </w:p>
        </w:tc>
        <w:tc>
          <w:tcPr/>
          <w:p>
            <w:pPr>
              <w:pStyle w:val="Compact"/>
            </w:pPr>
            <w:r>
              <w:t xml:space="preserve">Ontology mapping</w:t>
            </w:r>
          </w:p>
        </w:tc>
        <w:tc>
          <w:tcPr/>
          <w:p>
            <w:pPr>
              <w:pStyle w:val="Compact"/>
            </w:pPr>
            <w:r>
              <w:t xml:space="preserve">Integration APIs</w:t>
            </w:r>
          </w:p>
        </w:tc>
        <w:tc>
          <w:tcPr/>
          <w:p>
            <w:pPr>
              <w:pStyle w:val="Compact"/>
            </w:pPr>
            <w:r>
              <w:t xml:space="preserve">Country modules</w:t>
            </w:r>
          </w:p>
        </w:tc>
      </w:tr>
      <w:tr>
        <w:tc>
          <w:tcPr/>
          <w:p>
            <w:pPr>
              <w:pStyle w:val="Compact"/>
            </w:pPr>
            <w:r>
              <w:t xml:space="preserve">Provenance</w:t>
            </w:r>
          </w:p>
        </w:tc>
        <w:tc>
          <w:tcPr/>
          <w:p>
            <w:pPr>
              <w:pStyle w:val="Compact"/>
            </w:pPr>
            <w:r>
              <w:t xml:space="preserve">Built-in</w:t>
            </w:r>
          </w:p>
        </w:tc>
        <w:tc>
          <w:tcPr/>
          <w:p>
            <w:pPr>
              <w:pStyle w:val="Compact"/>
            </w:pPr>
            <w:r>
              <w:t xml:space="preserve">No</w:t>
            </w:r>
          </w:p>
        </w:tc>
        <w:tc>
          <w:tcPr/>
          <w:p>
            <w:pPr>
              <w:pStyle w:val="Compact"/>
            </w:pPr>
            <w:r>
              <w:t xml:space="preserve">No</w:t>
            </w:r>
          </w:p>
        </w:tc>
        <w:tc>
          <w:tcPr/>
          <w:p>
            <w:pPr>
              <w:pStyle w:val="Compact"/>
            </w:pPr>
            <w:r>
              <w:t xml:space="preserve">Audit log</w:t>
            </w:r>
          </w:p>
        </w:tc>
        <w:tc>
          <w:tcPr/>
          <w:p>
            <w:pPr>
              <w:pStyle w:val="Compact"/>
            </w:pPr>
            <w:r>
              <w:t xml:space="preserve">No</w:t>
            </w:r>
          </w:p>
        </w:tc>
      </w:tr>
      <w:tr>
        <w:tc>
          <w:tcPr/>
          <w:p>
            <w:pPr>
              <w:pStyle w:val="Compact"/>
            </w:pPr>
            <w:r>
              <w:t xml:space="preserve">License</w:t>
            </w:r>
          </w:p>
        </w:tc>
        <w:tc>
          <w:tcPr/>
          <w:p>
            <w:pPr>
              <w:pStyle w:val="Compact"/>
            </w:pPr>
            <w:r>
              <w:t xml:space="preserve">GPLv3</w:t>
            </w:r>
          </w:p>
        </w:tc>
        <w:tc>
          <w:tcPr/>
          <w:p>
            <w:pPr>
              <w:pStyle w:val="Compact"/>
            </w:pPr>
            <w:r>
              <w:t xml:space="preserve">Apache 2.0</w:t>
            </w:r>
          </w:p>
        </w:tc>
        <w:tc>
          <w:tcPr/>
          <w:p>
            <w:pPr>
              <w:pStyle w:val="Compact"/>
            </w:pPr>
            <w:r>
              <w:t xml:space="preserve">OASIS</w:t>
            </w:r>
          </w:p>
        </w:tc>
        <w:tc>
          <w:tcPr/>
          <w:p>
            <w:pPr>
              <w:pStyle w:val="Compact"/>
            </w:pPr>
            <w:r>
              <w:t xml:space="preserve">Apache 2.0</w:t>
            </w:r>
          </w:p>
        </w:tc>
        <w:tc>
          <w:tcPr/>
          <w:p>
            <w:pPr>
              <w:pStyle w:val="Compact"/>
            </w:pPr>
            <w:r>
              <w:t xml:space="preserve">AGPL</w:t>
            </w:r>
          </w:p>
        </w:tc>
      </w:tr>
    </w:tbl>
    <w:p>
      <w:pPr>
        <w:pStyle w:val="BodyText"/>
      </w:pPr>
      <w:r>
        <w:rPr>
          <w:i/>
          <w:iCs/>
        </w:rPr>
        <w:t xml:space="preserve">Table 1: Comparison of Legal DSLs and Rules Engines</w:t>
      </w:r>
    </w:p>
    <w:p>
      <w:pPr>
        <w:pStyle w:val="BodyText"/>
      </w:pPr>
      <w:r>
        <w:t xml:space="preserve">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p>
      <w:r>
        <w:pict>
          <v:rect style="width:0;height:1.5pt" o:hralign="center" o:hrstd="t" o:hr="t"/>
        </w:pict>
      </w:r>
    </w:p>
    <w:bookmarkEnd w:id="18"/>
    <w:bookmarkEnd w:id="19"/>
    <w:bookmarkStart w:id="36" w:name="ipflang-language-specification"/>
    <w:p>
      <w:pPr>
        <w:pStyle w:val="Heading2"/>
      </w:pPr>
      <w:r>
        <w:t xml:space="preserve">3. IPFLang Language Specification</w:t>
      </w:r>
    </w:p>
    <w:bookmarkStart w:id="20" w:name="design-principles"/>
    <w:p>
      <w:pPr>
        <w:pStyle w:val="Heading3"/>
      </w:pPr>
      <w:r>
        <w:t xml:space="preserve">3.1 Design Principles</w:t>
      </w:r>
    </w:p>
    <w:p>
      <w:pPr>
        <w:pStyle w:val="FirstParagraph"/>
      </w:pPr>
      <w:r>
        <w:t xml:space="preserve">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pPr>
        <w:pStyle w:val="BodyText"/>
      </w:pPr>
      <w:r>
        <w:t xml:space="preserve">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pPr>
        <w:pStyle w:val="BodyText"/>
      </w:pPr>
      <w:r>
        <w:t xml:space="preserve">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pPr>
        <w:pStyle w:val="BodyText"/>
      </w:pPr>
      <w:r>
        <w:t xml:space="preserve">The third principle establishes a static type system. Input declarations explicitly specify types including NUMBER, LIST, MULTILIST, BOOLEAN, DATE, and AMOUNT, enabling compile-time validation. Static typing prevents runtime errors from type mismatches and provides clear parameter documentation.</w:t>
      </w:r>
    </w:p>
    <w:p>
      <w:pPr>
        <w:pStyle w:val="BodyText"/>
      </w:pPr>
      <w:r>
        <w:t xml:space="preserve">The fourth principle maintains minimal syntax complexity. Language features target the minimum necessary for regulatory fee calculations. Structured blocks such as DEFINE…ENDDEFINE and COMPUTE…ENDCOMPUTE with explicit terminators aid comprehension and prevent syntax errors common in expression-based languages.</w:t>
      </w:r>
    </w:p>
    <w:p>
      <w:pPr>
        <w:pStyle w:val="BodyText"/>
      </w:pPr>
      <w:r>
        <w:t xml:space="preserve">The fifth principle ensures auditability and traceability. Fee computation produces step-by-step execution traces showing how final amounts derive from input parameters. This addresses legal requirements for calculation transparency and assists in dispute resolution.</w:t>
      </w:r>
    </w:p>
    <w:p>
      <w:pPr>
        <w:pStyle w:val="BodyText"/>
      </w:pPr>
      <w:r>
        <w:t xml:space="preserve">The sixth principle guarantees jurisdiction independence. Language constructs make no assumptions about specific jurisdictions, enabling code reuse across patent offices. Jurisdiction-specific business rules reside in fee definitions rather than language syntax.</w:t>
      </w:r>
    </w:p>
    <w:bookmarkEnd w:id="20"/>
    <w:bookmarkStart w:id="21" w:name="language-syntax-overview"/>
    <w:p>
      <w:pPr>
        <w:pStyle w:val="Heading3"/>
      </w:pPr>
      <w:r>
        <w:t xml:space="preserve">3.2 Language Syntax Overview</w:t>
      </w:r>
    </w:p>
    <w:p>
      <w:pPr>
        <w:pStyle w:val="FirstParagraph"/>
      </w:pPr>
      <w:r>
        <w:rPr>
          <w:b/>
          <w:bCs/>
        </w:rPr>
        <w:t xml:space="preserve">[INSERT FIGURE 2: figures/figure5_syntax_structure.mmd - IPFLang Program Structure]</w:t>
      </w:r>
    </w:p>
    <w:p>
      <w:pPr>
        <w:pStyle w:val="BodyText"/>
      </w:pPr>
      <w:r>
        <w:t xml:space="preserve">An IPFLang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IPFLang program consists of input definitions that declare the parameters required for fee calculation—these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bookmarkEnd w:id="21"/>
    <w:bookmarkStart w:id="22" w:name="version-declaration"/>
    <w:p>
      <w:pPr>
        <w:pStyle w:val="Heading3"/>
      </w:pPr>
      <w:r>
        <w:t xml:space="preserve">3.3 Version Declaration</w:t>
      </w:r>
    </w:p>
    <w:p>
      <w:pPr>
        <w:pStyle w:val="FirstParagraph"/>
      </w:pPr>
      <w:r>
        <w:t xml:space="preserve">Fee schedules change frequently, requiring version tracking with effective dates.</w:t>
      </w:r>
    </w:p>
    <w:p>
      <w:pPr>
        <w:pStyle w:val="BodyText"/>
      </w:pPr>
      <w:r>
        <w:rPr>
          <w:b/>
          <w:bCs/>
        </w:rPr>
        <w:t xml:space="preserve">Syntax:</w:t>
      </w:r>
    </w:p>
    <w:p>
      <w:pPr>
        <w:pStyle w:val="SourceCode"/>
      </w:pPr>
      <w:r>
        <w:rPr>
          <w:rStyle w:val="VerbatimChar"/>
        </w:rPr>
        <w:t xml:space="preserve">VERSION '&lt;VersionId&gt;' EFFECTIVE &lt;date&gt; [DESCRIPTION '&lt;description&gt;'] [REFERENCE '&lt;reference&gt;']</w:t>
      </w:r>
    </w:p>
    <w:p>
      <w:pPr>
        <w:pStyle w:val="FirstParagraph"/>
      </w:pPr>
      <w:r>
        <w:rPr>
          <w:b/>
          <w:bCs/>
        </w:rPr>
        <w:t xml:space="preserve">Example:</w:t>
      </w:r>
    </w:p>
    <w:p>
      <w:pPr>
        <w:pStyle w:val="SourceCode"/>
      </w:pPr>
      <w:r>
        <w:rPr>
          <w:rStyle w:val="VerbatimChar"/>
        </w:rPr>
        <w:t xml:space="preserve">VERSION '2024.1' EFFECTIVE 01.04.2024 DESCRIPTION 'EPO official fees 2024' REFERENCE 'EPO Official Journal 2024/03'</w:t>
      </w:r>
    </w:p>
    <w:p>
      <w:pPr>
        <w:pStyle w:val="FirstParagraph"/>
      </w:pPr>
      <w:r>
        <w:t xml:space="preserve">The VERSION directive enables temporal queries (calculating fees as they were on a specific date), version comparison (identifying changes between fee schedule revisions), and regulatory traceability (linking calculations to authoritative sources).</w:t>
      </w:r>
    </w:p>
    <w:bookmarkEnd w:id="22"/>
    <w:bookmarkStart w:id="29" w:name="input-type-system"/>
    <w:p>
      <w:pPr>
        <w:pStyle w:val="Heading3"/>
      </w:pPr>
      <w:r>
        <w:t xml:space="preserve">3.4 Input Type System</w:t>
      </w:r>
    </w:p>
    <w:p>
      <w:pPr>
        <w:pStyle w:val="FirstParagraph"/>
      </w:pPr>
      <w:r>
        <w:t xml:space="preserve">IPFLang provides six input types matching common parameter patterns across patent offices.</w:t>
      </w:r>
    </w:p>
    <w:bookmarkStart w:id="23" w:name="list-single-choice-enumeration"/>
    <w:p>
      <w:pPr>
        <w:pStyle w:val="Heading4"/>
      </w:pPr>
      <w:r>
        <w:t xml:space="preserve">3.4.1 LIST (Single-Choice Enumeration)</w:t>
      </w:r>
    </w:p>
    <w:p>
      <w:pPr>
        <w:pStyle w:val="FirstParagraph"/>
      </w:pPr>
      <w:r>
        <w:t xml:space="preserve">The LIST type handles parameters with mutually exclusive options such as entity type, filing basis, or examination request.</w:t>
      </w:r>
    </w:p>
    <w:p>
      <w:pPr>
        <w:pStyle w:val="SourceCode"/>
      </w:pPr>
      <w:r>
        <w:rPr>
          <w:rStyle w:val="VerbatimChar"/>
        </w:rPr>
        <w:t xml:space="preserve">DEFINE LIST EntityType AS 'Select entity size'</w:t>
      </w:r>
      <w:r>
        <w:br/>
      </w:r>
      <w:r>
        <w:rPr>
          <w:rStyle w:val="VerbatimChar"/>
        </w:rPr>
        <w:t xml:space="preserve">GROUP General</w:t>
      </w:r>
      <w:r>
        <w:br/>
      </w:r>
      <w:r>
        <w:rPr>
          <w:rStyle w:val="VerbatimChar"/>
        </w:rPr>
        <w:t xml:space="preserve">CHOICE NormalEntity AS 'Large Entity'</w:t>
      </w:r>
      <w:r>
        <w:br/>
      </w:r>
      <w:r>
        <w:rPr>
          <w:rStyle w:val="VerbatimChar"/>
        </w:rPr>
        <w:t xml:space="preserve">CHOICE SmallEntity AS 'Small Entity (50% discount)'</w:t>
      </w:r>
      <w:r>
        <w:br/>
      </w:r>
      <w:r>
        <w:rPr>
          <w:rStyle w:val="VerbatimChar"/>
        </w:rPr>
        <w:t xml:space="preserve">CHOICE MicroEntity AS 'Micro Entity (75% discount)'</w:t>
      </w:r>
      <w:r>
        <w:br/>
      </w:r>
      <w:r>
        <w:rPr>
          <w:rStyle w:val="VerbatimChar"/>
        </w:rPr>
        <w:t xml:space="preserve">DEFAULT NormalEntity</w:t>
      </w:r>
      <w:r>
        <w:br/>
      </w:r>
      <w:r>
        <w:rPr>
          <w:rStyle w:val="VerbatimChar"/>
        </w:rPr>
        <w:t xml:space="preserve">ENDDEFINE</w:t>
      </w:r>
    </w:p>
    <w:bookmarkEnd w:id="23"/>
    <w:bookmarkStart w:id="24" w:name="multilist-multi-choice-enumeration"/>
    <w:p>
      <w:pPr>
        <w:pStyle w:val="Heading4"/>
      </w:pPr>
      <w:r>
        <w:t xml:space="preserve">3.4.2 MULTILIST (Multi-Choice Enumeration)</w:t>
      </w:r>
    </w:p>
    <w:p>
      <w:pPr>
        <w:pStyle w:val="FirstParagraph"/>
      </w:pPr>
      <w:r>
        <w:t xml:space="preserve">The MULTILIST type accommodates parameters allowing multiple selections. The special property accessor</w:t>
      </w:r>
      <w:r>
        <w:t xml:space="preserve"> </w:t>
      </w:r>
      <w:r>
        <w:rPr>
          <w:rStyle w:val="VerbatimChar"/>
        </w:rPr>
        <w:t xml:space="preserve">!COUNT</w:t>
      </w:r>
      <w:r>
        <w:t xml:space="preserve"> </w:t>
      </w:r>
      <w:r>
        <w:t xml:space="preserve">returns the number of selections. IPFLang uses the exclamation mark (</w:t>
      </w:r>
      <w:r>
        <w:rPr>
          <w:rStyle w:val="VerbatimChar"/>
        </w:rPr>
        <w:t xml:space="preserve">!</w:t>
      </w:r>
      <w:r>
        <w:t xml:space="preserve">) as the property accessor to distinguish property access from other syntactic elements and to provide visual emphasis for these computed properties, which derive values from the underlying data rather than representing stored values directly.</w:t>
      </w:r>
    </w:p>
    <w:p>
      <w:pPr>
        <w:pStyle w:val="SourceCode"/>
      </w:pPr>
      <w:r>
        <w:rPr>
          <w:rStyle w:val="VerbatimChar"/>
        </w:rPr>
        <w:t xml:space="preserve">DEFINE MULTILIST Countries AS 'Select validation countries'</w:t>
      </w:r>
      <w:r>
        <w:br/>
      </w:r>
      <w:r>
        <w:rPr>
          <w:rStyle w:val="VerbatimChar"/>
        </w:rPr>
        <w:t xml:space="preserve">CHOICE VAL_DE AS 'Germany'</w:t>
      </w:r>
      <w:r>
        <w:br/>
      </w:r>
      <w:r>
        <w:rPr>
          <w:rStyle w:val="VerbatimChar"/>
        </w:rPr>
        <w:t xml:space="preserve">CHOICE VAL_FR AS 'France'</w:t>
      </w:r>
      <w:r>
        <w:br/>
      </w:r>
      <w:r>
        <w:rPr>
          <w:rStyle w:val="VerbatimChar"/>
        </w:rPr>
        <w:t xml:space="preserve">CHOICE VAL_GB AS 'United Kingdom'</w:t>
      </w:r>
      <w:r>
        <w:br/>
      </w:r>
      <w:r>
        <w:rPr>
          <w:rStyle w:val="VerbatimChar"/>
        </w:rPr>
        <w:t xml:space="preserve">DEFAULT VAL_DE,VAL_FR</w:t>
      </w:r>
      <w:r>
        <w:br/>
      </w:r>
      <w:r>
        <w:rPr>
          <w:rStyle w:val="VerbatimChar"/>
        </w:rPr>
        <w:t xml:space="preserve">ENDDEFINE</w:t>
      </w:r>
    </w:p>
    <w:p>
      <w:pPr>
        <w:pStyle w:val="FirstParagraph"/>
      </w:pPr>
      <w:r>
        <w:rPr>
          <w:b/>
          <w:bCs/>
        </w:rPr>
        <w:t xml:space="preserve">Usage:</w:t>
      </w:r>
      <w:r>
        <w:t xml:space="preserve"> </w:t>
      </w:r>
      <w:r>
        <w:rPr>
          <w:rStyle w:val="VerbatimChar"/>
        </w:rPr>
        <w:t xml:space="preserve">YIELD 100 * Countries!COUNT</w:t>
      </w:r>
    </w:p>
    <w:bookmarkEnd w:id="24"/>
    <w:bookmarkStart w:id="25" w:name="number-numeric-input"/>
    <w:p>
      <w:pPr>
        <w:pStyle w:val="Heading4"/>
      </w:pPr>
      <w:r>
        <w:t xml:space="preserve">3.4.3 NUMBER (Numeric Input)</w:t>
      </w:r>
    </w:p>
    <w:p>
      <w:pPr>
        <w:pStyle w:val="FirstParagraph"/>
      </w:pPr>
      <w:r>
        <w:t xml:space="preserve">The NUMBER type handles counts, quantities, and page numbers with optional constraints.</w:t>
      </w:r>
    </w:p>
    <w:p>
      <w:pPr>
        <w:pStyle w:val="SourceCode"/>
      </w:pPr>
      <w:r>
        <w:rPr>
          <w:rStyle w:val="VerbatimChar"/>
        </w:rPr>
        <w:t xml:space="preserve">DEFINE NUMBER ClaimCount AS 'Number of claims in application'</w:t>
      </w:r>
      <w:r>
        <w:br/>
      </w:r>
      <w:r>
        <w:rPr>
          <w:rStyle w:val="VerbatimChar"/>
        </w:rPr>
        <w:t xml:space="preserve">BETWEEN 1 AND 500</w:t>
      </w:r>
      <w:r>
        <w:br/>
      </w:r>
      <w:r>
        <w:rPr>
          <w:rStyle w:val="VerbatimChar"/>
        </w:rPr>
        <w:t xml:space="preserve">DEFAULT 10</w:t>
      </w:r>
      <w:r>
        <w:br/>
      </w:r>
      <w:r>
        <w:rPr>
          <w:rStyle w:val="VerbatimChar"/>
        </w:rPr>
        <w:t xml:space="preserve">ENDDEFINE</w:t>
      </w:r>
    </w:p>
    <w:bookmarkEnd w:id="25"/>
    <w:bookmarkStart w:id="26" w:name="boolean-yesno"/>
    <w:p>
      <w:pPr>
        <w:pStyle w:val="Heading4"/>
      </w:pPr>
      <w:r>
        <w:t xml:space="preserve">3.4.4 BOOLEAN (Yes/No)</w:t>
      </w:r>
    </w:p>
    <w:p>
      <w:pPr>
        <w:pStyle w:val="FirstParagraph"/>
      </w:pPr>
      <w:r>
        <w:t xml:space="preserve">The BOOLEAN type represents binary choices.</w:t>
      </w:r>
    </w:p>
    <w:p>
      <w:pPr>
        <w:pStyle w:val="SourceCode"/>
      </w:pPr>
      <w:r>
        <w:rPr>
          <w:rStyle w:val="VerbatimChar"/>
        </w:rPr>
        <w:t xml:space="preserve">DEFINE BOOLEAN RequestExamination AS 'Request substantive examination?'</w:t>
      </w:r>
      <w:r>
        <w:br/>
      </w:r>
      <w:r>
        <w:rPr>
          <w:rStyle w:val="VerbatimChar"/>
        </w:rPr>
        <w:t xml:space="preserve">DEFAULT TRUE</w:t>
      </w:r>
      <w:r>
        <w:br/>
      </w:r>
      <w:r>
        <w:rPr>
          <w:rStyle w:val="VerbatimChar"/>
        </w:rPr>
        <w:t xml:space="preserve">ENDDEFINE</w:t>
      </w:r>
    </w:p>
    <w:bookmarkEnd w:id="26"/>
    <w:bookmarkStart w:id="27" w:name="date-date-input"/>
    <w:p>
      <w:pPr>
        <w:pStyle w:val="Heading4"/>
      </w:pPr>
      <w:r>
        <w:t xml:space="preserve">3.4.5 DATE (Date Input)</w:t>
      </w:r>
    </w:p>
    <w:p>
      <w:pPr>
        <w:pStyle w:val="FirstParagraph"/>
      </w:pPr>
      <w:r>
        <w:t xml:space="preserve">The DATE type handles filing dates and priority dates for calculating time-dependent fees. Temporal properties enable calculations based on elapsed time:</w:t>
      </w:r>
    </w:p>
    <w:p>
      <w:pPr>
        <w:pStyle w:val="Compact"/>
        <w:numPr>
          <w:ilvl w:val="0"/>
          <w:numId w:val="1003"/>
        </w:numPr>
      </w:pPr>
      <w:r>
        <w:rPr>
          <w:rStyle w:val="VerbatimChar"/>
        </w:rPr>
        <w:t xml:space="preserve">!YEARSTONOW</w:t>
      </w:r>
      <w:r>
        <w:t xml:space="preserve"> </w:t>
      </w:r>
      <w:r>
        <w:t xml:space="preserve">- Years from date to current date</w:t>
      </w:r>
    </w:p>
    <w:p>
      <w:pPr>
        <w:pStyle w:val="Compact"/>
        <w:numPr>
          <w:ilvl w:val="0"/>
          <w:numId w:val="1003"/>
        </w:numPr>
      </w:pPr>
      <w:r>
        <w:rPr>
          <w:rStyle w:val="VerbatimChar"/>
        </w:rPr>
        <w:t xml:space="preserve">!MONTHSTONOW</w:t>
      </w:r>
      <w:r>
        <w:t xml:space="preserve"> </w:t>
      </w:r>
      <w:r>
        <w:t xml:space="preserve">- Months from date to current date</w:t>
      </w:r>
    </w:p>
    <w:p>
      <w:pPr>
        <w:pStyle w:val="Compact"/>
        <w:numPr>
          <w:ilvl w:val="0"/>
          <w:numId w:val="1003"/>
        </w:numPr>
      </w:pPr>
      <w:r>
        <w:rPr>
          <w:rStyle w:val="VerbatimChar"/>
        </w:rPr>
        <w:t xml:space="preserve">!DAYSTONOW</w:t>
      </w:r>
      <w:r>
        <w:t xml:space="preserve"> </w:t>
      </w:r>
      <w:r>
        <w:t xml:space="preserve">- Days from date to current date</w:t>
      </w:r>
    </w:p>
    <w:p>
      <w:pPr>
        <w:pStyle w:val="Compact"/>
        <w:numPr>
          <w:ilvl w:val="0"/>
          <w:numId w:val="1003"/>
        </w:numPr>
      </w:pPr>
      <w:r>
        <w:rPr>
          <w:rStyle w:val="VerbatimChar"/>
        </w:rPr>
        <w:t xml:space="preserve">!MONTHSTONOW_FROMLASTDAY</w:t>
      </w:r>
      <w:r>
        <w:t xml:space="preserve"> </w:t>
      </w:r>
      <w:r>
        <w:t xml:space="preserve">- Months from end of date’s month</w:t>
      </w:r>
    </w:p>
    <w:p>
      <w:pPr>
        <w:pStyle w:val="SourceCode"/>
      </w:pPr>
      <w:r>
        <w:rPr>
          <w:rStyle w:val="VerbatimChar"/>
        </w:rPr>
        <w:t xml:space="preserve">DEFINE DATE FilingDate AS 'Application filing date'</w:t>
      </w:r>
      <w:r>
        <w:br/>
      </w:r>
      <w:r>
        <w:rPr>
          <w:rStyle w:val="VerbatimChar"/>
        </w:rPr>
        <w:t xml:space="preserve">BETWEEN 01.01.2000 AND TODAY</w:t>
      </w:r>
      <w:r>
        <w:br/>
      </w:r>
      <w:r>
        <w:rPr>
          <w:rStyle w:val="VerbatimChar"/>
        </w:rPr>
        <w:t xml:space="preserve">DEFAULT TODAY</w:t>
      </w:r>
      <w:r>
        <w:br/>
      </w:r>
      <w:r>
        <w:rPr>
          <w:rStyle w:val="VerbatimChar"/>
        </w:rPr>
        <w:t xml:space="preserve">ENDDEFINE</w:t>
      </w:r>
    </w:p>
    <w:p>
      <w:pPr>
        <w:pStyle w:val="FirstParagraph"/>
      </w:pPr>
      <w:r>
        <w:rPr>
          <w:b/>
          <w:bCs/>
        </w:rPr>
        <w:t xml:space="preserve">Usage:</w:t>
      </w:r>
      <w:r>
        <w:t xml:space="preserve"> </w:t>
      </w:r>
      <w:r>
        <w:rPr>
          <w:rStyle w:val="VerbatimChar"/>
        </w:rPr>
        <w:t xml:space="preserve">LET YearsSinceFiling AS FilingDate!YEARSTONOW</w:t>
      </w:r>
    </w:p>
    <w:bookmarkEnd w:id="27"/>
    <w:bookmarkStart w:id="28" w:name="amount-currency-aware-monetary-input"/>
    <w:p>
      <w:pPr>
        <w:pStyle w:val="Heading4"/>
      </w:pPr>
      <w:r>
        <w:t xml:space="preserve">3.4.6 AMOUNT (Currency-Aware Monetary Input)</w:t>
      </w:r>
    </w:p>
    <w:p>
      <w:pPr>
        <w:pStyle w:val="FirstParagraph"/>
      </w:pPr>
      <w:r>
        <w:t xml:space="preserve">The AMOUNT type represents monetary values with an associated ISO 4217 currency code, enabling type-safe arithmetic.</w:t>
      </w:r>
    </w:p>
    <w:p>
      <w:pPr>
        <w:pStyle w:val="SourceCode"/>
      </w:pPr>
      <w:r>
        <w:rPr>
          <w:rStyle w:val="VerbatimChar"/>
        </w:rPr>
        <w:t xml:space="preserve">DEFINE AMOUNT PriorSearchFee AS 'Prior art search fee paid'</w:t>
      </w:r>
      <w:r>
        <w:br/>
      </w:r>
      <w:r>
        <w:rPr>
          <w:rStyle w:val="VerbatimChar"/>
        </w:rPr>
        <w:t xml:space="preserve">CURRENCY EUR</w:t>
      </w:r>
      <w:r>
        <w:br/>
      </w:r>
      <w:r>
        <w:rPr>
          <w:rStyle w:val="VerbatimChar"/>
        </w:rPr>
        <w:t xml:space="preserve">DEFAULT 0</w:t>
      </w:r>
      <w:r>
        <w:br/>
      </w:r>
      <w:r>
        <w:rPr>
          <w:rStyle w:val="VerbatimChar"/>
        </w:rPr>
        <w:t xml:space="preserve">ENDDEFINE</w:t>
      </w:r>
    </w:p>
    <w:p>
      <w:pPr>
        <w:pStyle w:val="FirstParagraph"/>
      </w:pPr>
      <w:r>
        <w:t xml:space="preserve">The AMOUNT type integrates with the currency-aware type system described in Section 4, preventing accidental cross-currency arithmetic.</w:t>
      </w:r>
    </w:p>
    <w:bookmarkEnd w:id="28"/>
    <w:bookmarkEnd w:id="29"/>
    <w:bookmarkStart w:id="30" w:name="group-definitions"/>
    <w:p>
      <w:pPr>
        <w:pStyle w:val="Heading3"/>
      </w:pPr>
      <w:r>
        <w:t xml:space="preserve">3.5 Group Definitions</w:t>
      </w:r>
    </w:p>
    <w:p>
      <w:pPr>
        <w:pStyle w:val="FirstParagraph"/>
      </w:pPr>
      <w:r>
        <w:t xml:space="preserve">Groups organize inputs for user interface presentation, with weights determining display order.</w:t>
      </w:r>
    </w:p>
    <w:p>
      <w:pPr>
        <w:pStyle w:val="SourceCode"/>
      </w:pPr>
      <w:r>
        <w:rPr>
          <w:rStyle w:val="VerbatimChar"/>
        </w:rPr>
        <w:t xml:space="preserve">DEFINE GROUP General AS 'General Information' WITH WEIGHT 10</w:t>
      </w:r>
      <w:r>
        <w:br/>
      </w:r>
      <w:r>
        <w:rPr>
          <w:rStyle w:val="VerbatimChar"/>
        </w:rPr>
        <w:t xml:space="preserve">DEFINE GROUP Claims AS 'Claims Information' WITH WEIGHT 20</w:t>
      </w:r>
      <w:r>
        <w:br/>
      </w:r>
      <w:r>
        <w:rPr>
          <w:rStyle w:val="VerbatimChar"/>
        </w:rPr>
        <w:t xml:space="preserve">DEFINE GROUP Options AS 'Fee Options' WITH WEIGHT 30</w:t>
      </w:r>
    </w:p>
    <w:bookmarkEnd w:id="30"/>
    <w:bookmarkStart w:id="31" w:name="fee-computation-blocks"/>
    <w:p>
      <w:pPr>
        <w:pStyle w:val="Heading3"/>
      </w:pPr>
      <w:r>
        <w:t xml:space="preserve">3.6 Fee Computation Blocks</w:t>
      </w:r>
    </w:p>
    <w:p>
      <w:pPr>
        <w:pStyle w:val="FirstParagraph"/>
      </w:pPr>
      <w:r>
        <w:t xml:space="preserve">Fee calculations use structured COMPUTE FEE blocks with conditional YIELD statements.</w:t>
      </w:r>
    </w:p>
    <w:p>
      <w:pPr>
        <w:pStyle w:val="BodyText"/>
      </w:pPr>
      <w:r>
        <w:rPr>
          <w:b/>
          <w:bCs/>
        </w:rPr>
        <w:t xml:space="preserve">Basic syntax:</w:t>
      </w:r>
    </w:p>
    <w:p>
      <w:pPr>
        <w:pStyle w:val="SourceCode"/>
      </w:pPr>
      <w:r>
        <w:rPr>
          <w:rStyle w:val="VerbatimChar"/>
        </w:rPr>
        <w:t xml:space="preserve">COMPUTE FEE &lt;fee_name&gt; [OPTIONAL]</w:t>
      </w:r>
      <w:r>
        <w:br/>
      </w:r>
      <w:r>
        <w:rPr>
          <w:rStyle w:val="VerbatimChar"/>
        </w:rPr>
        <w:t xml:space="preserve">  [LET &lt;variable&gt; AS &lt;expression&gt;]*</w:t>
      </w:r>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 xml:space="preserve">ENDCOMPUTE</w:t>
      </w:r>
    </w:p>
    <w:p>
      <w:pPr>
        <w:pStyle w:val="FirstParagraph"/>
      </w:pPr>
      <w:r>
        <w:t xml:space="preserve">The OPTIONAL keyword distinguishes fees that may or may not apply from mandatory fees.</w:t>
      </w:r>
    </w:p>
    <w:p>
      <w:pPr>
        <w:pStyle w:val="BodyText"/>
      </w:pPr>
      <w:r>
        <w:rPr>
          <w:b/>
          <w:bCs/>
        </w:rPr>
        <w:t xml:space="preserve">Example - EPO claim fees with progressive rates:</w:t>
      </w:r>
    </w:p>
    <w:p>
      <w:pPr>
        <w:pStyle w:val="SourceCode"/>
      </w:pPr>
      <w:r>
        <w:rPr>
          <w:rStyle w:val="VerbatimChar"/>
        </w:rPr>
        <w:t xml:space="preserve">COMPUTE FEE ExcessClaimsFee</w:t>
      </w:r>
      <w:r>
        <w:br/>
      </w:r>
      <w:r>
        <w:rPr>
          <w:rStyle w:val="VerbatimChar"/>
        </w:rPr>
        <w:t xml:space="preserve">LET ClaimFee1 AS 265&lt;EUR&gt;</w:t>
      </w:r>
      <w:r>
        <w:br/>
      </w:r>
      <w:r>
        <w:rPr>
          <w:rStyle w:val="VerbatimChar"/>
        </w:rPr>
        <w:t xml:space="preserve">LET ClaimFee2 AS 660&lt;EUR&gt;</w:t>
      </w:r>
      <w:r>
        <w:br/>
      </w:r>
      <w:r>
        <w:rPr>
          <w:rStyle w:val="VerbatimChar"/>
        </w:rPr>
        <w:t xml:space="preserve">CASE ClaimCount LTE 15 AS</w:t>
      </w:r>
      <w:r>
        <w:br/>
      </w:r>
      <w:r>
        <w:rPr>
          <w:rStyle w:val="VerbatimChar"/>
        </w:rPr>
        <w:t xml:space="preserve">  YIELD 0&lt;EUR&gt;</w:t>
      </w:r>
      <w:r>
        <w:br/>
      </w:r>
      <w:r>
        <w:rPr>
          <w:rStyle w:val="VerbatimChar"/>
        </w:rPr>
        <w:t xml:space="preserve">ENDCASE</w:t>
      </w:r>
      <w:r>
        <w:br/>
      </w:r>
      <w:r>
        <w:rPr>
          <w:rStyle w:val="VerbatimChar"/>
        </w:rPr>
        <w:t xml:space="preserve">CASE ClaimCount GT 15 AND ClaimCount LTE 50 AS</w:t>
      </w:r>
      <w:r>
        <w:br/>
      </w:r>
      <w:r>
        <w:rPr>
          <w:rStyle w:val="VerbatimChar"/>
        </w:rPr>
        <w:t xml:space="preserve">  YIELD ClaimFee1 * (ClaimCount - 15)</w:t>
      </w:r>
      <w:r>
        <w:br/>
      </w:r>
      <w:r>
        <w:rPr>
          <w:rStyle w:val="VerbatimChar"/>
        </w:rPr>
        <w:t xml:space="preserve">ENDCASE</w:t>
      </w:r>
      <w:r>
        <w:br/>
      </w:r>
      <w:r>
        <w:rPr>
          <w:rStyle w:val="VerbatimChar"/>
        </w:rPr>
        <w:t xml:space="preserve">CASE ClaimCount GT 50 AS</w:t>
      </w:r>
      <w:r>
        <w:br/>
      </w:r>
      <w:r>
        <w:rPr>
          <w:rStyle w:val="VerbatimChar"/>
        </w:rPr>
        <w:t xml:space="preserve">  YIELD ClaimFee1 * 35 + ClaimFee2 * (ClaimCount - 50)</w:t>
      </w:r>
      <w:r>
        <w:br/>
      </w:r>
      <w:r>
        <w:rPr>
          <w:rStyle w:val="VerbatimChar"/>
        </w:rPr>
        <w:t xml:space="preserve">ENDCASE</w:t>
      </w:r>
      <w:r>
        <w:br/>
      </w:r>
      <w:r>
        <w:rPr>
          <w:rStyle w:val="VerbatimChar"/>
        </w:rPr>
        <w:t xml:space="preserve">ENDCOMPUTE</w:t>
      </w:r>
    </w:p>
    <w:p>
      <w:pPr>
        <w:pStyle w:val="FirstParagraph"/>
      </w:pPr>
      <w:r>
        <w:t xml:space="preserve">This directly encodes the EPO’s fee schedule: EUR 265 per claim for claims 16-50 and EUR 660 per claim beyond 50.</w:t>
      </w:r>
    </w:p>
    <w:bookmarkEnd w:id="31"/>
    <w:bookmarkStart w:id="32" w:name="currency-literals"/>
    <w:p>
      <w:pPr>
        <w:pStyle w:val="Heading3"/>
      </w:pPr>
      <w:r>
        <w:t xml:space="preserve">3.7 Currency Literals</w:t>
      </w:r>
    </w:p>
    <w:p>
      <w:pPr>
        <w:pStyle w:val="FirstParagraph"/>
      </w:pPr>
      <w:r>
        <w:t xml:space="preserve">Numeric values can be annotated with ISO 4217 currency codes:</w:t>
      </w:r>
    </w:p>
    <w:p>
      <w:pPr>
        <w:pStyle w:val="SourceCode"/>
      </w:pPr>
      <w:r>
        <w:rPr>
          <w:rStyle w:val="VerbatimChar"/>
        </w:rPr>
        <w:t xml:space="preserve">100&lt;EUR&gt;      # 100 Euros</w:t>
      </w:r>
      <w:r>
        <w:br/>
      </w:r>
      <w:r>
        <w:rPr>
          <w:rStyle w:val="VerbatimChar"/>
        </w:rPr>
        <w:t xml:space="preserve">50.50&lt;USD&gt;    # 50.50 US Dollars</w:t>
      </w:r>
      <w:r>
        <w:br/>
      </w:r>
      <w:r>
        <w:rPr>
          <w:rStyle w:val="VerbatimChar"/>
        </w:rPr>
        <w:t xml:space="preserve">1000&lt;JPY&gt;     # 1000 Japanese Yen</w:t>
      </w:r>
    </w:p>
    <w:p>
      <w:pPr>
        <w:pStyle w:val="FirstParagraph"/>
      </w:pPr>
      <w:r>
        <w:t xml:space="preserve">The type system enforces currency compatibility at compile time, as detailed in Section 4.</w:t>
      </w:r>
    </w:p>
    <w:bookmarkEnd w:id="32"/>
    <w:bookmarkStart w:id="33" w:name="operators-and-expressions"/>
    <w:p>
      <w:pPr>
        <w:pStyle w:val="Heading3"/>
      </w:pPr>
      <w:r>
        <w:t xml:space="preserve">3.8 Operators and Expressions</w:t>
      </w:r>
    </w:p>
    <w:p>
      <w:pPr>
        <w:pStyle w:val="FirstParagraph"/>
      </w:pPr>
      <w:r>
        <w:t xml:space="preserve">IPFLang provides:</w:t>
      </w:r>
    </w:p>
    <w:p>
      <w:pPr>
        <w:pStyle w:val="BodyText"/>
      </w:pPr>
      <w:r>
        <w:rPr>
          <w:b/>
          <w:bCs/>
        </w:rPr>
        <w:t xml:space="preserve">Comparison operators:</w:t>
      </w:r>
      <w:r>
        <w:t xml:space="preserve"> </w:t>
      </w:r>
      <w:r>
        <w:t xml:space="preserve">EQ (equality), NEQ (inequality), GT (greater than), LT (less than), GTE (greater or equal), LTE (less or equal)</w:t>
      </w:r>
    </w:p>
    <w:p>
      <w:pPr>
        <w:pStyle w:val="BodyText"/>
      </w:pPr>
      <w:r>
        <w:rPr>
          <w:b/>
          <w:bCs/>
        </w:rPr>
        <w:t xml:space="preserve">Logical operators:</w:t>
      </w:r>
      <w:r>
        <w:t xml:space="preserve"> </w:t>
      </w:r>
      <w:r>
        <w:t xml:space="preserve">AND, OR (with short-circuit evaluation)</w:t>
      </w:r>
    </w:p>
    <w:p>
      <w:pPr>
        <w:pStyle w:val="BodyText"/>
      </w:pPr>
      <w:r>
        <w:rPr>
          <w:b/>
          <w:bCs/>
        </w:rPr>
        <w:t xml:space="preserve">Arithmetic operators:</w:t>
      </w:r>
      <w:r>
        <w:t xml:space="preserve"> </w:t>
      </w:r>
      <w:r>
        <w:t xml:space="preserve">+, -, *, /, with ROUND, FLOOR, CEIL functions</w:t>
      </w:r>
    </w:p>
    <w:p>
      <w:pPr>
        <w:pStyle w:val="BodyText"/>
      </w:pPr>
      <w:r>
        <w:rPr>
          <w:b/>
          <w:bCs/>
        </w:rPr>
        <w:t xml:space="preserve">Set operators for MULTILIST:</w:t>
      </w:r>
      <w:r>
        <w:t xml:space="preserve"> </w:t>
      </w:r>
      <w:r>
        <w:t xml:space="preserve">IN (membership), NIN (non-membership), !COUNT (cardinality)</w:t>
      </w:r>
    </w:p>
    <w:p>
      <w:pPr>
        <w:pStyle w:val="BodyText"/>
      </w:pPr>
      <w:r>
        <w:rPr>
          <w:b/>
          <w:bCs/>
        </w:rPr>
        <w:t xml:space="preserve">Operator precedence</w:t>
      </w:r>
      <w:r>
        <w:t xml:space="preserve"> </w:t>
      </w:r>
      <w:r>
        <w:t xml:space="preserve">(highest to lowest): ROUND/FLOOR/CEIL, then *, /, then +, -, then comparisons, then AND, then OR. Parentheses override default precedence.</w:t>
      </w:r>
    </w:p>
    <w:bookmarkEnd w:id="33"/>
    <w:bookmarkStart w:id="34" w:name="jurisdiction-composition"/>
    <w:p>
      <w:pPr>
        <w:pStyle w:val="Heading3"/>
      </w:pPr>
      <w:r>
        <w:t xml:space="preserve">3.9 Jurisdiction Composition</w:t>
      </w:r>
    </w:p>
    <w:p>
      <w:pPr>
        <w:pStyle w:val="FirstParagraph"/>
      </w:pPr>
      <w:r>
        <w:t xml:space="preserve">IPFLang supports inheritance for code reuse across related fee schedules. A child jurisdiction inherits inputs and fees from a parent, can add new definitions, and can override inherited fees.</w:t>
      </w:r>
    </w:p>
    <w:p>
      <w:pPr>
        <w:pStyle w:val="BodyText"/>
      </w:pPr>
      <w:r>
        <w:rPr>
          <w:b/>
          <w:bCs/>
        </w:rPr>
        <w:t xml:space="preserve">Parent (EPO base):</w:t>
      </w:r>
    </w:p>
    <w:p>
      <w:pPr>
        <w:pStyle w:val="SourceCode"/>
      </w:pPr>
      <w:r>
        <w:rPr>
          <w:rStyle w:val="VerbatimChar"/>
        </w:rPr>
        <w:t xml:space="preserve">COMPUTE FEE FilingFee</w:t>
      </w:r>
      <w:r>
        <w:br/>
      </w:r>
      <w:r>
        <w:rPr>
          <w:rStyle w:val="VerbatimChar"/>
        </w:rPr>
        <w:t xml:space="preserve">YIELD 135&lt;EUR&gt;</w:t>
      </w:r>
      <w:r>
        <w:br/>
      </w:r>
      <w:r>
        <w:rPr>
          <w:rStyle w:val="VerbatimChar"/>
        </w:rPr>
        <w:t xml:space="preserve">ENDCOMPUTE</w:t>
      </w:r>
    </w:p>
    <w:p>
      <w:pPr>
        <w:pStyle w:val="FirstParagraph"/>
      </w:pPr>
      <w:r>
        <w:rPr>
          <w:b/>
          <w:bCs/>
        </w:rPr>
        <w:t xml:space="preserve">Child (EPO Germany national phase):</w:t>
      </w:r>
    </w:p>
    <w:p>
      <w:pPr>
        <w:pStyle w:val="SourceCode"/>
      </w:pPr>
      <w:r>
        <w:rPr>
          <w:rStyle w:val="VerbatimChar"/>
        </w:rPr>
        <w:t xml:space="preserve"># Inherits FilingFee from parent</w:t>
      </w:r>
      <w:r>
        <w:br/>
      </w:r>
      <w:r>
        <w:rPr>
          <w:rStyle w:val="VerbatimChar"/>
        </w:rPr>
        <w:t xml:space="preserve"># Adds Germany-specific fee</w:t>
      </w:r>
      <w:r>
        <w:br/>
      </w:r>
      <w:r>
        <w:rPr>
          <w:rStyle w:val="VerbatimChar"/>
        </w:rPr>
        <w:t xml:space="preserve">COMPUTE FEE GermanTranslationFee</w:t>
      </w:r>
      <w:r>
        <w:br/>
      </w:r>
      <w:r>
        <w:rPr>
          <w:rStyle w:val="VerbatimChar"/>
        </w:rPr>
        <w:t xml:space="preserve">YIELD 1050&lt;EUR&gt; IF NeedsTranslation EQ TRUE</w:t>
      </w:r>
      <w:r>
        <w:br/>
      </w:r>
      <w:r>
        <w:rPr>
          <w:rStyle w:val="VerbatimChar"/>
        </w:rPr>
        <w:t xml:space="preserve">YIELD 0&lt;EUR&gt; IF NeedsTranslation EQ FALSE</w:t>
      </w:r>
      <w:r>
        <w:br/>
      </w:r>
      <w:r>
        <w:rPr>
          <w:rStyle w:val="VerbatimChar"/>
        </w:rPr>
        <w:t xml:space="preserve">ENDCOMPUTE</w:t>
      </w:r>
    </w:p>
    <w:p>
      <w:pPr>
        <w:pStyle w:val="FirstParagraph"/>
      </w:pPr>
      <w:r>
        <w:t xml:space="preserve">Composition enables significant code reuse between related jurisdictions, simplifies maintenance when base fees change, and maintains clear traceability of fee origins.</w:t>
      </w:r>
    </w:p>
    <w:bookmarkEnd w:id="34"/>
    <w:bookmarkStart w:id="35" w:name="formal-grammar-ebnf"/>
    <w:p>
      <w:pPr>
        <w:pStyle w:val="Heading3"/>
      </w:pPr>
      <w:r>
        <w:t xml:space="preserve">3.10 Formal Grammar (EBNF)</w:t>
      </w:r>
    </w:p>
    <w:p>
      <w:pPr>
        <w:pStyle w:val="FirstParagraph"/>
      </w:pPr>
      <w:r>
        <w:t xml:space="preserve">The complete formal grammar in Extended Backus-Naur Form:</w:t>
      </w:r>
    </w:p>
    <w:p>
      <w:pPr>
        <w:pStyle w:val="SourceCode"/>
      </w:pPr>
      <w:r>
        <w:rPr>
          <w:rStyle w:val="VerbatimChar"/>
        </w:rPr>
        <w:t xml:space="preserve">(* Program Structure *)</w:t>
      </w:r>
      <w:r>
        <w:br/>
      </w:r>
      <w:r>
        <w:rPr>
          <w:rStyle w:val="VerbatimChar"/>
        </w:rPr>
        <w:t xml:space="preserve">&lt;program&gt;              ::= &lt;comment&gt;* &lt;version&gt;? &lt;group&gt;* &lt;input_definition&gt;*</w:t>
      </w:r>
      <w:r>
        <w:br/>
      </w:r>
      <w:r>
        <w:rPr>
          <w:rStyle w:val="VerbatimChar"/>
        </w:rPr>
        <w:t xml:space="preserve">                           &lt;fee_computation&gt;+ &lt;verification&gt;* &lt;return&gt;*</w:t>
      </w:r>
      <w:r>
        <w:br/>
      </w:r>
      <w:r>
        <w:br/>
      </w:r>
      <w:r>
        <w:rPr>
          <w:rStyle w:val="VerbatimChar"/>
        </w:rPr>
        <w:t xml:space="preserve">(* Comments *)</w:t>
      </w:r>
      <w:r>
        <w:br/>
      </w:r>
      <w:r>
        <w:rPr>
          <w:rStyle w:val="VerbatimChar"/>
        </w:rPr>
        <w:t xml:space="preserve">&lt;comment&gt;              ::= "#" {&lt;any_char&gt; - &lt;newline&gt;} &lt;newline&gt;</w:t>
      </w:r>
      <w:r>
        <w:br/>
      </w:r>
      <w:r>
        <w:br/>
      </w:r>
      <w:r>
        <w:rPr>
          <w:rStyle w:val="VerbatimChar"/>
        </w:rPr>
        <w:t xml:space="preserve">(* Version Declaration *)</w:t>
      </w:r>
      <w:r>
        <w:br/>
      </w:r>
      <w:r>
        <w:rPr>
          <w:rStyle w:val="VerbatimChar"/>
        </w:rPr>
        <w:t xml:space="preserve">&lt;version&gt;              ::= "VERSION" &lt;string&gt; "EFFECTIVE" &lt;date&gt;</w:t>
      </w:r>
      <w:r>
        <w:br/>
      </w:r>
      <w:r>
        <w:rPr>
          <w:rStyle w:val="VerbatimChar"/>
        </w:rPr>
        <w:t xml:space="preserve">                           ["DESCRIPTION" &lt;string&gt;] ["REFERENCE" &lt;string&gt;]</w:t>
      </w:r>
      <w:r>
        <w:br/>
      </w:r>
      <w:r>
        <w:br/>
      </w:r>
      <w:r>
        <w:rPr>
          <w:rStyle w:val="VerbatimChar"/>
        </w:rPr>
        <w:t xml:space="preserve">(* Group Definition *)</w:t>
      </w:r>
      <w:r>
        <w:br/>
      </w:r>
      <w:r>
        <w:rPr>
          <w:rStyle w:val="VerbatimChar"/>
        </w:rPr>
        <w:t xml:space="preserve">&lt;group&gt;                ::= "DEFINE" "GROUP" &lt;identifier&gt; "AS" &lt;string&gt;</w:t>
      </w:r>
      <w:r>
        <w:br/>
      </w:r>
      <w:r>
        <w:rPr>
          <w:rStyle w:val="VerbatimChar"/>
        </w:rPr>
        <w:t xml:space="preserve">                           "WITH" "WEIGHT" &lt;number&gt;</w:t>
      </w:r>
      <w:r>
        <w:br/>
      </w:r>
      <w:r>
        <w:br/>
      </w:r>
      <w:r>
        <w:rPr>
          <w:rStyle w:val="VerbatimChar"/>
        </w:rPr>
        <w:t xml:space="preserve">(* Input Definitions *)</w:t>
      </w:r>
      <w:r>
        <w:br/>
      </w:r>
      <w:r>
        <w:rPr>
          <w:rStyle w:val="VerbatimChar"/>
        </w:rPr>
        <w:t xml:space="preserve">&lt;input_definition&gt;     ::= "DEFINE" &lt;input_type&gt; &lt;identifier&gt; "AS" &lt;string&gt;</w:t>
      </w:r>
      <w:r>
        <w:br/>
      </w:r>
      <w:r>
        <w:rPr>
          <w:rStyle w:val="VerbatimChar"/>
        </w:rPr>
        <w:t xml:space="preserve">                           ["GROUP" &lt;identifier&gt;] &lt;type_specifics&gt;</w:t>
      </w:r>
      <w:r>
        <w:br/>
      </w:r>
      <w:r>
        <w:rPr>
          <w:rStyle w:val="VerbatimChar"/>
        </w:rPr>
        <w:t xml:space="preserve">                           ["DEFAULT" &lt;default_value&gt;] "ENDDEFINE"</w:t>
      </w:r>
      <w:r>
        <w:br/>
      </w:r>
      <w:r>
        <w:br/>
      </w:r>
      <w:r>
        <w:rPr>
          <w:rStyle w:val="VerbatimChar"/>
        </w:rPr>
        <w:t xml:space="preserve">&lt;input_type&gt;           ::= "LIST" | "MULTILIST" | "NUMBER" | "BOOLEAN" | "DATE" | "AMOUNT"</w:t>
      </w:r>
      <w:r>
        <w:br/>
      </w:r>
      <w:r>
        <w:br/>
      </w:r>
      <w:r>
        <w:rPr>
          <w:rStyle w:val="VerbatimChar"/>
        </w:rPr>
        <w:t xml:space="preserve">&lt;type_specifics&gt;       ::= &lt;choices&gt; | &lt;numeric_constraint&gt; | &lt;date_constraint&gt;</w:t>
      </w:r>
      <w:r>
        <w:br/>
      </w:r>
      <w:r>
        <w:rPr>
          <w:rStyle w:val="VerbatimChar"/>
        </w:rPr>
        <w:t xml:space="preserve">                         | &lt;currency_spec&gt; | ε</w:t>
      </w:r>
      <w:r>
        <w:br/>
      </w:r>
      <w:r>
        <w:br/>
      </w:r>
      <w:r>
        <w:rPr>
          <w:rStyle w:val="VerbatimChar"/>
        </w:rPr>
        <w:t xml:space="preserve">&lt;choices&gt;              ::= &lt;choice&gt;+</w:t>
      </w:r>
      <w:r>
        <w:br/>
      </w:r>
      <w:r>
        <w:rPr>
          <w:rStyle w:val="VerbatimChar"/>
        </w:rPr>
        <w:t xml:space="preserve">&lt;choice&gt;               ::= "CHOICE" &lt;identifier&gt; "AS" &lt;string&gt;</w:t>
      </w:r>
      <w:r>
        <w:br/>
      </w:r>
      <w:r>
        <w:br/>
      </w:r>
      <w:r>
        <w:rPr>
          <w:rStyle w:val="VerbatimChar"/>
        </w:rPr>
        <w:t xml:space="preserve">&lt;numeric_constraint&gt;   ::= "BETWEEN" &lt;number&gt; "AND" &lt;number&gt;</w:t>
      </w:r>
      <w:r>
        <w:br/>
      </w:r>
      <w:r>
        <w:rPr>
          <w:rStyle w:val="VerbatimChar"/>
        </w:rPr>
        <w:t xml:space="preserve">&lt;date_constraint&gt;      ::= "BETWEEN" &lt;date&gt; "AND" (&lt;date&gt; | "TODAY")</w:t>
      </w:r>
      <w:r>
        <w:br/>
      </w:r>
      <w:r>
        <w:rPr>
          <w:rStyle w:val="VerbatimChar"/>
        </w:rPr>
        <w:t xml:space="preserve">&lt;currency_spec&gt;        ::= "CURRENCY" &lt;currency_code&gt;</w:t>
      </w:r>
      <w:r>
        <w:br/>
      </w:r>
      <w:r>
        <w:br/>
      </w:r>
      <w:r>
        <w:rPr>
          <w:rStyle w:val="VerbatimChar"/>
        </w:rPr>
        <w:t xml:space="preserve">&lt;default_value&gt;        ::= &lt;number&gt; | &lt;identifier&gt; | &lt;boolean_literal&gt; | &lt;date&gt;</w:t>
      </w:r>
      <w:r>
        <w:br/>
      </w:r>
      <w:r>
        <w:rPr>
          <w:rStyle w:val="VerbatimChar"/>
        </w:rPr>
        <w:t xml:space="preserve">                         | &lt;currency_literal&gt; | &lt;identifier_list&gt;</w:t>
      </w:r>
      <w:r>
        <w:br/>
      </w:r>
      <w:r>
        <w:rPr>
          <w:rStyle w:val="VerbatimChar"/>
        </w:rPr>
        <w:t xml:space="preserve">&lt;identifier_list&gt;      ::= &lt;identifier&gt; ("," &lt;identifier&gt;)*</w:t>
      </w:r>
      <w:r>
        <w:br/>
      </w:r>
      <w:r>
        <w:rPr>
          <w:rStyle w:val="VerbatimChar"/>
        </w:rPr>
        <w:t xml:space="preserve">&lt;boolean_literal&gt;      ::= "TRUE" | "FALSE"</w:t>
      </w:r>
      <w:r>
        <w:br/>
      </w:r>
      <w:r>
        <w:br/>
      </w:r>
      <w:r>
        <w:rPr>
          <w:rStyle w:val="VerbatimChar"/>
        </w:rPr>
        <w:t xml:space="preserve">(* Fee Computation *)</w:t>
      </w:r>
      <w:r>
        <w:br/>
      </w:r>
      <w:r>
        <w:rPr>
          <w:rStyle w:val="VerbatimChar"/>
        </w:rPr>
        <w:t xml:space="preserve">&lt;fee_computation&gt;      ::= "COMPUTE" "FEE" &lt;identifier&gt; ["OPTIONAL"]</w:t>
      </w:r>
      <w:r>
        <w:br/>
      </w:r>
      <w:r>
        <w:rPr>
          <w:rStyle w:val="VerbatimChar"/>
        </w:rPr>
        <w:t xml:space="preserve">                           &lt;let_statement&gt;* &lt;case_or_yield&gt;*</w:t>
      </w:r>
      <w:r>
        <w:br/>
      </w:r>
      <w:r>
        <w:rPr>
          <w:rStyle w:val="VerbatimChar"/>
        </w:rPr>
        <w:t xml:space="preserve">                           "ENDCOMPUTE"</w:t>
      </w:r>
      <w:r>
        <w:br/>
      </w:r>
      <w:r>
        <w:br/>
      </w:r>
      <w:r>
        <w:rPr>
          <w:rStyle w:val="VerbatimChar"/>
        </w:rPr>
        <w:t xml:space="preserve">&lt;let_statement&gt;        ::= "LET" &lt;identifier&gt; "AS" &lt;expression&gt;</w:t>
      </w:r>
      <w:r>
        <w:br/>
      </w:r>
      <w:r>
        <w:br/>
      </w:r>
      <w:r>
        <w:rPr>
          <w:rStyle w:val="VerbatimChar"/>
        </w:rPr>
        <w:t xml:space="preserve">&lt;case_or_yield&gt;        ::= &lt;case_block&gt; | &lt;yield_statement&gt;</w:t>
      </w:r>
      <w:r>
        <w:br/>
      </w:r>
      <w:r>
        <w:rPr>
          <w:rStyle w:val="VerbatimChar"/>
        </w:rPr>
        <w:t xml:space="preserve">&lt;case_block&gt;           ::= "CASE" &lt;condition&gt; "AS" &lt;yield_statement&gt;+ "ENDCASE"</w:t>
      </w:r>
      <w:r>
        <w:br/>
      </w:r>
      <w:r>
        <w:rPr>
          <w:rStyle w:val="VerbatimChar"/>
        </w:rPr>
        <w:t xml:space="preserve">&lt;yield_statement&gt;      ::= "YIELD" &lt;expression&gt; ["IF" &lt;condition&gt;]</w:t>
      </w:r>
      <w:r>
        <w:br/>
      </w:r>
      <w:r>
        <w:br/>
      </w:r>
      <w:r>
        <w:rPr>
          <w:rStyle w:val="VerbatimChar"/>
        </w:rPr>
        <w:t xml:space="preserve">(* Verification Directives *)</w:t>
      </w:r>
      <w:r>
        <w:br/>
      </w:r>
      <w:r>
        <w:rPr>
          <w:rStyle w:val="VerbatimChar"/>
        </w:rPr>
        <w:t xml:space="preserve">&lt;verification&gt;         ::= &lt;verify_complete&gt; | &lt;verify_monotonic&gt;</w:t>
      </w:r>
      <w:r>
        <w:br/>
      </w:r>
      <w:r>
        <w:rPr>
          <w:rStyle w:val="VerbatimChar"/>
        </w:rPr>
        <w:t xml:space="preserve">&lt;verify_complete&gt;      ::= "VERIFY" "COMPLETE" "FEE" &lt;identifier&gt;</w:t>
      </w:r>
      <w:r>
        <w:br/>
      </w:r>
      <w:r>
        <w:rPr>
          <w:rStyle w:val="VerbatimChar"/>
        </w:rPr>
        <w:t xml:space="preserve">&lt;verify_monotonic&gt;     ::= "VERIFY" "MONOTONIC" "FEE" &lt;identifier&gt;</w:t>
      </w:r>
      <w:r>
        <w:br/>
      </w:r>
      <w:r>
        <w:rPr>
          <w:rStyle w:val="VerbatimChar"/>
        </w:rPr>
        <w:t xml:space="preserve">                           "WITH" "RESPECT" "TO" &lt;identifier&gt;</w:t>
      </w:r>
      <w:r>
        <w:br/>
      </w:r>
      <w:r>
        <w:rPr>
          <w:rStyle w:val="VerbatimChar"/>
        </w:rPr>
        <w:t xml:space="preserve">                           ["DIRECTION" &lt;direction&gt;]</w:t>
      </w:r>
      <w:r>
        <w:br/>
      </w:r>
      <w:r>
        <w:rPr>
          <w:rStyle w:val="VerbatimChar"/>
        </w:rPr>
        <w:t xml:space="preserve">&lt;direction&gt;            ::= "NonDecreasing" | "NonIncreasing"</w:t>
      </w:r>
      <w:r>
        <w:br/>
      </w:r>
      <w:r>
        <w:rPr>
          <w:rStyle w:val="VerbatimChar"/>
        </w:rPr>
        <w:t xml:space="preserve">                         | "StrictlyIncreasing" | "StrictlyDecreasing"</w:t>
      </w:r>
      <w:r>
        <w:br/>
      </w:r>
      <w:r>
        <w:br/>
      </w:r>
      <w:r>
        <w:rPr>
          <w:rStyle w:val="VerbatimChar"/>
        </w:rPr>
        <w:t xml:space="preserve">(* Return Statement *)</w:t>
      </w:r>
      <w:r>
        <w:br/>
      </w:r>
      <w:r>
        <w:rPr>
          <w:rStyle w:val="VerbatimChar"/>
        </w:rPr>
        <w:t xml:space="preserve">&lt;return&gt;               ::= "RETURN" &lt;identifier&gt; "AS" &lt;string&gt;</w:t>
      </w:r>
      <w:r>
        <w:br/>
      </w:r>
      <w:r>
        <w:br/>
      </w:r>
      <w:r>
        <w:rPr>
          <w:rStyle w:val="VerbatimChar"/>
        </w:rPr>
        <w:t xml:space="preserve">(* Expressions *)</w:t>
      </w:r>
      <w:r>
        <w:br/>
      </w:r>
      <w:r>
        <w:rPr>
          <w:rStyle w:val="VerbatimChar"/>
        </w:rPr>
        <w:t xml:space="preserve">&lt;expression&gt;           ::= &lt;term&gt; (("+" | "-") &lt;term&gt;)*</w:t>
      </w:r>
      <w:r>
        <w:br/>
      </w:r>
      <w:r>
        <w:rPr>
          <w:rStyle w:val="VerbatimChar"/>
        </w:rPr>
        <w:t xml:space="preserve">&lt;term&gt;                 ::= &lt;factor&gt; (("*" | "/") &lt;factor&gt;)*</w:t>
      </w:r>
      <w:r>
        <w:br/>
      </w:r>
      <w:r>
        <w:rPr>
          <w:rStyle w:val="VerbatimChar"/>
        </w:rPr>
        <w:t xml:space="preserve">&lt;factor&gt;               ::= &lt;number&gt; | &lt;currency_literal&gt; | &lt;identifier&gt;</w:t>
      </w:r>
      <w:r>
        <w:br/>
      </w:r>
      <w:r>
        <w:rPr>
          <w:rStyle w:val="VerbatimChar"/>
        </w:rPr>
        <w:t xml:space="preserve">                         | &lt;property_access&gt; | &lt;function_call&gt; | "(" &lt;expression&gt; ")"</w:t>
      </w:r>
      <w:r>
        <w:br/>
      </w:r>
      <w:r>
        <w:br/>
      </w:r>
      <w:r>
        <w:rPr>
          <w:rStyle w:val="VerbatimChar"/>
        </w:rPr>
        <w:t xml:space="preserve">&lt;currency_literal&gt;     ::= &lt;number&gt; "&lt;" &lt;currency_code&gt; "&gt;"</w:t>
      </w:r>
      <w:r>
        <w:br/>
      </w:r>
      <w:r>
        <w:rPr>
          <w:rStyle w:val="VerbatimChar"/>
        </w:rPr>
        <w:t xml:space="preserve">&lt;property_access&gt;      ::= &lt;identifier&gt; "!" &lt;property_name&gt;</w:t>
      </w:r>
      <w:r>
        <w:br/>
      </w:r>
      <w:r>
        <w:rPr>
          <w:rStyle w:val="VerbatimChar"/>
        </w:rPr>
        <w:t xml:space="preserve">&lt;property_name&gt;        ::= "COUNT" | "YEARSTONOW" | "MONTHSTONOW" | "DAYSTONOW"</w:t>
      </w:r>
      <w:r>
        <w:br/>
      </w:r>
      <w:r>
        <w:rPr>
          <w:rStyle w:val="VerbatimChar"/>
        </w:rPr>
        <w:t xml:space="preserve">                         | "MONTHSTONOW_FROMLASTDAY"</w:t>
      </w:r>
      <w:r>
        <w:br/>
      </w:r>
      <w:r>
        <w:br/>
      </w:r>
      <w:r>
        <w:rPr>
          <w:rStyle w:val="VerbatimChar"/>
        </w:rPr>
        <w:t xml:space="preserve">&lt;function_call&gt;        ::= ("ROUND" | "FLOOR" | "CEIL") "(" &lt;expression&gt; ")"</w:t>
      </w:r>
      <w:r>
        <w:br/>
      </w:r>
      <w:r>
        <w:rPr>
          <w:rStyle w:val="VerbatimChar"/>
        </w:rPr>
        <w:t xml:space="preserve">                         | "CONVERT" "(" &lt;expression&gt; "," &lt;currency_code&gt; "," &lt;currency_code&gt; ")"</w:t>
      </w:r>
      <w:r>
        <w:br/>
      </w:r>
      <w:r>
        <w:br/>
      </w:r>
      <w:r>
        <w:rPr>
          <w:rStyle w:val="VerbatimChar"/>
        </w:rPr>
        <w:t xml:space="preserve">(* Conditions *)</w:t>
      </w:r>
      <w:r>
        <w:br/>
      </w:r>
      <w:r>
        <w:rPr>
          <w:rStyle w:val="VerbatimChar"/>
        </w:rPr>
        <w:t xml:space="preserve">&lt;condition&gt;            ::= &lt;or_condition&gt;</w:t>
      </w:r>
      <w:r>
        <w:br/>
      </w:r>
      <w:r>
        <w:rPr>
          <w:rStyle w:val="VerbatimChar"/>
        </w:rPr>
        <w:t xml:space="preserve">&lt;or_condition&gt;         ::= &lt;and_condition&gt; ("OR" &lt;and_condition&gt;)*</w:t>
      </w:r>
      <w:r>
        <w:br/>
      </w:r>
      <w:r>
        <w:rPr>
          <w:rStyle w:val="VerbatimChar"/>
        </w:rPr>
        <w:t xml:space="preserve">&lt;and_condition&gt;        ::= &lt;primary_condition&gt; ("AND" &lt;primary_condition&gt;)*</w:t>
      </w:r>
      <w:r>
        <w:br/>
      </w:r>
      <w:r>
        <w:rPr>
          <w:rStyle w:val="VerbatimChar"/>
        </w:rPr>
        <w:t xml:space="preserve">&lt;primary_condition&gt;    ::= &lt;expression&gt; &lt;comparison_op&gt; &lt;expression&gt;</w:t>
      </w:r>
      <w:r>
        <w:br/>
      </w:r>
      <w:r>
        <w:rPr>
          <w:rStyle w:val="VerbatimChar"/>
        </w:rPr>
        <w:t xml:space="preserve">                         | &lt;identifier&gt; ("IN" | "NIN") &lt;identifier&gt;</w:t>
      </w:r>
      <w:r>
        <w:br/>
      </w:r>
      <w:r>
        <w:rPr>
          <w:rStyle w:val="VerbatimChar"/>
        </w:rPr>
        <w:t xml:space="preserve">                         | &lt;identifier&gt;   (* Boolean variable reference *)</w:t>
      </w:r>
      <w:r>
        <w:br/>
      </w:r>
      <w:r>
        <w:rPr>
          <w:rStyle w:val="VerbatimChar"/>
        </w:rPr>
        <w:t xml:space="preserve">                         | "(" &lt;condition&gt; ")"</w:t>
      </w:r>
      <w:r>
        <w:br/>
      </w:r>
      <w:r>
        <w:br/>
      </w:r>
      <w:r>
        <w:rPr>
          <w:rStyle w:val="VerbatimChar"/>
        </w:rPr>
        <w:t xml:space="preserve">&lt;comparison_op&gt;        ::= "EQ" | "NEQ" | "GT" | "LT" | "GTE" | "LTE"</w:t>
      </w:r>
      <w:r>
        <w:br/>
      </w:r>
      <w:r>
        <w:br/>
      </w:r>
      <w:r>
        <w:rPr>
          <w:rStyle w:val="VerbatimChar"/>
        </w:rPr>
        <w:t xml:space="preserve">(* Lexical Elements *)</w:t>
      </w:r>
      <w:r>
        <w:br/>
      </w:r>
      <w:r>
        <w:rPr>
          <w:rStyle w:val="VerbatimChar"/>
        </w:rPr>
        <w:t xml:space="preserve">&lt;identifier&gt;           ::= &lt;letter&gt; (&lt;letter&gt; | &lt;digit&gt; | "_")*</w:t>
      </w:r>
      <w:r>
        <w:br/>
      </w:r>
      <w:r>
        <w:rPr>
          <w:rStyle w:val="VerbatimChar"/>
        </w:rPr>
        <w:t xml:space="preserve">&lt;number&gt;               ::= &lt;digit&gt;+ ("." &lt;digit&gt;+)?</w:t>
      </w:r>
      <w:r>
        <w:br/>
      </w:r>
      <w:r>
        <w:rPr>
          <w:rStyle w:val="VerbatimChar"/>
        </w:rPr>
        <w:t xml:space="preserve">&lt;string&gt;               ::= "'" {&lt;any_char&gt; - "'"} "'"</w:t>
      </w:r>
      <w:r>
        <w:br/>
      </w:r>
      <w:r>
        <w:rPr>
          <w:rStyle w:val="VerbatimChar"/>
        </w:rPr>
        <w:t xml:space="preserve">&lt;currency_code&gt;        ::= &lt;upper_letter&gt; &lt;upper_letter&gt; &lt;upper_letter&gt;</w:t>
      </w:r>
      <w:r>
        <w:br/>
      </w:r>
      <w:r>
        <w:rPr>
          <w:rStyle w:val="VerbatimChar"/>
        </w:rPr>
        <w:t xml:space="preserve">&lt;date&gt;                 ::= &lt;day&gt; "." &lt;month&gt; "." &lt;year&gt; | "TODAY"</w:t>
      </w:r>
      <w:r>
        <w:br/>
      </w:r>
      <w:r>
        <w:rPr>
          <w:rStyle w:val="VerbatimChar"/>
        </w:rPr>
        <w:t xml:space="preserve">&lt;day&gt;                  ::= &lt;digit&gt; &lt;digit&gt;?</w:t>
      </w:r>
      <w:r>
        <w:br/>
      </w:r>
      <w:r>
        <w:rPr>
          <w:rStyle w:val="VerbatimChar"/>
        </w:rPr>
        <w:t xml:space="preserve">&lt;month&gt;                ::= &lt;digit&gt; &lt;digit&gt;?</w:t>
      </w:r>
      <w:r>
        <w:br/>
      </w:r>
      <w:r>
        <w:rPr>
          <w:rStyle w:val="VerbatimChar"/>
        </w:rPr>
        <w:t xml:space="preserve">&lt;year&gt;                 ::= &lt;digit&gt; &lt;digit&gt; &lt;digit&gt; &lt;digit&gt;</w:t>
      </w:r>
      <w:r>
        <w:br/>
      </w:r>
      <w:r>
        <w:rPr>
          <w:rStyle w:val="VerbatimChar"/>
        </w:rPr>
        <w:t xml:space="preserve">&lt;letter&gt;               ::= "A" | ... | "Z" | "a" | ... | "z"</w:t>
      </w:r>
      <w:r>
        <w:br/>
      </w:r>
      <w:r>
        <w:rPr>
          <w:rStyle w:val="VerbatimChar"/>
        </w:rPr>
        <w:t xml:space="preserve">&lt;upper_letter&gt;         ::= "A" | ... | "Z"</w:t>
      </w:r>
      <w:r>
        <w:br/>
      </w:r>
      <w:r>
        <w:rPr>
          <w:rStyle w:val="VerbatimChar"/>
        </w:rPr>
        <w:t xml:space="preserve">&lt;digit&gt;                ::= "0" | ... | "9"</w:t>
      </w:r>
    </w:p>
    <w:p>
      <w:pPr>
        <w:pStyle w:val="FirstParagraph"/>
      </w:pPr>
      <w:r>
        <w:t xml:space="preserve">A bare</w:t>
      </w:r>
      <w:r>
        <w:t xml:space="preserve"> </w:t>
      </w:r>
      <w:r>
        <w:rPr>
          <w:rStyle w:val="VerbatimChar"/>
        </w:rPr>
        <w:t xml:space="preserve">&lt;identifier&gt;</w:t>
      </w:r>
      <w:r>
        <w:t xml:space="preserve"> </w:t>
      </w:r>
      <w:r>
        <w:t xml:space="preserve">in a condition context must reference a BOOLEAN input variable; it evaluates to that variable’s Boolean value.</w:t>
      </w:r>
    </w:p>
    <w:p>
      <w:r>
        <w:pict>
          <v:rect style="width:0;height:1.5pt" o:hralign="center" o:hrstd="t" o:hr="t"/>
        </w:pict>
      </w:r>
    </w:p>
    <w:bookmarkEnd w:id="35"/>
    <w:bookmarkEnd w:id="36"/>
    <w:bookmarkStart w:id="50" w:name="type-system-and-static-verification"/>
    <w:p>
      <w:pPr>
        <w:pStyle w:val="Heading2"/>
      </w:pPr>
      <w:r>
        <w:t xml:space="preserve">4. Type System and Static Verification</w:t>
      </w:r>
    </w:p>
    <w:bookmarkStart w:id="40" w:name="currency-aware-type-system"/>
    <w:p>
      <w:pPr>
        <w:pStyle w:val="Heading3"/>
      </w:pPr>
      <w:r>
        <w:t xml:space="preserve">4.1 Currency-Aware Type System</w:t>
      </w:r>
    </w:p>
    <w:p>
      <w:pPr>
        <w:pStyle w:val="FirstParagraph"/>
      </w:pPr>
      <w:r>
        <w:t xml:space="preserve">IPFLang employs a dimensional type system preventing cross-currency arithmetic errors at compile time, analogous to units-of-measure checking in scientific computing [11]. The system supports all 161 ISO 4217 currency codes. The approach to currency as a type parameter draws on similar patterns in language standards for monetary computation, such as JSR-354 (Java Money and Currency API) [24], which defines standard interfaces for representing and manipulating monetary amounts in type-safe ways.</w:t>
      </w:r>
    </w:p>
    <w:p>
      <w:pPr>
        <w:pStyle w:val="BodyText"/>
      </w:pPr>
      <w:r>
        <w:rPr>
          <w:b/>
          <w:bCs/>
        </w:rPr>
        <w:t xml:space="preserve">[INSERT FIGURE 3: figures/figure6_type_hierarchy.mmd - IPFLang Type Hierarchy and Currency Typing Rules]</w:t>
      </w:r>
    </w:p>
    <w:bookmarkStart w:id="37" w:name="type-language"/>
    <w:p>
      <w:pPr>
        <w:pStyle w:val="Heading4"/>
      </w:pPr>
      <w:r>
        <w:t xml:space="preserve">4.1.1 Type Language</w:t>
      </w:r>
    </w:p>
    <w:p>
      <w:pPr>
        <w:pStyle w:val="FirstParagraph"/>
      </w:pPr>
      <w:r>
        <w:t xml:space="preserve">The type language extends basic types with currency-parameterized amounts:</w:t>
      </w:r>
    </w:p>
    <w:p>
      <w:pPr>
        <w:pStyle w:val="BodyText"/>
      </w:pPr>
      <w:r>
        <w:t xml:space="preserve"> </w:t>
      </w:r>
      <w:r>
        <w:t xml:space="preserve"> </w:t>
      </w:r>
      <w:r>
        <w:t xml:space="preserve">τ</w:t>
      </w:r>
      <w:r>
        <w:t xml:space="preserve"> </w:t>
      </w:r>
      <w:r>
        <w:t xml:space="preserve">::=</w:t>
      </w:r>
      <w:r>
        <w:t xml:space="preserve"> </w:t>
      </w:r>
      <w:r>
        <w:t xml:space="preserve">Num</w:t>
      </w:r>
      <w:r>
        <w:t xml:space="preserve"> </w:t>
      </w:r>
      <w:r>
        <w:t xml:space="preserve">|</w:t>
      </w:r>
      <w:r>
        <w:t xml:space="preserve"> </w:t>
      </w:r>
      <w:r>
        <w:t xml:space="preserve">Bool</w:t>
      </w:r>
      <w:r>
        <w:t xml:space="preserve"> </w:t>
      </w:r>
      <w:r>
        <w:t xml:space="preserve">|</w:t>
      </w:r>
      <w:r>
        <w:t xml:space="preserve"> </w:t>
      </w:r>
      <w:r>
        <w:t xml:space="preserve">Sym</w:t>
      </w:r>
      <w:r>
        <w:t xml:space="preserve"> </w:t>
      </w:r>
      <w:r>
        <w:t xml:space="preserve">|</w:t>
      </w:r>
      <w:r>
        <w:t xml:space="preserve"> </w:t>
      </w:r>
      <w:r>
        <w:t xml:space="preserve">Date</w:t>
      </w:r>
      <w:r>
        <w:t xml:space="preserve"> </w:t>
      </w:r>
      <w:r>
        <w:t xml:space="preserve">|</w:t>
      </w:r>
      <w:r>
        <w:t xml:space="preserve"> </w:t>
      </w:r>
      <w:r>
        <w:t xml:space="preserve">SymList</w:t>
      </w:r>
      <w:r>
        <w:t xml:space="preserve"> </w:t>
      </w:r>
      <w:r>
        <w:t xml:space="preserve">|</w:t>
      </w:r>
      <w:r>
        <w:t xml:space="preserve"> </w:t>
      </w:r>
      <w:r>
        <w:t xml:space="preserve">Amt</w:t>
      </w:r>
      <w:r>
        <w:t xml:space="preserve">[</w:t>
      </w:r>
      <w:r>
        <w:t xml:space="preserve">c</w:t>
      </w:r>
      <w:r>
        <w:t xml:space="preserve">]</w:t>
      </w:r>
      <w:r>
        <w:t xml:space="preserve"> </w:t>
      </w:r>
      <w:r>
        <w:t xml:space="preserve">|</w:t>
      </w:r>
      <w:r>
        <w:t xml:space="preserve"> </w:t>
      </w:r>
      <w:r>
        <w:t xml:space="preserve">α</w:t>
      </w:r>
      <w:r>
        <w:t xml:space="preserve"> </w:t>
      </w:r>
      <w:r>
        <w:t xml:space="preserve"> </w:t>
      </w:r>
    </w:p>
    <w:p>
      <w:pPr>
        <w:pStyle w:val="BodyText"/>
      </w:pPr>
      <w:r>
        <w:t xml:space="preserve">where:</w:t>
      </w:r>
      <w:r>
        <w:t xml:space="preserve"> </w:t>
      </w:r>
      <w:r>
        <w:t xml:space="preserve">-</w:t>
      </w:r>
      <w:r>
        <w:t xml:space="preserve"> </w:t>
      </w:r>
      <w:r>
        <w:rPr>
          <w:rStyle w:val="VerbatimChar"/>
        </w:rPr>
        <w:t xml:space="preserve">Num</w:t>
      </w:r>
      <w:r>
        <w:t xml:space="preserve"> </w:t>
      </w:r>
      <w:r>
        <w:t xml:space="preserve">represents dimensionless numbers</w:t>
      </w:r>
      <w:r>
        <w:t xml:space="preserve"> </w:t>
      </w:r>
      <w:r>
        <w:t xml:space="preserve">-</w:t>
      </w:r>
      <w:r>
        <w:t xml:space="preserve"> </w:t>
      </w:r>
      <w:r>
        <w:rPr>
          <w:rStyle w:val="VerbatimChar"/>
        </w:rPr>
        <w:t xml:space="preserve">Bool</w:t>
      </w:r>
      <w:r>
        <w:t xml:space="preserve"> </w:t>
      </w:r>
      <w:r>
        <w:t xml:space="preserve">represents Boolean values</w:t>
      </w:r>
      <w:r>
        <w:t xml:space="preserve"> </w:t>
      </w:r>
      <w:r>
        <w:t xml:space="preserve">-</w:t>
      </w:r>
      <w:r>
        <w:t xml:space="preserve"> </w:t>
      </w:r>
      <w:r>
        <w:rPr>
          <w:rStyle w:val="VerbatimChar"/>
        </w:rPr>
        <w:t xml:space="preserve">Sym</w:t>
      </w:r>
      <w:r>
        <w:t xml:space="preserve"> </w:t>
      </w:r>
      <w:r>
        <w:t xml:space="preserve">represents symbolic identifiers (LIST input choices)</w:t>
      </w:r>
      <w:r>
        <w:t xml:space="preserve"> </w:t>
      </w:r>
      <w:r>
        <w:t xml:space="preserve">-</w:t>
      </w:r>
      <w:r>
        <w:t xml:space="preserve"> </w:t>
      </w:r>
      <w:r>
        <w:rPr>
          <w:rStyle w:val="VerbatimChar"/>
        </w:rPr>
        <w:t xml:space="preserve">Date</w:t>
      </w:r>
      <w:r>
        <w:t xml:space="preserve"> </w:t>
      </w:r>
      <w:r>
        <w:t xml:space="preserve">represents date values</w:t>
      </w:r>
      <w:r>
        <w:t xml:space="preserve"> </w:t>
      </w:r>
      <w:r>
        <w:t xml:space="preserve">-</w:t>
      </w:r>
      <w:r>
        <w:t xml:space="preserve"> </w:t>
      </w:r>
      <w:r>
        <w:rPr>
          <w:rStyle w:val="VerbatimChar"/>
        </w:rPr>
        <w:t xml:space="preserve">SymList</w:t>
      </w:r>
      <w:r>
        <w:t xml:space="preserve"> </w:t>
      </w:r>
      <w:r>
        <w:t xml:space="preserve">represents symbol lists (MULTILIST input selections)</w:t>
      </w:r>
      <w:r>
        <w:t xml:space="preserve"> </w:t>
      </w:r>
      <w:r>
        <w:t xml:space="preserve">-</w:t>
      </w:r>
      <w:r>
        <w:t xml:space="preserve"> </w:t>
      </w:r>
      <w:r>
        <w:rPr>
          <w:rStyle w:val="VerbatimChar"/>
        </w:rPr>
        <w:t xml:space="preserve">Amt[c]</w:t>
      </w:r>
      <w:r>
        <w:t xml:space="preserve"> </w:t>
      </w:r>
      <w:r>
        <w:t xml:space="preserve">represents monetary amounts in currency c ∈ ISO-4217</w:t>
      </w:r>
      <w:r>
        <w:t xml:space="preserve"> </w:t>
      </w:r>
      <w:r>
        <w:t xml:space="preserve">-</w:t>
      </w:r>
      <w:r>
        <w:t xml:space="preserve"> </w:t>
      </w:r>
      <w:r>
        <w:rPr>
          <w:rStyle w:val="VerbatimChar"/>
        </w:rPr>
        <w:t xml:space="preserve">α</w:t>
      </w:r>
      <w:r>
        <w:t xml:space="preserve"> </w:t>
      </w:r>
      <w:r>
        <w:t xml:space="preserve">represents type variables for polymorphic fee definitions</w:t>
      </w:r>
    </w:p>
    <w:bookmarkEnd w:id="37"/>
    <w:bookmarkStart w:id="38" w:name="typing-rules"/>
    <w:p>
      <w:pPr>
        <w:pStyle w:val="Heading4"/>
      </w:pPr>
      <w:r>
        <w:t xml:space="preserve">4.1.2 Typing Rules</w:t>
      </w:r>
    </w:p>
    <w:p>
      <w:pPr>
        <w:pStyle w:val="FirstParagraph"/>
      </w:pPr>
      <w:r>
        <w:t xml:space="preserve">Let Γ denote a typing environment mapping identifiers to types, written Γ(x) = τ. We define the typing judgment Γ ⊢ e : τ, meaning</w:t>
      </w:r>
      <w:r>
        <w:t xml:space="preserve"> </w:t>
      </w:r>
      <w:r>
        <w:t xml:space="preserve">“under environment Γ, expression e has type τ.”</w:t>
      </w:r>
    </w:p>
    <w:p>
      <w:pPr>
        <w:pStyle w:val="BodyText"/>
      </w:pPr>
      <w:r>
        <w:rPr>
          <w:b/>
          <w:bCs/>
        </w:rPr>
        <w:t xml:space="preserve">Literals and Variables:</w:t>
      </w:r>
    </w:p>
    <w:p>
      <w:pPr>
        <w:pStyle w:val="BodyText"/>
      </w:pPr>
      <w:r>
        <w:t xml:space="preserve"> </w:t>
      </w:r>
      <w:r>
        <w:t xml:space="preserve"> </w:t>
      </w:r>
      <w:r>
        <w:t xml:space="preserve"> </w:t>
      </w:r>
      <w:r>
        <w:t xml:space="preserve"> </w:t>
      </w:r>
      <w:r>
        <w:t xml:space="preserve">[T-NUM]</w:t>
      </w:r>
      <w:r>
        <w:t xml:space="preserve"> </w:t>
      </w:r>
      <w:r>
        <w:t xml:space="preserve"> </w:t>
      </w:r>
      <w:r>
        <w:t xml:space="preserve"> </w:t>
      </w:r>
      <w:r>
        <w:t xml:space="preserve"> </w:t>
      </w:r>
      <w:r>
        <w:t xml:space="preserve">Γ</w:t>
      </w:r>
      <w:r>
        <w:t xml:space="preserve">⊢</w:t>
      </w:r>
      <w:r>
        <w:t xml:space="preserve">n</w:t>
      </w:r>
      <w:r>
        <w:t xml:space="preserve">:</w:t>
      </w:r>
      <w:r>
        <w:t xml:space="preserve">Num</w:t>
      </w:r>
      <w:r>
        <w:t xml:space="preserve"> </w:t>
      </w:r>
      <w:r>
        <w:t xml:space="preserve"> </w:t>
      </w:r>
      <w:r>
        <w:t xml:space="preserve"> </w:t>
      </w:r>
      <w:r>
        <w:t xml:space="preserve"> </w:t>
      </w:r>
      <w:r>
        <w:t xml:space="preserve"> </w:t>
      </w:r>
    </w:p>
    <w:p>
      <w:pPr>
        <w:pStyle w:val="BodyText"/>
      </w:pPr>
      <w:r>
        <w:t xml:space="preserve"> </w:t>
      </w:r>
      <w:r>
        <w:t xml:space="preserve"> </w:t>
      </w:r>
      <w:r>
        <w:t xml:space="preserve"> </w:t>
      </w:r>
      <w:r>
        <w:t xml:space="preserve"> </w:t>
      </w:r>
      <w:r>
        <w:t xml:space="preserve">[T-VAR]</w:t>
      </w:r>
      <w:r>
        <w:t xml:space="preserve"> </w:t>
      </w:r>
      <w:r>
        <w:t xml:space="preserve"> </w:t>
      </w:r>
      <w:r>
        <w:t xml:space="preserve"> </w:t>
      </w:r>
      <w:r>
        <w:t xml:space="preserve">Γ</w:t>
      </w:r>
      <w:r>
        <w:t xml:space="preserve">(</w:t>
      </w:r>
      <w:r>
        <w:t xml:space="preserve">x</w:t>
      </w:r>
      <w:r>
        <w:t xml:space="preserve">)</w:t>
      </w:r>
      <w:r>
        <w:t xml:space="preserve">=</w:t>
      </w:r>
      <w:r>
        <w:t xml:space="preserve">τ</w:t>
      </w:r>
      <w:r>
        <w:t xml:space="preserve"> </w:t>
      </w:r>
      <w:r>
        <w:t xml:space="preserve">Γ</w:t>
      </w:r>
      <w:r>
        <w:t xml:space="preserve">⊢</w:t>
      </w:r>
      <w:r>
        <w:t xml:space="preserve">x</w:t>
      </w:r>
      <w:r>
        <w:t xml:space="preserve">:</w:t>
      </w:r>
      <w:r>
        <w:t xml:space="preserve">τ</w:t>
      </w:r>
      <w:r>
        <w:t xml:space="preserve"> </w:t>
      </w:r>
      <w:r>
        <w:t xml:space="preserve"> </w:t>
      </w:r>
      <w:r>
        <w:t xml:space="preserve"> </w:t>
      </w:r>
      <w:r>
        <w:t xml:space="preserve"> </w:t>
      </w:r>
      <w:r>
        <w:t xml:space="preserve"> </w:t>
      </w:r>
    </w:p>
    <w:p>
      <w:pPr>
        <w:pStyle w:val="BodyText"/>
      </w:pPr>
      <w:r>
        <w:t xml:space="preserve"> </w:t>
      </w:r>
      <w:r>
        <w:t xml:space="preserve"> </w:t>
      </w:r>
      <w:r>
        <w:t xml:space="preserve"> </w:t>
      </w:r>
      <w:r>
        <w:t xml:space="preserve"> </w:t>
      </w:r>
      <w:r>
        <w:t xml:space="preserve">[T-CURR]</w:t>
      </w:r>
      <w:r>
        <w:t xml:space="preserve"> </w:t>
      </w:r>
      <w:r>
        <w:t xml:space="preserve"> </w:t>
      </w:r>
      <w:r>
        <w:t xml:space="preserve"> </w:t>
      </w:r>
      <w:r>
        <w:t xml:space="preserve">c</w:t>
      </w:r>
      <w:r>
        <w:t xml:space="preserve">∈</w:t>
      </w:r>
      <w:r>
        <w:t xml:space="preserve">ISO-4217</w:t>
      </w:r>
      <w:r>
        <w:t xml:space="preserve"> </w:t>
      </w:r>
      <w:r>
        <w:t xml:space="preserve">Γ</w:t>
      </w:r>
      <w:r>
        <w:t xml:space="preserve">⊢</w:t>
      </w:r>
      <w:r>
        <w:t xml:space="preserve">n</w:t>
      </w:r>
      <w:r>
        <w:t xml:space="preserve">⟨</w:t>
      </w:r>
      <w:r>
        <w:t xml:space="preserve">c</w:t>
      </w:r>
      <w:r>
        <w:t xml:space="preserve">⟩</w:t>
      </w:r>
      <w:r>
        <w:t xml:space="preserve">:</w:t>
      </w:r>
      <w:r>
        <w:t xml:space="preserve">Amt</w:t>
      </w:r>
      <w:r>
        <w:t xml:space="preserve">[</w:t>
      </w:r>
      <w:r>
        <w:t xml:space="preserve">c</w:t>
      </w:r>
      <w:r>
        <w:t xml:space="preserve">]</w:t>
      </w:r>
      <w:r>
        <w:t xml:space="preserve"> </w:t>
      </w:r>
      <w:r>
        <w:t xml:space="preserve"> </w:t>
      </w:r>
      <w:r>
        <w:t xml:space="preserve"> </w:t>
      </w:r>
      <w:r>
        <w:t xml:space="preserve"> </w:t>
      </w:r>
      <w:r>
        <w:t xml:space="preserve"> </w:t>
      </w:r>
    </w:p>
    <w:p>
      <w:pPr>
        <w:pStyle w:val="BodyText"/>
      </w:pPr>
      <w:r>
        <w:rPr>
          <w:b/>
          <w:bCs/>
        </w:rPr>
        <w:t xml:space="preserve">Arithmetic Operations:</w:t>
      </w:r>
    </w:p>
    <w:p>
      <w:pPr>
        <w:pStyle w:val="BodyText"/>
      </w:pPr>
      <w:r>
        <w:t xml:space="preserve"> </w:t>
      </w:r>
      <w:r>
        <w:t xml:space="preserve"> </w:t>
      </w:r>
      <w:r>
        <w:t xml:space="preserve"> </w:t>
      </w:r>
      <w:r>
        <w:t xml:space="preserve"> </w:t>
      </w:r>
      <w:r>
        <w:t xml:space="preserve">[T-ADD-NUM]</w:t>
      </w:r>
      <w:r>
        <w:t xml:space="preserve"> </w:t>
      </w:r>
      <w:r>
        <w:t xml:space="preserve"> </w:t>
      </w:r>
      <w:r>
        <w:t xml:space="preserve"> </w:t>
      </w:r>
      <w:r>
        <w:t xml:space="preserve">Γ</w:t>
      </w:r>
      <w:r>
        <w:t xml:space="preserve">⊢</w:t>
      </w:r>
      <w:r>
        <w:t xml:space="preserve">e</w:t>
      </w:r>
      <w:r>
        <w:t xml:space="preserve">1</w:t>
      </w:r>
      <w:r>
        <w:t xml:space="preserve">:</w:t>
      </w:r>
      <w:r>
        <w:t xml:space="preserve">Num</w:t>
      </w:r>
      <w:r>
        <w:t xml:space="preserve">Γ</w:t>
      </w:r>
      <w:r>
        <w:t xml:space="preserve">⊢</w:t>
      </w:r>
      <w:r>
        <w:t xml:space="preserve">e</w:t>
      </w:r>
      <w:r>
        <w:t xml:space="preserve">2</w:t>
      </w:r>
      <w:r>
        <w:t xml:space="preserve">:</w:t>
      </w:r>
      <w:r>
        <w:t xml:space="preserve">Num</w:t>
      </w:r>
      <w:r>
        <w:t xml:space="preserve"> </w:t>
      </w:r>
      <w:r>
        <w:t xml:space="preserve">Γ</w:t>
      </w:r>
      <w:r>
        <w:t xml:space="preserve">⊢</w:t>
      </w:r>
      <w:r>
        <w:t xml:space="preserve">e</w:t>
      </w:r>
      <w:r>
        <w:t xml:space="preserve">1</w:t>
      </w:r>
      <w:r>
        <w:t xml:space="preserve">+</w:t>
      </w:r>
      <w:r>
        <w:t xml:space="preserve">e</w:t>
      </w:r>
      <w:r>
        <w:t xml:space="preserve">2</w:t>
      </w:r>
      <w:r>
        <w:t xml:space="preserve">:</w:t>
      </w:r>
      <w:r>
        <w:t xml:space="preserve">Num</w:t>
      </w:r>
      <w:r>
        <w:t xml:space="preserve"> </w:t>
      </w:r>
      <w:r>
        <w:t xml:space="preserve"> </w:t>
      </w:r>
      <w:r>
        <w:t xml:space="preserve"> </w:t>
      </w:r>
      <w:r>
        <w:t xml:space="preserve"> </w:t>
      </w:r>
      <w:r>
        <w:t xml:space="preserve"> </w:t>
      </w:r>
    </w:p>
    <w:p>
      <w:pPr>
        <w:pStyle w:val="BodyText"/>
      </w:pPr>
      <w:r>
        <w:t xml:space="preserve"> </w:t>
      </w:r>
      <w:r>
        <w:t xml:space="preserve"> </w:t>
      </w:r>
      <w:r>
        <w:t xml:space="preserve"> </w:t>
      </w:r>
      <w:r>
        <w:t xml:space="preserve"> </w:t>
      </w:r>
      <w:r>
        <w:t xml:space="preserve">[T-ADD-AMT]</w:t>
      </w:r>
      <w:r>
        <w:t xml:space="preserve"> </w:t>
      </w:r>
      <w:r>
        <w:t xml:space="preserve"> </w:t>
      </w:r>
      <w:r>
        <w:t xml:space="preserve"> </w:t>
      </w:r>
      <w:r>
        <w:t xml:space="preserve">Γ</w:t>
      </w:r>
      <w:r>
        <w:t xml:space="preserve">⊢</w:t>
      </w:r>
      <w:r>
        <w:t xml:space="preserve">e</w:t>
      </w:r>
      <w:r>
        <w:t xml:space="preserve">1</w:t>
      </w:r>
      <w:r>
        <w:t xml:space="preserve">:</w:t>
      </w:r>
      <w:r>
        <w:t xml:space="preserve">Amt</w:t>
      </w:r>
      <w:r>
        <w:t xml:space="preserve">[</w:t>
      </w:r>
      <w:r>
        <w:t xml:space="preserve">c</w:t>
      </w:r>
      <w:r>
        <w:t xml:space="preserve">]</w:t>
      </w:r>
      <w:r>
        <w:t xml:space="preserve">Γ</w:t>
      </w:r>
      <w:r>
        <w:t xml:space="preserve">⊢</w:t>
      </w:r>
      <w:r>
        <w:t xml:space="preserve">e</w:t>
      </w:r>
      <w:r>
        <w:t xml:space="preserve">2</w:t>
      </w:r>
      <w:r>
        <w:t xml:space="preserve">:</w:t>
      </w:r>
      <w:r>
        <w:t xml:space="preserve">Amt</w:t>
      </w:r>
      <w:r>
        <w:t xml:space="preserve">[</w:t>
      </w:r>
      <w:r>
        <w:t xml:space="preserve">c</w:t>
      </w:r>
      <w:r>
        <w:t xml:space="preserve">]</w:t>
      </w:r>
      <w:r>
        <w:t xml:space="preserve"> </w:t>
      </w:r>
      <w:r>
        <w:t xml:space="preserve">Γ</w:t>
      </w:r>
      <w:r>
        <w:t xml:space="preserve">⊢</w:t>
      </w:r>
      <w:r>
        <w:t xml:space="preserve">e</w:t>
      </w:r>
      <w:r>
        <w:t xml:space="preserve">1</w:t>
      </w:r>
      <w:r>
        <w:t xml:space="preserve">+</w:t>
      </w:r>
      <w:r>
        <w:t xml:space="preserve">e</w:t>
      </w:r>
      <w:r>
        <w:t xml:space="preserve">2</w:t>
      </w:r>
      <w:r>
        <w:t xml:space="preserve">:</w:t>
      </w:r>
      <w:r>
        <w:t xml:space="preserve">Amt</w:t>
      </w:r>
      <w:r>
        <w:t xml:space="preserve">[</w:t>
      </w:r>
      <w:r>
        <w:t xml:space="preserve">c</w:t>
      </w:r>
      <w:r>
        <w:t xml:space="preserve">]</w:t>
      </w:r>
      <w:r>
        <w:t xml:space="preserve"> </w:t>
      </w:r>
      <w:r>
        <w:t xml:space="preserve"> </w:t>
      </w:r>
      <w:r>
        <w:t xml:space="preserve"> </w:t>
      </w:r>
      <w:r>
        <w:t xml:space="preserve"> </w:t>
      </w:r>
      <w:r>
        <w:t xml:space="preserve"> </w:t>
      </w:r>
    </w:p>
    <w:p>
      <w:pPr>
        <w:pStyle w:val="BodyText"/>
      </w:pPr>
      <w:r>
        <w:t xml:space="preserve"> </w:t>
      </w:r>
      <w:r>
        <w:t xml:space="preserve"> </w:t>
      </w:r>
      <w:r>
        <w:t xml:space="preserve"> </w:t>
      </w:r>
      <w:r>
        <w:t xml:space="preserve"> </w:t>
      </w:r>
      <w:r>
        <w:t xml:space="preserve">[T-MUL-SCALAR-R]</w:t>
      </w:r>
      <w:r>
        <w:t xml:space="preserve"> </w:t>
      </w:r>
      <w:r>
        <w:t xml:space="preserve"> </w:t>
      </w:r>
      <w:r>
        <w:t xml:space="preserve"> </w:t>
      </w:r>
      <w:r>
        <w:t xml:space="preserve">Γ</w:t>
      </w:r>
      <w:r>
        <w:t xml:space="preserve">⊢</w:t>
      </w:r>
      <w:r>
        <w:t xml:space="preserve">e</w:t>
      </w:r>
      <w:r>
        <w:t xml:space="preserve">1</w:t>
      </w:r>
      <w:r>
        <w:t xml:space="preserve">:</w:t>
      </w:r>
      <w:r>
        <w:t xml:space="preserve">Amt</w:t>
      </w:r>
      <w:r>
        <w:t xml:space="preserve">[</w:t>
      </w:r>
      <w:r>
        <w:t xml:space="preserve">c</w:t>
      </w:r>
      <w:r>
        <w:t xml:space="preserve">]</w:t>
      </w:r>
      <w:r>
        <w:t xml:space="preserve">Γ</w:t>
      </w:r>
      <w:r>
        <w:t xml:space="preserve">⊢</w:t>
      </w:r>
      <w:r>
        <w:t xml:space="preserve">e</w:t>
      </w:r>
      <w:r>
        <w:t xml:space="preserve">2</w:t>
      </w:r>
      <w:r>
        <w:t xml:space="preserve">:</w:t>
      </w:r>
      <w:r>
        <w:t xml:space="preserve">Num</w:t>
      </w:r>
      <w:r>
        <w:t xml:space="preserve"> </w:t>
      </w:r>
      <w:r>
        <w:t xml:space="preserve">Γ</w:t>
      </w:r>
      <w:r>
        <w:t xml:space="preserve">⊢</w:t>
      </w:r>
      <w:r>
        <w:t xml:space="preserve">e</w:t>
      </w:r>
      <w:r>
        <w:t xml:space="preserve">1</w:t>
      </w:r>
      <w:r>
        <w:t xml:space="preserve">×</w:t>
      </w:r>
      <w:r>
        <w:t xml:space="preserve">e</w:t>
      </w:r>
      <w:r>
        <w:t xml:space="preserve">2</w:t>
      </w:r>
      <w:r>
        <w:t xml:space="preserve">:</w:t>
      </w:r>
      <w:r>
        <w:t xml:space="preserve">Amt</w:t>
      </w:r>
      <w:r>
        <w:t xml:space="preserve">[</w:t>
      </w:r>
      <w:r>
        <w:t xml:space="preserve">c</w:t>
      </w:r>
      <w:r>
        <w:t xml:space="preserve">]</w:t>
      </w:r>
      <w:r>
        <w:t xml:space="preserve"> </w:t>
      </w:r>
      <w:r>
        <w:t xml:space="preserve"> </w:t>
      </w:r>
      <w:r>
        <w:t xml:space="preserve"> </w:t>
      </w:r>
      <w:r>
        <w:t xml:space="preserve"> </w:t>
      </w:r>
      <w:r>
        <w:t xml:space="preserve"> </w:t>
      </w:r>
    </w:p>
    <w:p>
      <w:pPr>
        <w:pStyle w:val="BodyText"/>
      </w:pPr>
      <w:r>
        <w:t xml:space="preserve"> </w:t>
      </w:r>
      <w:r>
        <w:t xml:space="preserve"> </w:t>
      </w:r>
      <w:r>
        <w:t xml:space="preserve"> </w:t>
      </w:r>
      <w:r>
        <w:t xml:space="preserve"> </w:t>
      </w:r>
      <w:r>
        <w:t xml:space="preserve">[T-MUL-SCALAR-L]</w:t>
      </w:r>
      <w:r>
        <w:t xml:space="preserve"> </w:t>
      </w:r>
      <w:r>
        <w:t xml:space="preserve"> </w:t>
      </w:r>
      <w:r>
        <w:t xml:space="preserve"> </w:t>
      </w:r>
      <w:r>
        <w:t xml:space="preserve">Γ</w:t>
      </w:r>
      <w:r>
        <w:t xml:space="preserve">⊢</w:t>
      </w:r>
      <w:r>
        <w:t xml:space="preserve">e</w:t>
      </w:r>
      <w:r>
        <w:t xml:space="preserve">1</w:t>
      </w:r>
      <w:r>
        <w:t xml:space="preserve">:</w:t>
      </w:r>
      <w:r>
        <w:t xml:space="preserve">Num</w:t>
      </w:r>
      <w:r>
        <w:t xml:space="preserve">Γ</w:t>
      </w:r>
      <w:r>
        <w:t xml:space="preserve">⊢</w:t>
      </w:r>
      <w:r>
        <w:t xml:space="preserve">e</w:t>
      </w:r>
      <w:r>
        <w:t xml:space="preserve">2</w:t>
      </w:r>
      <w:r>
        <w:t xml:space="preserve">:</w:t>
      </w:r>
      <w:r>
        <w:t xml:space="preserve">Amt</w:t>
      </w:r>
      <w:r>
        <w:t xml:space="preserve">[</w:t>
      </w:r>
      <w:r>
        <w:t xml:space="preserve">c</w:t>
      </w:r>
      <w:r>
        <w:t xml:space="preserve">]</w:t>
      </w:r>
      <w:r>
        <w:t xml:space="preserve"> </w:t>
      </w:r>
      <w:r>
        <w:t xml:space="preserve">Γ</w:t>
      </w:r>
      <w:r>
        <w:t xml:space="preserve">⊢</w:t>
      </w:r>
      <w:r>
        <w:t xml:space="preserve">e</w:t>
      </w:r>
      <w:r>
        <w:t xml:space="preserve">1</w:t>
      </w:r>
      <w:r>
        <w:t xml:space="preserve">×</w:t>
      </w:r>
      <w:r>
        <w:t xml:space="preserve">e</w:t>
      </w:r>
      <w:r>
        <w:t xml:space="preserve">2</w:t>
      </w:r>
      <w:r>
        <w:t xml:space="preserve">:</w:t>
      </w:r>
      <w:r>
        <w:t xml:space="preserve">Amt</w:t>
      </w:r>
      <w:r>
        <w:t xml:space="preserve">[</w:t>
      </w:r>
      <w:r>
        <w:t xml:space="preserve">c</w:t>
      </w:r>
      <w:r>
        <w:t xml:space="preserve">]</w:t>
      </w:r>
      <w:r>
        <w:t xml:space="preserve"> </w:t>
      </w:r>
      <w:r>
        <w:t xml:space="preserve"> </w:t>
      </w:r>
      <w:r>
        <w:t xml:space="preserve"> </w:t>
      </w:r>
      <w:r>
        <w:t xml:space="preserve"> </w:t>
      </w:r>
      <w:r>
        <w:t xml:space="preserve"> </w:t>
      </w:r>
    </w:p>
    <w:p>
      <w:pPr>
        <w:pStyle w:val="BodyText"/>
      </w:pPr>
      <w:r>
        <w:t xml:space="preserve">The rule T-ADD-AMT is critical: it requires both operands to have identical currency tags. No rule permits</w:t>
      </w:r>
      <w:r>
        <w:t xml:space="preserve"> </w:t>
      </w:r>
      <w:r>
        <w:rPr>
          <w:rStyle w:val="VerbatimChar"/>
        </w:rPr>
        <w:t xml:space="preserve">Amt[c₁] + Amt[c₂]</w:t>
      </w:r>
      <w:r>
        <w:t xml:space="preserve"> </w:t>
      </w:r>
      <w:r>
        <w:t xml:space="preserve">when c₁ ≠ c₂. The rules T-MUL-SCALAR-R and T-MUL-SCALAR-L ensure scalar multiplication is commutative: both</w:t>
      </w:r>
      <w:r>
        <w:t xml:space="preserve"> </w:t>
      </w:r>
      <w:r>
        <w:rPr>
          <w:rStyle w:val="VerbatimChar"/>
        </w:rPr>
        <w:t xml:space="preserve">amount * scalar</w:t>
      </w:r>
      <w:r>
        <w:t xml:space="preserve"> </w:t>
      </w:r>
      <w:r>
        <w:t xml:space="preserve">and</w:t>
      </w:r>
      <w:r>
        <w:t xml:space="preserve"> </w:t>
      </w:r>
      <w:r>
        <w:rPr>
          <w:rStyle w:val="VerbatimChar"/>
        </w:rPr>
        <w:t xml:space="preserve">scalar * amount</w:t>
      </w:r>
      <w:r>
        <w:t xml:space="preserve"> </w:t>
      </w:r>
      <w:r>
        <w:t xml:space="preserve">are well-typed.</w:t>
      </w:r>
    </w:p>
    <w:p>
      <w:pPr>
        <w:pStyle w:val="BodyText"/>
      </w:pPr>
      <w:r>
        <w:rPr>
          <w:b/>
          <w:bCs/>
        </w:rPr>
        <w:t xml:space="preserve">Currency Conversion:</w:t>
      </w:r>
    </w:p>
    <w:p>
      <w:pPr>
        <w:pStyle w:val="BodyText"/>
      </w:pPr>
      <w:r>
        <w:t xml:space="preserve"> </w:t>
      </w:r>
      <w:r>
        <w:t xml:space="preserve"> </w:t>
      </w:r>
      <w:r>
        <w:t xml:space="preserve"> </w:t>
      </w:r>
      <w:r>
        <w:t xml:space="preserve"> </w:t>
      </w:r>
      <w:r>
        <w:t xml:space="preserve">[T-CONVERT]</w:t>
      </w:r>
      <w:r>
        <w:t xml:space="preserve"> </w:t>
      </w:r>
      <w:r>
        <w:t xml:space="preserve"> </w:t>
      </w:r>
      <w:r>
        <w:t xml:space="preserve"> </w:t>
      </w:r>
      <w:r>
        <w:t xml:space="preserve">Γ</w:t>
      </w:r>
      <w:r>
        <w:t xml:space="preserve">⊢</w:t>
      </w:r>
      <w:r>
        <w:t xml:space="preserve">e</w:t>
      </w:r>
      <w:r>
        <w:t xml:space="preserve">:</w:t>
      </w:r>
      <w:r>
        <w:t xml:space="preserve">Amt</w:t>
      </w:r>
      <w:r>
        <w:t xml:space="preserve">[</w:t>
      </w:r>
      <w:r>
        <w:t xml:space="preserve">c</w:t>
      </w:r>
      <w:r>
        <w:t xml:space="preserve">1</w:t>
      </w:r>
      <w:r>
        <w:t xml:space="preserve">]</w:t>
      </w:r>
      <w:r>
        <w:t xml:space="preserve">c</w:t>
      </w:r>
      <w:r>
        <w:t xml:space="preserve">2</w:t>
      </w:r>
      <w:r>
        <w:t xml:space="preserve">∈</w:t>
      </w:r>
      <w:r>
        <w:t xml:space="preserve">ISO-4217</w:t>
      </w:r>
      <w:r>
        <w:t xml:space="preserve"> </w:t>
      </w:r>
      <w:r>
        <w:t xml:space="preserve">Γ</w:t>
      </w:r>
      <w:r>
        <w:t xml:space="preserve">⊢</w:t>
      </w:r>
      <w:r>
        <w:t xml:space="preserve">CONVERT</w:t>
      </w:r>
      <w:r>
        <w:t xml:space="preserve">(</w:t>
      </w:r>
      <w:r>
        <w:t xml:space="preserve">e</w:t>
      </w:r>
      <w:r>
        <w:t xml:space="preserve">,</w:t>
      </w:r>
      <w:r>
        <w:t xml:space="preserve">c</w:t>
      </w:r>
      <w:r>
        <w:t xml:space="preserve">1</w:t>
      </w:r>
      <w:r>
        <w:t xml:space="preserve">,</w:t>
      </w:r>
      <w:r>
        <w:t xml:space="preserve">c</w:t>
      </w:r>
      <w:r>
        <w:t xml:space="preserve">2</w:t>
      </w:r>
      <w:r>
        <w:t xml:space="preserve">)</w:t>
      </w:r>
      <w:r>
        <w:t xml:space="preserve">:</w:t>
      </w:r>
      <w:r>
        <w:t xml:space="preserve">Amt</w:t>
      </w:r>
      <w:r>
        <w:t xml:space="preserve">[</w:t>
      </w:r>
      <w:r>
        <w:t xml:space="preserve">c</w:t>
      </w:r>
      <w:r>
        <w:t xml:space="preserve">2</w:t>
      </w:r>
      <w:r>
        <w:t xml:space="preserve">]</w:t>
      </w:r>
      <w:r>
        <w:t xml:space="preserve"> </w:t>
      </w:r>
      <w:r>
        <w:t xml:space="preserve"> </w:t>
      </w:r>
      <w:r>
        <w:t xml:space="preserve"> </w:t>
      </w:r>
      <w:r>
        <w:t xml:space="preserve"> </w:t>
      </w:r>
      <w:r>
        <w:t xml:space="preserve"> </w:t>
      </w:r>
    </w:p>
    <w:p>
      <w:pPr>
        <w:pStyle w:val="BodyText"/>
      </w:pPr>
      <w:r>
        <w:rPr>
          <w:b/>
          <w:bCs/>
        </w:rPr>
        <w:t xml:space="preserve">Comparisons and Conditions:</w:t>
      </w:r>
    </w:p>
    <w:p>
      <w:pPr>
        <w:pStyle w:val="BodyText"/>
      </w:pPr>
      <w:r>
        <w:t xml:space="preserve"> </w:t>
      </w:r>
      <w:r>
        <w:t xml:space="preserve"> </w:t>
      </w:r>
      <w:r>
        <w:t xml:space="preserve"> </w:t>
      </w:r>
      <w:r>
        <w:t xml:space="preserve"> </w:t>
      </w:r>
      <w:r>
        <w:t xml:space="preserve">[T-COMP]</w:t>
      </w:r>
      <w:r>
        <w:t xml:space="preserve"> </w:t>
      </w:r>
      <w:r>
        <w:t xml:space="preserve"> </w:t>
      </w:r>
      <w:r>
        <w:t xml:space="preserve"> </w:t>
      </w:r>
      <w:r>
        <w:t xml:space="preserve">Γ</w:t>
      </w:r>
      <w:r>
        <w:t xml:space="preserve">⊢</w:t>
      </w:r>
      <w:r>
        <w:t xml:space="preserve">e</w:t>
      </w:r>
      <w:r>
        <w:t xml:space="preserve">1</w:t>
      </w:r>
      <w:r>
        <w:t xml:space="preserve">:</w:t>
      </w:r>
      <w:r>
        <w:t xml:space="preserve">τ</w:t>
      </w:r>
      <w:r>
        <w:t xml:space="preserve">Γ</w:t>
      </w:r>
      <w:r>
        <w:t xml:space="preserve">⊢</w:t>
      </w:r>
      <w:r>
        <w:t xml:space="preserve">e</w:t>
      </w:r>
      <w:r>
        <w:t xml:space="preserve">2</w:t>
      </w:r>
      <w:r>
        <w:t xml:space="preserve">:</w:t>
      </w:r>
      <w:r>
        <w:t xml:space="preserve">τ</w:t>
      </w:r>
      <w:r>
        <w:t xml:space="preserve">⊕</w:t>
      </w:r>
      <w:r>
        <w:t xml:space="preserve">∈</w:t>
      </w:r>
      <w:r>
        <w:t xml:space="preserve">{</w:t>
      </w:r>
      <w:r>
        <w:t xml:space="preserve">EQ</w:t>
      </w:r>
      <w:r>
        <w:t xml:space="preserve">,</w:t>
      </w:r>
      <w:r>
        <w:t xml:space="preserve">NEQ</w:t>
      </w:r>
      <w:r>
        <w:t xml:space="preserve">,</w:t>
      </w:r>
      <w:r>
        <w:t xml:space="preserve">GT</w:t>
      </w:r>
      <w:r>
        <w:t xml:space="preserve">,</w:t>
      </w:r>
      <w:r>
        <w:t xml:space="preserve">LT</w:t>
      </w:r>
      <w:r>
        <w:t xml:space="preserve">,</w:t>
      </w:r>
      <w:r>
        <w:t xml:space="preserve">GTE</w:t>
      </w:r>
      <w:r>
        <w:t xml:space="preserve">,</w:t>
      </w:r>
      <w:r>
        <w:t xml:space="preserve">LTE</w:t>
      </w:r>
      <w:r>
        <w:t xml:space="preserve">}</w:t>
      </w:r>
      <w:r>
        <w:t xml:space="preserve"> </w:t>
      </w:r>
      <w:r>
        <w:t xml:space="preserve">Γ</w:t>
      </w:r>
      <w:r>
        <w:t xml:space="preserve">⊢</w:t>
      </w:r>
      <w:r>
        <w:t xml:space="preserve">e</w:t>
      </w:r>
      <w:r>
        <w:t xml:space="preserve">1</w:t>
      </w:r>
      <w:r>
        <w:t xml:space="preserve">⊕</w:t>
      </w:r>
      <w:r>
        <w:t xml:space="preserve">e</w:t>
      </w:r>
      <w:r>
        <w:t xml:space="preserve">2</w:t>
      </w:r>
      <w:r>
        <w:t xml:space="preserve">:</w:t>
      </w:r>
      <w:r>
        <w:t xml:space="preserve">Bool</w:t>
      </w:r>
      <w:r>
        <w:t xml:space="preserve"> </w:t>
      </w:r>
      <w:r>
        <w:t xml:space="preserve"> </w:t>
      </w:r>
      <w:r>
        <w:t xml:space="preserve"> </w:t>
      </w:r>
      <w:r>
        <w:t xml:space="preserve"> </w:t>
      </w:r>
      <w:r>
        <w:t xml:space="preserve"> </w:t>
      </w:r>
    </w:p>
    <w:p>
      <w:pPr>
        <w:pStyle w:val="BodyText"/>
      </w:pPr>
      <w:r>
        <w:t xml:space="preserve"> </w:t>
      </w:r>
      <w:r>
        <w:t xml:space="preserve"> </w:t>
      </w:r>
      <w:r>
        <w:t xml:space="preserve"> </w:t>
      </w:r>
      <w:r>
        <w:t xml:space="preserve"> </w:t>
      </w:r>
      <w:r>
        <w:t xml:space="preserve">[T-AND]</w:t>
      </w:r>
      <w:r>
        <w:t xml:space="preserve"> </w:t>
      </w:r>
      <w:r>
        <w:t xml:space="preserve"> </w:t>
      </w:r>
      <w:r>
        <w:t xml:space="preserve"> </w:t>
      </w:r>
      <w:r>
        <w:t xml:space="preserve">Γ</w:t>
      </w:r>
      <w:r>
        <w:t xml:space="preserve">⊢</w:t>
      </w:r>
      <w:r>
        <w:t xml:space="preserve">φ</w:t>
      </w:r>
      <w:r>
        <w:t xml:space="preserve">1</w:t>
      </w:r>
      <w:r>
        <w:t xml:space="preserve">:</w:t>
      </w:r>
      <w:r>
        <w:t xml:space="preserve">Bool</w:t>
      </w:r>
      <w:r>
        <w:t xml:space="preserve">Γ</w:t>
      </w:r>
      <w:r>
        <w:t xml:space="preserve">⊢</w:t>
      </w:r>
      <w:r>
        <w:t xml:space="preserve">φ</w:t>
      </w:r>
      <w:r>
        <w:t xml:space="preserve">2</w:t>
      </w:r>
      <w:r>
        <w:t xml:space="preserve">:</w:t>
      </w:r>
      <w:r>
        <w:t xml:space="preserve">Bool</w:t>
      </w:r>
      <w:r>
        <w:t xml:space="preserve"> </w:t>
      </w:r>
      <w:r>
        <w:t xml:space="preserve">Γ</w:t>
      </w:r>
      <w:r>
        <w:t xml:space="preserve">⊢</w:t>
      </w:r>
      <w:r>
        <w:t xml:space="preserve">φ</w:t>
      </w:r>
      <w:r>
        <w:t xml:space="preserve">1</w:t>
      </w:r>
      <w:r>
        <w:t xml:space="preserve">AND</w:t>
      </w:r>
      <w:r>
        <w:t xml:space="preserve">φ</w:t>
      </w:r>
      <w:r>
        <w:t xml:space="preserve">2</w:t>
      </w:r>
      <w:r>
        <w:t xml:space="preserve">:</w:t>
      </w:r>
      <w:r>
        <w:t xml:space="preserve">Bool</w:t>
      </w:r>
      <w:r>
        <w:t xml:space="preserve"> </w:t>
      </w:r>
      <w:r>
        <w:t xml:space="preserve"> </w:t>
      </w:r>
      <w:r>
        <w:t xml:space="preserve"> </w:t>
      </w:r>
      <w:r>
        <w:t xml:space="preserve"> </w:t>
      </w:r>
      <w:r>
        <w:t xml:space="preserve"> </w:t>
      </w:r>
    </w:p>
    <w:p>
      <w:pPr>
        <w:pStyle w:val="BodyText"/>
      </w:pPr>
      <w:r>
        <w:rPr>
          <w:b/>
          <w:bCs/>
        </w:rPr>
        <w:t xml:space="preserve">Let Bindings:</w:t>
      </w:r>
    </w:p>
    <w:p>
      <w:pPr>
        <w:pStyle w:val="BodyText"/>
      </w:pPr>
      <w:r>
        <w:t xml:space="preserve"> </w:t>
      </w:r>
      <w:r>
        <w:t xml:space="preserve"> </w:t>
      </w:r>
      <w:r>
        <w:t xml:space="preserve"> </w:t>
      </w:r>
      <w:r>
        <w:t xml:space="preserve"> </w:t>
      </w:r>
      <w:r>
        <w:t xml:space="preserve">[T-LET]</w:t>
      </w:r>
      <w:r>
        <w:t xml:space="preserve"> </w:t>
      </w:r>
      <w:r>
        <w:t xml:space="preserve"> </w:t>
      </w:r>
      <w:r>
        <w:t xml:space="preserve"> </w:t>
      </w:r>
      <w:r>
        <w:t xml:space="preserve">Γ</w:t>
      </w:r>
      <w:r>
        <w:t xml:space="preserve">⊢</w:t>
      </w:r>
      <w:r>
        <w:t xml:space="preserve">e</w:t>
      </w:r>
      <w:r>
        <w:t xml:space="preserve">1</w:t>
      </w:r>
      <w:r>
        <w:t xml:space="preserve">:</w:t>
      </w:r>
      <w:r>
        <w:t xml:space="preserve">τ</w:t>
      </w:r>
      <w:r>
        <w:t xml:space="preserve">1</w:t>
      </w:r>
      <w:r>
        <w:t xml:space="preserve">Γ</w:t>
      </w:r>
      <w:r>
        <w:t xml:space="preserve">[</w:t>
      </w:r>
      <w:r>
        <w:t xml:space="preserve">x</w:t>
      </w:r>
      <w:r>
        <w:t xml:space="preserve">↦</w:t>
      </w:r>
      <w:r>
        <w:t xml:space="preserve">τ</w:t>
      </w:r>
      <w:r>
        <w:t xml:space="preserve">1</w:t>
      </w:r>
      <w:r>
        <w:t xml:space="preserve">]</w:t>
      </w:r>
      <w:r>
        <w:t xml:space="preserve">⊢</w:t>
      </w:r>
      <w:r>
        <w:t xml:space="preserve">e</w:t>
      </w:r>
      <w:r>
        <w:t xml:space="preserve">2</w:t>
      </w:r>
      <w:r>
        <w:t xml:space="preserve">:</w:t>
      </w:r>
      <w:r>
        <w:t xml:space="preserve">τ</w:t>
      </w:r>
      <w:r>
        <w:t xml:space="preserve">2</w:t>
      </w:r>
      <w:r>
        <w:t xml:space="preserve"> </w:t>
      </w:r>
      <w:r>
        <w:t xml:space="preserve">Γ</w:t>
      </w:r>
      <w:r>
        <w:t xml:space="preserve">⊢</w:t>
      </w:r>
      <w:r>
        <w:t xml:space="preserve">LET</w:t>
      </w:r>
      <w:r>
        <w:t xml:space="preserve">x</w:t>
      </w:r>
      <w:r>
        <w:t xml:space="preserve">AS</w:t>
      </w:r>
      <w:r>
        <w:t xml:space="preserve">e</w:t>
      </w:r>
      <w:r>
        <w:t xml:space="preserve">1</w:t>
      </w:r>
      <w:r>
        <w:t xml:space="preserve">;</w:t>
      </w:r>
      <w:r>
        <w:t xml:space="preserve">e</w:t>
      </w:r>
      <w:r>
        <w:t xml:space="preserve">2</w:t>
      </w:r>
      <w:r>
        <w:t xml:space="preserve">:</w:t>
      </w:r>
      <w:r>
        <w:t xml:space="preserve">τ</w:t>
      </w:r>
      <w:r>
        <w:t xml:space="preserve">2</w:t>
      </w:r>
      <w:r>
        <w:t xml:space="preserve"> </w:t>
      </w:r>
      <w:r>
        <w:t xml:space="preserve"> </w:t>
      </w:r>
      <w:r>
        <w:t xml:space="preserve"> </w:t>
      </w:r>
      <w:r>
        <w:t xml:space="preserve"> </w:t>
      </w:r>
      <w:r>
        <w:t xml:space="preserve"> </w:t>
      </w:r>
    </w:p>
    <w:p>
      <w:pPr>
        <w:pStyle w:val="BodyText"/>
      </w:pPr>
      <w:r>
        <w:rPr>
          <w:b/>
          <w:bCs/>
        </w:rPr>
        <w:t xml:space="preserve">Yield Statements:</w:t>
      </w:r>
    </w:p>
    <w:p>
      <w:pPr>
        <w:pStyle w:val="BodyText"/>
      </w:pPr>
      <w:r>
        <w:t xml:space="preserve"> </w:t>
      </w:r>
      <w:r>
        <w:t xml:space="preserve"> </w:t>
      </w:r>
      <w:r>
        <w:t xml:space="preserve"> </w:t>
      </w:r>
      <w:r>
        <w:t xml:space="preserve"> </w:t>
      </w:r>
      <w:r>
        <w:t xml:space="preserve">[T-YIELD]</w:t>
      </w:r>
      <w:r>
        <w:t xml:space="preserve"> </w:t>
      </w:r>
      <w:r>
        <w:t xml:space="preserve"> </w:t>
      </w:r>
      <w:r>
        <w:t xml:space="preserve"> </w:t>
      </w:r>
      <w:r>
        <w:t xml:space="preserve">Γ</w:t>
      </w:r>
      <w:r>
        <w:t xml:space="preserve">⊢</w:t>
      </w:r>
      <w:r>
        <w:t xml:space="preserve">e</w:t>
      </w:r>
      <w:r>
        <w:t xml:space="preserve">:</w:t>
      </w:r>
      <w:r>
        <w:t xml:space="preserve">τ</w:t>
      </w:r>
      <w:r>
        <w:t xml:space="preserve">Γ</w:t>
      </w:r>
      <w:r>
        <w:t xml:space="preserve">⊢</w:t>
      </w:r>
      <w:r>
        <w:t xml:space="preserve">φ</w:t>
      </w:r>
      <w:r>
        <w:t xml:space="preserve">:</w:t>
      </w:r>
      <w:r>
        <w:t xml:space="preserve">Bool</w:t>
      </w:r>
      <w:r>
        <w:t xml:space="preserve"> </w:t>
      </w:r>
      <w:r>
        <w:t xml:space="preserve">Γ</w:t>
      </w:r>
      <w:r>
        <w:t xml:space="preserve">⊢</w:t>
      </w:r>
      <w:r>
        <w:t xml:space="preserve">YIELD</w:t>
      </w:r>
      <w:r>
        <w:t xml:space="preserve">e</w:t>
      </w:r>
      <w:r>
        <w:t xml:space="preserve">IF</w:t>
      </w:r>
      <w:r>
        <w:t xml:space="preserve">φ</w:t>
      </w:r>
      <w:r>
        <w:t xml:space="preserve">:</w:t>
      </w:r>
      <w:r>
        <w:t xml:space="preserve">τ</w:t>
      </w:r>
      <w:r>
        <w:t xml:space="preserve"> </w:t>
      </w:r>
      <w:r>
        <w:t xml:space="preserve"> </w:t>
      </w:r>
      <w:r>
        <w:t xml:space="preserve"> </w:t>
      </w:r>
      <w:r>
        <w:t xml:space="preserve"> </w:t>
      </w:r>
      <w:r>
        <w:t xml:space="preserve"> </w:t>
      </w:r>
    </w:p>
    <w:p>
      <w:pPr>
        <w:pStyle w:val="BodyText"/>
      </w:pPr>
      <w:r>
        <w:rPr>
          <w:b/>
          <w:bCs/>
        </w:rPr>
        <w:t xml:space="preserve">Polymorphic Fees:</w:t>
      </w:r>
    </w:p>
    <w:p>
      <w:pPr>
        <w:pStyle w:val="BodyText"/>
      </w:pPr>
      <w:r>
        <w:t xml:space="preserve"> </w:t>
      </w:r>
      <w:r>
        <w:t xml:space="preserve"> </w:t>
      </w:r>
      <w:r>
        <w:t xml:space="preserve"> </w:t>
      </w:r>
      <w:r>
        <w:t xml:space="preserve"> </w:t>
      </w:r>
      <w:r>
        <w:t xml:space="preserve">[T-POLY]</w:t>
      </w:r>
      <w:r>
        <w:t xml:space="preserve"> </w:t>
      </w:r>
      <w:r>
        <w:t xml:space="preserve"> </w:t>
      </w:r>
      <w:r>
        <w:t xml:space="preserve"> </w:t>
      </w:r>
      <w:r>
        <w:t xml:space="preserve">Γ</w:t>
      </w:r>
      <w:r>
        <w:t xml:space="preserve">[</w:t>
      </w:r>
      <w:r>
        <w:t xml:space="preserve">α</w:t>
      </w:r>
      <w:r>
        <w:t xml:space="preserve">↦</w:t>
      </w:r>
      <w:r>
        <w:t xml:space="preserve">∀</w:t>
      </w:r>
      <w:r>
        <w:t xml:space="preserve">]</w:t>
      </w:r>
      <w:r>
        <w:t xml:space="preserve">⊢</w:t>
      </w:r>
      <w:r>
        <w:t xml:space="preserve">body</w:t>
      </w:r>
      <w:r>
        <w:t xml:space="preserve">:</w:t>
      </w:r>
      <w:r>
        <w:t xml:space="preserve">α</w:t>
      </w:r>
      <w:r>
        <w:t xml:space="preserve"> </w:t>
      </w:r>
      <w:r>
        <w:t xml:space="preserve">Γ</w:t>
      </w:r>
      <w:r>
        <w:t xml:space="preserve">⊢</w:t>
      </w:r>
      <w:r>
        <w:t xml:space="preserve">FEE</w:t>
      </w:r>
      <w:r>
        <w:t xml:space="preserve">⟨</w:t>
      </w:r>
      <w:r>
        <w:t xml:space="preserve">α</w:t>
      </w:r>
      <w:r>
        <w:t xml:space="preserve">⟩</w:t>
      </w:r>
      <w:r>
        <w:t xml:space="preserve">body</w:t>
      </w:r>
      <w:r>
        <w:t xml:space="preserve">:</w:t>
      </w:r>
      <w:r>
        <w:t xml:space="preserve">∀</w:t>
      </w:r>
      <w:r>
        <w:t xml:space="preserve">α</w:t>
      </w:r>
      <w:r>
        <w:t xml:space="preserve">.</w:t>
      </w:r>
      <w:r>
        <w:t xml:space="preserve">α</w:t>
      </w:r>
      <w:r>
        <w:t xml:space="preserve"> </w:t>
      </w:r>
      <w:r>
        <w:t xml:space="preserve"> </w:t>
      </w:r>
      <w:r>
        <w:t xml:space="preserve"> </w:t>
      </w:r>
      <w:r>
        <w:t xml:space="preserve"> </w:t>
      </w:r>
      <w:r>
        <w:t xml:space="preserve"> </w:t>
      </w:r>
    </w:p>
    <w:bookmarkEnd w:id="38"/>
    <w:bookmarkStart w:id="39" w:name="type-safety"/>
    <w:p>
      <w:pPr>
        <w:pStyle w:val="Heading4"/>
      </w:pPr>
      <w:r>
        <w:t xml:space="preserve">4.1.3 Type Safety</w:t>
      </w:r>
    </w:p>
    <w:p>
      <w:pPr>
        <w:pStyle w:val="FirstParagraph"/>
      </w:pPr>
      <w:r>
        <w:rPr>
          <w:b/>
          <w:bCs/>
        </w:rPr>
        <w:t xml:space="preserve">Theorem 1 (Type Safety).</w:t>
      </w:r>
      <w:r>
        <w:t xml:space="preserve"> </w:t>
      </w:r>
      <w:r>
        <w:t xml:space="preserve">If program P is well-typed (Γ ⊢ P : ok), then for all inputs σ satisfying Γ:</w:t>
      </w:r>
      <w:r>
        <w:t xml:space="preserve"> </w:t>
      </w:r>
      <w:r>
        <w:t xml:space="preserve">1. Every arithmetic expression evaluates without currency mismatch</w:t>
      </w:r>
      <w:r>
        <w:t xml:space="preserve"> </w:t>
      </w:r>
      <w:r>
        <w:t xml:space="preserve">2. Every fee f computes to a value v : Amt[c] where c is f’s declared currency (or Num if undeclared)</w:t>
      </w:r>
      <w:r>
        <w:t xml:space="preserve"> </w:t>
      </w:r>
      <w:r>
        <w:t xml:space="preserve">3. No implicit currency conversion occurs</w:t>
      </w:r>
    </w:p>
    <w:p>
      <w:pPr>
        <w:pStyle w:val="BodyText"/>
      </w:pPr>
      <w:r>
        <w:rPr>
          <w:i/>
          <w:iCs/>
        </w:rPr>
        <w:t xml:space="preserve">Proof sketch.</w:t>
      </w:r>
      <w:r>
        <w:t xml:space="preserve"> </w:t>
      </w:r>
      <w:r>
        <w:t xml:space="preserve">By structural induction on typing derivations.</w:t>
      </w:r>
    </w:p>
    <w:p>
      <w:pPr>
        <w:pStyle w:val="BodyText"/>
      </w:pPr>
      <w:r>
        <w:rPr>
          <w:i/>
          <w:iCs/>
        </w:rPr>
        <w:t xml:space="preserve">Base cases:</w:t>
      </w:r>
      <w:r>
        <w:t xml:space="preserve"> </w:t>
      </w:r>
      <w:r>
        <w:t xml:space="preserve">Numeric literals have type Num by T-NUM. Currency literals n⟨c⟩ have type Amt[c] by T-CURR, where c is validated against the ISO-4217 database.</w:t>
      </w:r>
    </w:p>
    <w:p>
      <w:pPr>
        <w:pStyle w:val="BodyText"/>
      </w:pPr>
      <w:r>
        <w:rPr>
          <w:i/>
          <w:iCs/>
        </w:rPr>
        <w:t xml:space="preserve">Inductive cases:</w:t>
      </w:r>
      <w:r>
        <w:t xml:space="preserve"> </w:t>
      </w:r>
      <w:r>
        <w:t xml:space="preserve">For T-ADD-AMT, both operands must have type Amt[c] for the same c; the result preserves this currency tag. For T-MUL-SCALAR-R and T-MUL-SCALAR-L, the currency of the Amt operand is preserved regardless of operand order. For T-CONVERT, the explicit conversion changes the currency tag from c₁ to c₂, requiring runtime exchange rate lookup.</w:t>
      </w:r>
    </w:p>
    <w:p>
      <w:pPr>
        <w:pStyle w:val="BodyText"/>
      </w:pPr>
      <w:r>
        <w:t xml:space="preserve">The type checker implementation (</w:t>
      </w:r>
      <w:r>
        <w:rPr>
          <w:rStyle w:val="VerbatimChar"/>
        </w:rPr>
        <w:t xml:space="preserve">CurrencyTypeChecker.cs</w:t>
      </w:r>
      <w:r>
        <w:t xml:space="preserve">) enforces these rules, rejecting programs that violate conditions (1)-(3) before evaluation. Specifically,</w:t>
      </w:r>
      <w:r>
        <w:t xml:space="preserve"> </w:t>
      </w:r>
      <w:r>
        <w:rPr>
          <w:rStyle w:val="VerbatimChar"/>
        </w:rPr>
        <w:t xml:space="preserve">InferArithmeticType()</w:t>
      </w:r>
      <w:r>
        <w:t xml:space="preserve"> </w:t>
      </w:r>
      <w:r>
        <w:t xml:space="preserve">implements T-ADD-AMT, T-MUL-SCALAR-R, and T-MUL-SCALAR-L;</w:t>
      </w:r>
      <w:r>
        <w:t xml:space="preserve"> </w:t>
      </w:r>
      <w:r>
        <w:rPr>
          <w:rStyle w:val="VerbatimChar"/>
        </w:rPr>
        <w:t xml:space="preserve">InferConvertType()</w:t>
      </w:r>
      <w:r>
        <w:t xml:space="preserve"> </w:t>
      </w:r>
      <w:r>
        <w:t xml:space="preserve">implements T-CONVERT; and</w:t>
      </w:r>
      <w:r>
        <w:t xml:space="preserve"> </w:t>
      </w:r>
      <w:r>
        <w:rPr>
          <w:rStyle w:val="VerbatimChar"/>
        </w:rPr>
        <w:t xml:space="preserve">TypeError.MixedCurrencyArithmetic()</w:t>
      </w:r>
      <w:r>
        <w:t xml:space="preserve"> </w:t>
      </w:r>
      <w:r>
        <w:t xml:space="preserve">signals violations of condition (1).</w:t>
      </w:r>
    </w:p>
    <w:p>
      <w:pPr>
        <w:pStyle w:val="BodyText"/>
      </w:pPr>
      <w:r>
        <w:rPr>
          <w:b/>
          <w:bCs/>
        </w:rPr>
        <w:t xml:space="preserve">Example - Type Error Detection:</w:t>
      </w:r>
    </w:p>
    <w:p>
      <w:pPr>
        <w:pStyle w:val="SourceCode"/>
      </w:pPr>
      <w:r>
        <w:rPr>
          <w:rStyle w:val="VerbatimChar"/>
        </w:rPr>
        <w:t xml:space="preserve"># Type error detected at compile time:</w:t>
      </w:r>
      <w:r>
        <w:br/>
      </w:r>
      <w:r>
        <w:rPr>
          <w:rStyle w:val="VerbatimChar"/>
        </w:rPr>
        <w:t xml:space="preserve">YIELD FilingFee + SearchFee   -- where FilingFee:Amt[EUR], SearchFee:Amt[USD]</w:t>
      </w:r>
      <w:r>
        <w:br/>
      </w:r>
      <w:r>
        <w:rPr>
          <w:rStyle w:val="VerbatimChar"/>
        </w:rPr>
        <w:t xml:space="preserve"># Error: Cannot add EUR and USD without conversion</w:t>
      </w:r>
      <w:r>
        <w:br/>
      </w:r>
      <w:r>
        <w:br/>
      </w:r>
      <w:r>
        <w:rPr>
          <w:rStyle w:val="VerbatimChar"/>
        </w:rPr>
        <w:t xml:space="preserve"># Correct version with explicit conversion:</w:t>
      </w:r>
      <w:r>
        <w:br/>
      </w:r>
      <w:r>
        <w:rPr>
          <w:rStyle w:val="VerbatimChar"/>
        </w:rPr>
        <w:t xml:space="preserve">YIELD FilingFee + CONVERT(SearchFee, USD, EUR)</w:t>
      </w:r>
    </w:p>
    <w:bookmarkEnd w:id="39"/>
    <w:bookmarkEnd w:id="40"/>
    <w:bookmarkStart w:id="46" w:name="completeness-analysis"/>
    <w:p>
      <w:pPr>
        <w:pStyle w:val="Heading3"/>
      </w:pPr>
      <w:r>
        <w:t xml:space="preserve">4.2 Completeness Analysis</w:t>
      </w:r>
    </w:p>
    <w:p>
      <w:pPr>
        <w:pStyle w:val="FirstParagraph"/>
      </w:pPr>
      <w:r>
        <w:t xml:space="preserve">IPFLang supports static analysis to determine whether fee computations produce defined outputs for all valid input combinations. The analysis operates in two modes:</w:t>
      </w:r>
      <w:r>
        <w:t xml:space="preserve"> </w:t>
      </w:r>
      <w:r>
        <w:rPr>
          <w:i/>
          <w:iCs/>
        </w:rPr>
        <w:t xml:space="preserve">exhaustive verification</w:t>
      </w:r>
      <w:r>
        <w:t xml:space="preserve"> </w:t>
      </w:r>
      <w:r>
        <w:t xml:space="preserve">for small domains providing formal guarantees, and</w:t>
      </w:r>
      <w:r>
        <w:t xml:space="preserve"> </w:t>
      </w:r>
      <w:r>
        <w:rPr>
          <w:i/>
          <w:iCs/>
        </w:rPr>
        <w:t xml:space="preserve">boundary-based testing</w:t>
      </w:r>
      <w:r>
        <w:t xml:space="preserve"> </w:t>
      </w:r>
      <w:r>
        <w:t xml:space="preserve">for large domains providing high-confidence heuristic assurance.</w:t>
      </w:r>
    </w:p>
    <w:bookmarkStart w:id="41" w:name="formal-definitions"/>
    <w:p>
      <w:pPr>
        <w:pStyle w:val="Heading4"/>
      </w:pPr>
      <w:r>
        <w:t xml:space="preserve">4.2.1 Formal Definitions</w:t>
      </w:r>
    </w:p>
    <w:p>
      <w:pPr>
        <w:pStyle w:val="FirstParagraph"/>
      </w:pPr>
      <w:r>
        <w:rPr>
          <w:b/>
          <w:bCs/>
        </w:rPr>
        <w:t xml:space="preserve">Definition 1 (Input Domain).</w:t>
      </w:r>
      <w:r>
        <w:t xml:space="preserve"> </w:t>
      </w:r>
      <w:r>
        <w:t xml:space="preserve">Each input declaration defines a semantic domain:</w:t>
      </w:r>
      <w:r>
        <w:t xml:space="preserve"> </w:t>
      </w:r>
      <w:r>
        <w:t xml:space="preserve">- NUMBER BETWEEN m AND M defines Dom = {n ∈ ℤ : m ≤ n ≤ M}</w:t>
      </w:r>
      <w:r>
        <w:t xml:space="preserve"> </w:t>
      </w:r>
      <w:r>
        <w:t xml:space="preserve">- BOOLEAN defines Dom = {TRUE, FALSE}</w:t>
      </w:r>
      <w:r>
        <w:t xml:space="preserve"> </w:t>
      </w:r>
      <w:r>
        <w:t xml:space="preserve">- LIST with choices {c₁, …, cₖ} defines Dom = {c₁, …, cₖ}</w:t>
      </w:r>
      <w:r>
        <w:t xml:space="preserve"> </w:t>
      </w:r>
      <w:r>
        <w:t xml:space="preserve">- MULTILIST with choices {c₁, …, cₖ} defines Dom = P({c₁, …, cₖ})</w:t>
      </w:r>
    </w:p>
    <w:p>
      <w:pPr>
        <w:pStyle w:val="BodyText"/>
      </w:pPr>
      <w:r>
        <w:rPr>
          <w:b/>
          <w:bCs/>
        </w:rPr>
        <w:t xml:space="preserve">Definition 2 (Valuation Space).</w:t>
      </w:r>
      <w:r>
        <w:t xml:space="preserve"> </w:t>
      </w:r>
      <w:r>
        <w:t xml:space="preserve">The valuation space Σ is the Cartesian product of all input domains: Σ = Dom₁ × Dom₂ × … × Domₘ</w:t>
      </w:r>
    </w:p>
    <w:p>
      <w:pPr>
        <w:pStyle w:val="BodyText"/>
      </w:pPr>
      <w:r>
        <w:rPr>
          <w:b/>
          <w:bCs/>
        </w:rPr>
        <w:t xml:space="preserve">Definition 3 (Coverage).</w:t>
      </w:r>
      <w:r>
        <w:t xml:space="preserve"> </w:t>
      </w:r>
      <w:r>
        <w:t xml:space="preserve">For fee f with conditional yields guarded by conditions φ₁, …, φₙ, the coverage is:</w:t>
      </w:r>
    </w:p>
    <w:p>
      <w:pPr>
        <w:pStyle w:val="BodyText"/>
      </w:pPr>
      <w:r>
        <w:t xml:space="preserve"> </w:t>
      </w:r>
      <w:r>
        <w:t xml:space="preserve"> </w:t>
      </w:r>
      <w:r>
        <w:t xml:space="preserve">Cov</w:t>
      </w:r>
      <w:r>
        <w:t xml:space="preserve">(</w:t>
      </w:r>
      <w:r>
        <w:t xml:space="preserve">f</w:t>
      </w:r>
      <w:r>
        <w:t xml:space="preserve">)</w:t>
      </w:r>
      <w:r>
        <w:t xml:space="preserve"> </w:t>
      </w:r>
      <w:r>
        <w:t xml:space="preserve">=</w:t>
      </w:r>
      <w:r>
        <w:t xml:space="preserve"> </w:t>
      </w:r>
      <w:r>
        <w:t xml:space="preserve">{</w:t>
      </w:r>
      <w:r>
        <w:t xml:space="preserve">σ</w:t>
      </w:r>
      <w:r>
        <w:t xml:space="preserve">∈</w:t>
      </w:r>
      <w:r>
        <w:t xml:space="preserve">Σ</w:t>
      </w:r>
      <w:r>
        <w:t xml:space="preserve">:</w:t>
      </w:r>
      <w:r>
        <w:t xml:space="preserve">∃</w:t>
      </w:r>
      <w:r>
        <w:t xml:space="preserve">i</w:t>
      </w:r>
      <w:r>
        <w:t xml:space="preserve">.</w:t>
      </w:r>
      <w:r>
        <w:t xml:space="preserve">σ</w:t>
      </w:r>
      <w:r>
        <w:t xml:space="preserve">⊨</w:t>
      </w:r>
      <w:r>
        <w:t xml:space="preserve">φ</w:t>
      </w:r>
      <w:r>
        <w:t xml:space="preserve">i</w:t>
      </w:r>
      <w:r>
        <w:t xml:space="preserve">}</w:t>
      </w:r>
      <w:r>
        <w:t xml:space="preserve"> </w:t>
      </w:r>
      <w:r>
        <w:t xml:space="preserve"> </w:t>
      </w:r>
    </w:p>
    <w:p>
      <w:pPr>
        <w:pStyle w:val="BodyText"/>
      </w:pPr>
      <w:r>
        <w:rPr>
          <w:b/>
          <w:bCs/>
        </w:rPr>
        <w:t xml:space="preserve">Definition 4 (Completeness).</w:t>
      </w:r>
      <w:r>
        <w:t xml:space="preserve"> </w:t>
      </w:r>
      <w:r>
        <w:t xml:space="preserve">Fee f is</w:t>
      </w:r>
      <w:r>
        <w:t xml:space="preserve"> </w:t>
      </w:r>
      <w:r>
        <w:rPr>
          <w:i/>
          <w:iCs/>
        </w:rPr>
        <w:t xml:space="preserve">complete</w:t>
      </w:r>
      <w:r>
        <w:t xml:space="preserve"> </w:t>
      </w:r>
      <w:r>
        <w:t xml:space="preserve">if Cov(f) = Σ, equivalently if φ₁ ∨ … ∨ φₙ is valid over Σ.</w:t>
      </w:r>
    </w:p>
    <w:bookmarkEnd w:id="41"/>
    <w:bookmarkStart w:id="42" w:name="analysis-algorithm"/>
    <w:p>
      <w:pPr>
        <w:pStyle w:val="Heading4"/>
      </w:pPr>
      <w:r>
        <w:t xml:space="preserve">4.2.2 Analysis Algorithm</w:t>
      </w:r>
    </w:p>
    <w:p>
      <w:pPr>
        <w:pStyle w:val="FirstParagraph"/>
      </w:pPr>
      <w:r>
        <w:t xml:space="preserve">The completeness analysis employs two strategies depending on domain size:</w:t>
      </w:r>
    </w:p>
    <w:p>
      <w:pPr>
        <w:pStyle w:val="BodyText"/>
      </w:pPr>
      <w:r>
        <w:rPr>
          <w:b/>
          <w:bCs/>
        </w:rPr>
        <w:t xml:space="preserve">[INSERT FIGURE 4: figures/figure2_completeness_algorithm.mmd - Completeness Analysis Algorithm Flowchart]</w:t>
      </w:r>
    </w:p>
    <w:p>
      <w:pPr>
        <w:pStyle w:val="SourceCode"/>
      </w:pPr>
      <w:r>
        <w:rPr>
          <w:rStyle w:val="VerbatimChar"/>
        </w:rPr>
        <w:t xml:space="preserve">Algorithm 1: Completeness Analysis</w:t>
      </w:r>
      <w:r>
        <w:br/>
      </w:r>
      <w:r>
        <w:rPr>
          <w:rStyle w:val="VerbatimChar"/>
        </w:rPr>
        <w:t xml:space="preserve">─────────────────────────────────────────────────────────────────────</w:t>
      </w:r>
      <w:r>
        <w:br/>
      </w:r>
      <w:r>
        <w:rPr>
          <w:rStyle w:val="VerbatimChar"/>
        </w:rPr>
        <w:t xml:space="preserve">Input:  Fee f with conditions Φ = {φ₁, ..., φₙ}</w:t>
      </w:r>
      <w:r>
        <w:br/>
      </w:r>
      <w:r>
        <w:rPr>
          <w:rStyle w:val="VerbatimChar"/>
        </w:rPr>
        <w:t xml:space="preserve">        Input domains D = {D₁, ..., Dₘ}</w:t>
      </w:r>
      <w:r>
        <w:br/>
      </w:r>
      <w:r>
        <w:rPr>
          <w:rStyle w:val="VerbatimChar"/>
        </w:rPr>
        <w:t xml:space="preserve">Output: (complete: Bool, gaps: Set⟨InputCombination⟩)</w:t>
      </w:r>
      <w:r>
        <w:br/>
      </w:r>
      <w:r>
        <w:br/>
      </w:r>
      <w:r>
        <w:rPr>
          <w:rStyle w:val="VerbatimChar"/>
        </w:rPr>
        <w:t xml:space="preserve"> 1: Σ ← D₁ × D₂ × ... × Dₘ                    // Valuation space</w:t>
      </w:r>
      <w:r>
        <w:br/>
      </w:r>
      <w:r>
        <w:rPr>
          <w:rStyle w:val="VerbatimChar"/>
        </w:rPr>
        <w:t xml:space="preserve"> 2: |Σ| ← ∏ᵢ |Dᵢ|                             // Domain size</w:t>
      </w:r>
      <w:r>
        <w:br/>
      </w:r>
      <w:r>
        <w:rPr>
          <w:rStyle w:val="VerbatimChar"/>
        </w:rPr>
        <w:t xml:space="preserve"> 3: gaps ← ∅</w:t>
      </w:r>
      <w:r>
        <w:br/>
      </w:r>
      <w:r>
        <w:rPr>
          <w:rStyle w:val="VerbatimChar"/>
        </w:rPr>
        <w:t xml:space="preserve"> 4:</w:t>
      </w:r>
      <w:r>
        <w:br/>
      </w:r>
      <w:r>
        <w:rPr>
          <w:rStyle w:val="VerbatimChar"/>
        </w:rPr>
        <w:t xml:space="preserve"> 5: if |Σ| ≤ EXHAUSTIVE_THRESHOLD then        // Default: 10⁶</w:t>
      </w:r>
      <w:r>
        <w:br/>
      </w:r>
      <w:r>
        <w:rPr>
          <w:rStyle w:val="VerbatimChar"/>
        </w:rPr>
        <w:t xml:space="preserve"> 6:     // EXHAUSTIVE VERIFICATION (provides formal guarantee)</w:t>
      </w:r>
      <w:r>
        <w:br/>
      </w:r>
      <w:r>
        <w:rPr>
          <w:rStyle w:val="VerbatimChar"/>
        </w:rPr>
        <w:t xml:space="preserve"> 7:     for each σ ∈ Σ do</w:t>
      </w:r>
      <w:r>
        <w:br/>
      </w:r>
      <w:r>
        <w:rPr>
          <w:rStyle w:val="VerbatimChar"/>
        </w:rPr>
        <w:t xml:space="preserve"> 8:         if ¬∃φᵢ ∈ Φ : σ ⊨ φᵢ then</w:t>
      </w:r>
      <w:r>
        <w:br/>
      </w:r>
      <w:r>
        <w:rPr>
          <w:rStyle w:val="VerbatimChar"/>
        </w:rPr>
        <w:t xml:space="preserve"> 9:             gaps ← gaps ∪ {σ}</w:t>
      </w:r>
      <w:r>
        <w:br/>
      </w:r>
      <w:r>
        <w:rPr>
          <w:rStyle w:val="VerbatimChar"/>
        </w:rPr>
        <w:t xml:space="preserve">10:             if |gaps| ≥ MAX_GAPS then break</w:t>
      </w:r>
      <w:r>
        <w:br/>
      </w:r>
      <w:r>
        <w:rPr>
          <w:rStyle w:val="VerbatimChar"/>
        </w:rPr>
        <w:t xml:space="preserve">11: else</w:t>
      </w:r>
      <w:r>
        <w:br/>
      </w:r>
      <w:r>
        <w:rPr>
          <w:rStyle w:val="VerbatimChar"/>
        </w:rPr>
        <w:t xml:space="preserve">12:     // BOUNDARY-BASED TESTING (heuristic, no formal guarantee)</w:t>
      </w:r>
      <w:r>
        <w:br/>
      </w:r>
      <w:r>
        <w:rPr>
          <w:rStyle w:val="VerbatimChar"/>
        </w:rPr>
        <w:t xml:space="preserve">13:     S ← SampleRepresentative(D)           // Boundary sampling</w:t>
      </w:r>
      <w:r>
        <w:br/>
      </w:r>
      <w:r>
        <w:rPr>
          <w:rStyle w:val="VerbatimChar"/>
        </w:rPr>
        <w:t xml:space="preserve">14:     for each σ ∈ S do</w:t>
      </w:r>
      <w:r>
        <w:br/>
      </w:r>
      <w:r>
        <w:rPr>
          <w:rStyle w:val="VerbatimChar"/>
        </w:rPr>
        <w:t xml:space="preserve">15:         if ¬∃φᵢ ∈ Φ : σ ⊨ φᵢ then</w:t>
      </w:r>
      <w:r>
        <w:br/>
      </w:r>
      <w:r>
        <w:rPr>
          <w:rStyle w:val="VerbatimChar"/>
        </w:rPr>
        <w:t xml:space="preserve">16:             gaps ← gaps ∪ {σ}</w:t>
      </w:r>
      <w:r>
        <w:br/>
      </w:r>
      <w:r>
        <w:rPr>
          <w:rStyle w:val="VerbatimChar"/>
        </w:rPr>
        <w:t xml:space="preserve">17:</w:t>
      </w:r>
      <w:r>
        <w:br/>
      </w:r>
      <w:r>
        <w:rPr>
          <w:rStyle w:val="VerbatimChar"/>
        </w:rPr>
        <w:t xml:space="preserve">18: return (gaps = ∅, gaps)</w:t>
      </w:r>
    </w:p>
    <w:bookmarkEnd w:id="42"/>
    <w:bookmarkStart w:id="43" w:name="complexity-analysis"/>
    <w:p>
      <w:pPr>
        <w:pStyle w:val="Heading4"/>
      </w:pPr>
      <w:r>
        <w:t xml:space="preserve">4.2.3 Complexity Analysis</w:t>
      </w:r>
    </w:p>
    <w:p>
      <w:pPr>
        <w:pStyle w:val="FirstParagraph"/>
      </w:pPr>
      <w:r>
        <w:rPr>
          <w:b/>
          <w:bCs/>
        </w:rPr>
        <w:t xml:space="preserve">Theorem 2 (Verification Complexity).</w:t>
      </w:r>
      <w:r>
        <w:t xml:space="preserve"> </w:t>
      </w:r>
      <w:r>
        <w:t xml:space="preserve">Let n = |Φ| (number of yield conditions), m = |D| (number of inputs), k = average condition evaluation cost (typically O(m) for conjunctive conditions), and N = |Σ| (domain size).</w:t>
      </w:r>
    </w:p>
    <w:p>
      <w:pPr>
        <w:pStyle w:val="Compact"/>
        <w:numPr>
          <w:ilvl w:val="0"/>
          <w:numId w:val="1004"/>
        </w:numPr>
      </w:pPr>
      <w:r>
        <w:rPr>
          <w:b/>
          <w:bCs/>
        </w:rPr>
        <w:t xml:space="preserve">Exhaustive verification</w:t>
      </w:r>
      <w:r>
        <w:t xml:space="preserve"> </w:t>
      </w:r>
      <w:r>
        <w:t xml:space="preserve">(N ≤ 10⁶): O(N · n · k) time, O(|gaps|) space. Provides formal guarantee.</w:t>
      </w:r>
    </w:p>
    <w:p>
      <w:pPr>
        <w:pStyle w:val="Compact"/>
        <w:numPr>
          <w:ilvl w:val="0"/>
          <w:numId w:val="1004"/>
        </w:numPr>
      </w:pPr>
      <w:r>
        <w:rPr>
          <w:b/>
          <w:bCs/>
        </w:rPr>
        <w:t xml:space="preserve">Boundary-based testing</w:t>
      </w:r>
      <w:r>
        <w:t xml:space="preserve"> </w:t>
      </w:r>
      <w:r>
        <w:t xml:space="preserve">(N &gt; 10⁶): O(S · n · k) time where S = O(5ᵐ) for boundary sampling with 5 representatives per domain. Provides heuristic assurance only.</w:t>
      </w:r>
    </w:p>
    <w:bookmarkEnd w:id="43"/>
    <w:bookmarkStart w:id="44" w:name="sampling-strategy"/>
    <w:p>
      <w:pPr>
        <w:pStyle w:val="Heading4"/>
      </w:pPr>
      <w:r>
        <w:t xml:space="preserve">4.2.4 Sampling Strategy</w:t>
      </w:r>
    </w:p>
    <w:p>
      <w:pPr>
        <w:pStyle w:val="FirstParagraph"/>
      </w:pPr>
      <w:r>
        <w:t xml:space="preserve">For numeric domains [min, max], the representative sampling selects boundary values (min and max), threshold values consisting of integers appearing in conditions (such as 15 and 50 from</w:t>
      </w:r>
      <w:r>
        <w:t xml:space="preserve"> </w:t>
      </w:r>
      <w:r>
        <w:rPr>
          <w:rStyle w:val="VerbatimChar"/>
        </w:rPr>
        <w:t xml:space="preserve">ClaimCount GT 15</w:t>
      </w:r>
      <w:r>
        <w:t xml:space="preserve">), the midpoint (min + max) / 2, and near-boundary values (min + 1 and max - 1).</w:t>
      </w:r>
    </w:p>
    <w:p>
      <w:pPr>
        <w:pStyle w:val="BodyText"/>
      </w:pPr>
      <w:r>
        <w:t xml:space="preserve">For Boolean domains, sampling includes both TRUE and FALSE exhaustively. For LIST domains, sampling covers all choices exhaustively up to the cardinality limit. For MULTILIST domains, sampling includes the empty set, all singleton sets, and the full set.</w:t>
      </w:r>
    </w:p>
    <w:bookmarkEnd w:id="44"/>
    <w:bookmarkStart w:id="45" w:name="soundness-and-guarantees"/>
    <w:p>
      <w:pPr>
        <w:pStyle w:val="Heading4"/>
      </w:pPr>
      <w:r>
        <w:t xml:space="preserve">4.2.5 Soundness and Guarantees</w:t>
      </w:r>
    </w:p>
    <w:p>
      <w:pPr>
        <w:pStyle w:val="FirstParagraph"/>
      </w:pPr>
      <w:r>
        <w:rPr>
          <w:b/>
          <w:bCs/>
        </w:rPr>
        <w:t xml:space="preserve">Proposition 1 (Soundness of Exhaustive Mode).</w:t>
      </w:r>
      <w:r>
        <w:t xml:space="preserve"> </w:t>
      </w:r>
      <w:r>
        <w:t xml:space="preserve">If the exhaustive algorithm reports complete, the fee is genuinely complete.</w:t>
      </w:r>
    </w:p>
    <w:p>
      <w:pPr>
        <w:pStyle w:val="BodyText"/>
      </w:pPr>
      <w:r>
        <w:rPr>
          <w:i/>
          <w:iCs/>
        </w:rPr>
        <w:t xml:space="preserve">Proof.</w:t>
      </w:r>
      <w:r>
        <w:t xml:space="preserve"> </w:t>
      </w:r>
      <w:r>
        <w:t xml:space="preserve">The algorithm checks all σ ∈ Σ. If no gap is found, then ∀σ ∈ Σ. ∃φᵢ. σ ⊨ φᵢ, which is the definition of completeness.</w:t>
      </w:r>
    </w:p>
    <w:p>
      <w:pPr>
        <w:pStyle w:val="BodyText"/>
      </w:pPr>
      <w:r>
        <w:rPr>
          <w:b/>
          <w:bCs/>
        </w:rPr>
        <w:t xml:space="preserve">Proposition 2 (Completeness of Exhaustive Mode).</w:t>
      </w:r>
      <w:r>
        <w:t xml:space="preserve"> </w:t>
      </w:r>
      <w:r>
        <w:t xml:space="preserve">If a gap exists, the exhaustive algorithm will find it (up to MAX_GAPS reporting limit).</w:t>
      </w:r>
    </w:p>
    <w:p>
      <w:pPr>
        <w:pStyle w:val="BodyText"/>
      </w:pPr>
      <w:r>
        <w:rPr>
          <w:b/>
          <w:bCs/>
        </w:rPr>
        <w:t xml:space="preserve">Remark (Boundary-Based Testing Limitations).</w:t>
      </w:r>
      <w:r>
        <w:t xml:space="preserve"> </w:t>
      </w:r>
      <w:r>
        <w:t xml:space="preserve">The boundary-based testing mode may produce false negatives (miss gaps that fall between sampled points). It is designed to maximize gap detection for common fee patterns by prioritizing boundary values, threshold values extracted from conditions, and representative samples.</w:t>
      </w:r>
      <w:r>
        <w:t xml:space="preserve"> </w:t>
      </w:r>
      <w:r>
        <w:rPr>
          <w:b/>
          <w:bCs/>
        </w:rPr>
        <w:t xml:space="preserve">This mode does not provide formal guarantees</w:t>
      </w:r>
      <w:r>
        <w:t xml:space="preserve">; users requiring provable completeness should ensure domain sizes permit exhaustive verification or employ manual analysis. The distinction between exhaustive verification with formal guarantees and heuristic sampling reflects fundamental tradeoffs in static analysis between precision and scalability [25].</w:t>
      </w:r>
    </w:p>
    <w:p>
      <w:pPr>
        <w:pStyle w:val="BodyText"/>
      </w:pPr>
      <w:r>
        <w:rPr>
          <w:b/>
          <w:bCs/>
        </w:rPr>
        <w:t xml:space="preserve">Example - Gap Detection:</w:t>
      </w:r>
    </w:p>
    <w:p>
      <w:pPr>
        <w:pStyle w:val="SourceCode"/>
      </w:pPr>
      <w:r>
        <w:rPr>
          <w:rStyle w:val="VerbatimChar"/>
        </w:rPr>
        <w:t xml:space="preserve">COMPUTE FEE ClaimFee</w:t>
      </w:r>
      <w:r>
        <w:br/>
      </w:r>
      <w:r>
        <w:rPr>
          <w:rStyle w:val="VerbatimChar"/>
        </w:rPr>
        <w:t xml:space="preserve">  YIELD 100&lt;EUR&gt; * (ClaimCount - 20) IF EntityType EQ Large AND ClaimCount GT 20</w:t>
      </w:r>
      <w:r>
        <w:br/>
      </w:r>
      <w:r>
        <w:rPr>
          <w:rStyle w:val="VerbatimChar"/>
        </w:rPr>
        <w:t xml:space="preserve">  YIELD 50&lt;EUR&gt; * (ClaimCount - 20) IF EntityType EQ Small AND ClaimCount GT 20</w:t>
      </w:r>
      <w:r>
        <w:br/>
      </w:r>
      <w:r>
        <w:rPr>
          <w:rStyle w:val="VerbatimChar"/>
        </w:rPr>
        <w:t xml:space="preserve">ENDCOMPUTE</w:t>
      </w:r>
      <w:r>
        <w:br/>
      </w:r>
      <w:r>
        <w:br/>
      </w:r>
      <w:r>
        <w:rPr>
          <w:rStyle w:val="VerbatimChar"/>
        </w:rPr>
        <w:t xml:space="preserve">VERIFY COMPLETE FEE ClaimFee</w:t>
      </w:r>
    </w:p>
    <w:p>
      <w:pPr>
        <w:pStyle w:val="FirstParagraph"/>
      </w:pPr>
      <w:r>
        <w:t xml:space="preserve">Output:</w:t>
      </w:r>
      <w:r>
        <w:t xml:space="preserve"> </w:t>
      </w:r>
      <w:r>
        <w:t xml:space="preserve">“Gap: {EntityType=Micro}”</w:t>
      </w:r>
      <w:r>
        <w:t xml:space="preserve"> </w:t>
      </w:r>
      <w:r>
        <w:t xml:space="preserve">and</w:t>
      </w:r>
      <w:r>
        <w:t xml:space="preserve"> </w:t>
      </w:r>
      <w:r>
        <w:t xml:space="preserve">“Gap: {ClaimCount ≤ 20}”</w:t>
      </w:r>
    </w:p>
    <w:bookmarkEnd w:id="45"/>
    <w:bookmarkEnd w:id="46"/>
    <w:bookmarkStart w:id="49" w:name="monotonicity-verification"/>
    <w:p>
      <w:pPr>
        <w:pStyle w:val="Heading3"/>
      </w:pPr>
      <w:r>
        <w:t xml:space="preserve">4.3 Monotonicity Verification</w:t>
      </w:r>
    </w:p>
    <w:p>
      <w:pPr>
        <w:pStyle w:val="FirstParagraph"/>
      </w:pPr>
      <w:r>
        <w:t xml:space="preserve">Fee schedules should exhibit predictable behavior: increasing claim count should never decrease the fee.</w:t>
      </w:r>
    </w:p>
    <w:p>
      <w:pPr>
        <w:pStyle w:val="BodyText"/>
      </w:pPr>
      <w:r>
        <w:rPr>
          <w:b/>
          <w:bCs/>
        </w:rPr>
        <w:t xml:space="preserve">[INSERT FIGURE 5: figures/figure7_monotonicity.mmd - Monotonicity Verification Process and Direction Types]</w:t>
      </w:r>
    </w:p>
    <w:bookmarkStart w:id="47" w:name="formal-definition"/>
    <w:p>
      <w:pPr>
        <w:pStyle w:val="Heading4"/>
      </w:pPr>
      <w:r>
        <w:t xml:space="preserve">4.3.1 Formal Definition</w:t>
      </w:r>
    </w:p>
    <w:p>
      <w:pPr>
        <w:pStyle w:val="FirstParagraph"/>
      </w:pPr>
      <w:r>
        <w:rPr>
          <w:b/>
          <w:bCs/>
        </w:rPr>
        <w:t xml:space="preserve">Definition 5 (Monotonicity).</w:t>
      </w:r>
      <w:r>
        <w:t xml:space="preserve"> </w:t>
      </w:r>
      <w:r>
        <w:t xml:space="preserve">Let f: Σ → ℝ be a fee function, x ∈ Vars a numeric input, and σ₋ₓ a partial valuation excluding x. Fee f is</w:t>
      </w:r>
      <w:r>
        <w:t xml:space="preserve"> </w:t>
      </w:r>
      <w:r>
        <w:rPr>
          <w:i/>
          <w:iCs/>
        </w:rPr>
        <w:t xml:space="preserve">non-decreasing</w:t>
      </w:r>
      <w:r>
        <w:t xml:space="preserve"> </w:t>
      </w:r>
      <w:r>
        <w:t xml:space="preserve">with respect to x if:</w:t>
      </w:r>
    </w:p>
    <w:p>
      <w:pPr>
        <w:pStyle w:val="BodyText"/>
      </w:pPr>
      <w:r>
        <w:t xml:space="preserve"> </w:t>
      </w:r>
      <w:r>
        <w:t xml:space="preserve"> </w:t>
      </w:r>
      <w:r>
        <w:t xml:space="preserve">∀</w:t>
      </w:r>
      <w:r>
        <w:t xml:space="preserve">σ</w:t>
      </w:r>
      <w:r>
        <w:t xml:space="preserve">−</w:t>
      </w:r>
      <w:r>
        <w:t xml:space="preserve">x</w:t>
      </w:r>
      <w:r>
        <w:t xml:space="preserve">.</w:t>
      </w:r>
      <w:r>
        <w:t xml:space="preserve"> </w:t>
      </w:r>
      <w:r>
        <w:t xml:space="preserve"> </w:t>
      </w:r>
      <w:r>
        <w:t xml:space="preserve">∀</w:t>
      </w:r>
      <w:r>
        <w:t xml:space="preserve">v</w:t>
      </w:r>
      <w:r>
        <w:t xml:space="preserve">1</w:t>
      </w:r>
      <w:r>
        <w:t xml:space="preserve">,</w:t>
      </w:r>
      <w:r>
        <w:t xml:space="preserve">v</w:t>
      </w:r>
      <w:r>
        <w:t xml:space="preserve">2</w:t>
      </w:r>
      <w:r>
        <w:t xml:space="preserve">∈</w:t>
      </w:r>
      <w:r>
        <w:t xml:space="preserve">Dom</w:t>
      </w:r>
      <w:r>
        <w:t xml:space="preserve">(</w:t>
      </w:r>
      <w:r>
        <w:t xml:space="preserve">x</w:t>
      </w:r>
      <w:r>
        <w:t xml:space="preserve">)</w:t>
      </w:r>
      <w:r>
        <w:t xml:space="preserve">.</w:t>
      </w:r>
      <w:r>
        <w:t xml:space="preserve"> </w:t>
      </w:r>
      <w:r>
        <w:t xml:space="preserve"> </w:t>
      </w:r>
      <w:r>
        <w:t xml:space="preserve">v</w:t>
      </w:r>
      <w:r>
        <w:t xml:space="preserve">1</w:t>
      </w:r>
      <w:r>
        <w:t xml:space="preserve">&lt;</w:t>
      </w:r>
      <w:r>
        <w:t xml:space="preserve">v</w:t>
      </w:r>
      <w:r>
        <w:t xml:space="preserve">2</w:t>
      </w:r>
      <w:r>
        <w:t xml:space="preserve"> </w:t>
      </w:r>
      <w:r>
        <w:t xml:space="preserve">⟹</w:t>
      </w:r>
      <w:r>
        <w:t xml:space="preserve"> </w:t>
      </w:r>
      <w:r>
        <w:t xml:space="preserve">f</w:t>
      </w:r>
      <w:r>
        <w:t xml:space="preserve">(</w:t>
      </w:r>
      <w:r>
        <w:t xml:space="preserve">σ</w:t>
      </w:r>
      <w:r>
        <w:t xml:space="preserve">−</w:t>
      </w:r>
      <w:r>
        <w:t xml:space="preserve">x</w:t>
      </w:r>
      <w:r>
        <w:t xml:space="preserve">[</w:t>
      </w:r>
      <w:r>
        <w:t xml:space="preserve">x</w:t>
      </w:r>
      <w:r>
        <w:t xml:space="preserve">↦</w:t>
      </w:r>
      <w:r>
        <w:t xml:space="preserve">v</w:t>
      </w:r>
      <w:r>
        <w:t xml:space="preserve">1</w:t>
      </w:r>
      <w:r>
        <w:t xml:space="preserve">]</w:t>
      </w:r>
      <w:r>
        <w:t xml:space="preserve">)</w:t>
      </w:r>
      <w:r>
        <w:t xml:space="preserve"> </w:t>
      </w:r>
      <w:r>
        <w:t xml:space="preserve">≤</w:t>
      </w:r>
      <w:r>
        <w:t xml:space="preserve"> </w:t>
      </w:r>
      <w:r>
        <w:t xml:space="preserve">f</w:t>
      </w:r>
      <w:r>
        <w:t xml:space="preserve">(</w:t>
      </w:r>
      <w:r>
        <w:t xml:space="preserve">σ</w:t>
      </w:r>
      <w:r>
        <w:t xml:space="preserve">−</w:t>
      </w:r>
      <w:r>
        <w:t xml:space="preserve">x</w:t>
      </w:r>
      <w:r>
        <w:t xml:space="preserve">[</w:t>
      </w:r>
      <w:r>
        <w:t xml:space="preserve">x</w:t>
      </w:r>
      <w:r>
        <w:t xml:space="preserve">↦</w:t>
      </w:r>
      <w:r>
        <w:t xml:space="preserve">v</w:t>
      </w:r>
      <w:r>
        <w:t xml:space="preserve">2</w:t>
      </w:r>
      <w:r>
        <w:t xml:space="preserve">]</w:t>
      </w:r>
      <w:r>
        <w:t xml:space="preserve">)</w:t>
      </w:r>
      <w:r>
        <w:t xml:space="preserve"> </w:t>
      </w:r>
      <w:r>
        <w:t xml:space="preserve"> </w:t>
      </w:r>
    </w:p>
    <w:p>
      <w:pPr>
        <w:pStyle w:val="BodyText"/>
      </w:pPr>
      <w:r>
        <w:t xml:space="preserve">Analogously:</w:t>
      </w:r>
      <w:r>
        <w:t xml:space="preserve"> </w:t>
      </w:r>
      <w:r>
        <w:rPr>
          <w:i/>
          <w:iCs/>
        </w:rPr>
        <w:t xml:space="preserve">non-increasing</w:t>
      </w:r>
      <w:r>
        <w:t xml:space="preserve"> </w:t>
      </w:r>
      <w:r>
        <w:t xml:space="preserve">(≥),</w:t>
      </w:r>
      <w:r>
        <w:t xml:space="preserve"> </w:t>
      </w:r>
      <w:r>
        <w:rPr>
          <w:i/>
          <w:iCs/>
        </w:rPr>
        <w:t xml:space="preserve">strictly increasing</w:t>
      </w:r>
      <w:r>
        <w:t xml:space="preserve"> </w:t>
      </w:r>
      <w:r>
        <w:t xml:space="preserve">(&gt;),</w:t>
      </w:r>
      <w:r>
        <w:t xml:space="preserve"> </w:t>
      </w:r>
      <w:r>
        <w:rPr>
          <w:i/>
          <w:iCs/>
        </w:rPr>
        <w:t xml:space="preserve">strictly decreasing</w:t>
      </w:r>
      <w:r>
        <w:t xml:space="preserve"> </w:t>
      </w:r>
      <w:r>
        <w:t xml:space="preserve">(&lt;).</w:t>
      </w:r>
    </w:p>
    <w:bookmarkEnd w:id="47"/>
    <w:bookmarkStart w:id="48" w:name="verification-algorithm"/>
    <w:p>
      <w:pPr>
        <w:pStyle w:val="Heading4"/>
      </w:pPr>
      <w:r>
        <w:t xml:space="preserve">4.3.2 Verification Algorithm</w:t>
      </w:r>
    </w:p>
    <w:p>
      <w:pPr>
        <w:pStyle w:val="SourceCode"/>
      </w:pPr>
      <w:r>
        <w:rPr>
          <w:rStyle w:val="VerbatimChar"/>
        </w:rPr>
        <w:t xml:space="preserve">Algorithm 2: Monotonicity Verification</w:t>
      </w:r>
      <w:r>
        <w:br/>
      </w:r>
      <w:r>
        <w:rPr>
          <w:rStyle w:val="VerbatimChar"/>
        </w:rPr>
        <w:t xml:space="preserve">─────────────────────────────────────────────────────────────────────</w:t>
      </w:r>
      <w:r>
        <w:br/>
      </w:r>
      <w:r>
        <w:rPr>
          <w:rStyle w:val="VerbatimChar"/>
        </w:rPr>
        <w:t xml:space="preserve">Input:  Fee f, numeric input x with domain Dₓ = [min, max]</w:t>
      </w:r>
      <w:r>
        <w:br/>
      </w:r>
      <w:r>
        <w:rPr>
          <w:rStyle w:val="VerbatimChar"/>
        </w:rPr>
        <w:t xml:space="preserve">        Other domains D₋ₓ, expected direction d</w:t>
      </w:r>
      <w:r>
        <w:br/>
      </w:r>
      <w:r>
        <w:rPr>
          <w:rStyle w:val="VerbatimChar"/>
        </w:rPr>
        <w:t xml:space="preserve">Output: (monotonic: Bool, violations: List⟨Violation⟩)</w:t>
      </w:r>
      <w:r>
        <w:br/>
      </w:r>
      <w:r>
        <w:br/>
      </w:r>
      <w:r>
        <w:rPr>
          <w:rStyle w:val="VerbatimChar"/>
        </w:rPr>
        <w:t xml:space="preserve"> 1: violations ← []</w:t>
      </w:r>
      <w:r>
        <w:br/>
      </w:r>
      <w:r>
        <w:rPr>
          <w:rStyle w:val="VerbatimChar"/>
        </w:rPr>
        <w:t xml:space="preserve"> 2: for each σ₋ₓ ∈ SampleRepresentative(D₋ₓ) do   // Context sampling</w:t>
      </w:r>
      <w:r>
        <w:br/>
      </w:r>
      <w:r>
        <w:rPr>
          <w:rStyle w:val="VerbatimChar"/>
        </w:rPr>
        <w:t xml:space="preserve"> 3:     V ← SampleMonotonic(Dₓ, 20)               // 20 ordered values</w:t>
      </w:r>
      <w:r>
        <w:br/>
      </w:r>
      <w:r>
        <w:rPr>
          <w:rStyle w:val="VerbatimChar"/>
        </w:rPr>
        <w:t xml:space="preserve"> 4:     prev_fee ← ⊥</w:t>
      </w:r>
      <w:r>
        <w:br/>
      </w:r>
      <w:r>
        <w:rPr>
          <w:rStyle w:val="VerbatimChar"/>
        </w:rPr>
        <w:t xml:space="preserve"> 5:     for each v ∈ sort(V) do</w:t>
      </w:r>
      <w:r>
        <w:br/>
      </w:r>
      <w:r>
        <w:rPr>
          <w:rStyle w:val="VerbatimChar"/>
        </w:rPr>
        <w:t xml:space="preserve"> 6:         curr_fee ← Evaluate(f, σ₋ₓ[x ↦ v])</w:t>
      </w:r>
      <w:r>
        <w:br/>
      </w:r>
      <w:r>
        <w:rPr>
          <w:rStyle w:val="VerbatimChar"/>
        </w:rPr>
        <w:t xml:space="preserve"> 7:         if prev_fee ≠ ⊥ then</w:t>
      </w:r>
      <w:r>
        <w:br/>
      </w:r>
      <w:r>
        <w:rPr>
          <w:rStyle w:val="VerbatimChar"/>
        </w:rPr>
        <w:t xml:space="preserve"> 8:             if Violates(prev_fee, curr_fee, d) then</w:t>
      </w:r>
      <w:r>
        <w:br/>
      </w:r>
      <w:r>
        <w:rPr>
          <w:rStyle w:val="VerbatimChar"/>
        </w:rPr>
        <w:t xml:space="preserve"> 9:                 violations.append((σ₋ₓ, prev_v, prev_fee, v, curr_fee))</w:t>
      </w:r>
      <w:r>
        <w:br/>
      </w:r>
      <w:r>
        <w:rPr>
          <w:rStyle w:val="VerbatimChar"/>
        </w:rPr>
        <w:t xml:space="preserve">10:         prev_fee ← curr_fee; prev_v ← v</w:t>
      </w:r>
      <w:r>
        <w:br/>
      </w:r>
      <w:r>
        <w:rPr>
          <w:rStyle w:val="VerbatimChar"/>
        </w:rPr>
        <w:t xml:space="preserve">11: return (violations = [], violations)</w:t>
      </w:r>
    </w:p>
    <w:p>
      <w:pPr>
        <w:pStyle w:val="FirstParagraph"/>
      </w:pPr>
      <w:r>
        <w:t xml:space="preserve">where Violates(p, c, d) returns true if and only if: d = NonDecreasing and c &lt; p; d = NonIncreasing and c &gt; p; d = StrictlyIncreasing and c ≤ p; or d = StrictlyDecreasing and c ≥ p.</w:t>
      </w:r>
    </w:p>
    <w:p>
      <w:pPr>
        <w:pStyle w:val="BodyText"/>
      </w:pPr>
      <w:r>
        <w:rPr>
          <w:b/>
          <w:bCs/>
        </w:rPr>
        <w:t xml:space="preserve">Remark (Currency Comparison).</w:t>
      </w:r>
      <w:r>
        <w:t xml:space="preserve"> </w:t>
      </w:r>
      <w:r>
        <w:t xml:space="preserve">Monotonicity verification compares fee values numerically. When f returns Amt[c], comparison uses the underlying numeric value; currency tags must match (guaranteed by type safety). Recent work on verification-preserving program transformations [26] demonstrates techniques for ensuring that program properties are maintained across transformations, providing theoretical foundations relevant to IPFLang’s verification approach.</w:t>
      </w:r>
    </w:p>
    <w:p>
      <w:pPr>
        <w:pStyle w:val="BodyText"/>
      </w:pPr>
      <w:r>
        <w:rPr>
          <w:b/>
          <w:bCs/>
        </w:rPr>
        <w:t xml:space="preserve">Example:</w:t>
      </w:r>
    </w:p>
    <w:p>
      <w:pPr>
        <w:pStyle w:val="SourceCode"/>
      </w:pPr>
      <w:r>
        <w:rPr>
          <w:rStyle w:val="VerbatimChar"/>
        </w:rPr>
        <w:t xml:space="preserve">VERIFY MONOTONIC FEE ExcessClaimsFee WITH RESPECT TO ClaimCount</w:t>
      </w:r>
      <w:r>
        <w:br/>
      </w:r>
      <w:r>
        <w:rPr>
          <w:rStyle w:val="VerbatimChar"/>
        </w:rPr>
        <w:t xml:space="preserve">VERIFY MONOTONIC FEE DiscountFee WITH RESPECT TO YearsInProgram DIRECTION NonIncreasing</w:t>
      </w:r>
    </w:p>
    <w:p>
      <w:r>
        <w:pict>
          <v:rect style="width:0;height:1.5pt" o:hralign="center" o:hrstd="t" o:hr="t"/>
        </w:pict>
      </w:r>
    </w:p>
    <w:bookmarkEnd w:id="48"/>
    <w:bookmarkEnd w:id="49"/>
    <w:bookmarkEnd w:id="50"/>
    <w:bookmarkStart w:id="53" w:name="provenance-and-auditability"/>
    <w:p>
      <w:pPr>
        <w:pStyle w:val="Heading2"/>
      </w:pPr>
      <w:r>
        <w:t xml:space="preserve">5. Provenance and Auditability</w:t>
      </w:r>
    </w:p>
    <w:bookmarkStart w:id="51" w:name="execution-tracing"/>
    <w:p>
      <w:pPr>
        <w:pStyle w:val="Heading3"/>
      </w:pPr>
      <w:r>
        <w:t xml:space="preserve">5.1 Execution Tracing</w:t>
      </w:r>
    </w:p>
    <w:p>
      <w:pPr>
        <w:pStyle w:val="FirstParagraph"/>
      </w:pPr>
      <w:r>
        <w:t xml:space="preserve">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pPr>
        <w:pStyle w:val="BodyText"/>
      </w:pPr>
      <w:r>
        <w:t xml:space="preserve">This trace enables practitioners to verify calculations against official schedules and assists in dispute resolution.</w:t>
      </w:r>
    </w:p>
    <w:p>
      <w:pPr>
        <w:pStyle w:val="BodyText"/>
      </w:pPr>
      <w:r>
        <w:rPr>
          <w:b/>
          <w:bCs/>
        </w:rPr>
        <w:t xml:space="preserve">[INSERT FIGURE 6: figures/figure3_provenance_structure.mmd - Provenance Record Structure]</w:t>
      </w:r>
    </w:p>
    <w:bookmarkEnd w:id="51"/>
    <w:bookmarkStart w:id="52" w:name="counterfactual-analysis"/>
    <w:p>
      <w:pPr>
        <w:pStyle w:val="Heading3"/>
      </w:pPr>
      <w:r>
        <w:t xml:space="preserve">5.2 Counterfactual Analysis</w:t>
      </w:r>
    </w:p>
    <w:p>
      <w:pPr>
        <w:pStyle w:val="FirstParagraph"/>
      </w:pPr>
      <w:r>
        <w:t xml:space="preserve">The counterfactual engine answers</w:t>
      </w:r>
      <w:r>
        <w:t xml:space="preserve"> </w:t>
      </w:r>
      <w:r>
        <w:t xml:space="preserve">“what-if”</w:t>
      </w:r>
      <w:r>
        <w:t xml:space="preserve"> </w:t>
      </w:r>
      <w:r>
        <w:t xml:space="preserve">questions: how would the total fee change if a specific input were different? For each input, the system computes alternative scenarios:</w:t>
      </w:r>
    </w:p>
    <w:p>
      <w:pPr>
        <w:pStyle w:val="SourceCode"/>
      </w:pPr>
      <w:r>
        <w:rPr>
          <w:rStyle w:val="VerbatimChar"/>
        </w:rPr>
        <w:t xml:space="preserve">$ ipflang run filing.ipf --inputs params.json --counterfactuals</w:t>
      </w:r>
      <w:r>
        <w:br/>
      </w:r>
      <w:r>
        <w:br/>
      </w:r>
      <w:r>
        <w:rPr>
          <w:rStyle w:val="VerbatimChar"/>
        </w:rPr>
        <w:t xml:space="preserve">Counterfactual Analysis:</w:t>
      </w:r>
      <w:r>
        <w:br/>
      </w:r>
      <w:r>
        <w:rPr>
          <w:rStyle w:val="VerbatimChar"/>
        </w:rPr>
        <w:t xml:space="preserve">  If EntityType were SmallEntity instead of LargeEntity:</w:t>
      </w:r>
      <w:r>
        <w:br/>
      </w:r>
      <w:r>
        <w:rPr>
          <w:rStyle w:val="VerbatimChar"/>
        </w:rPr>
        <w:t xml:space="preserve">    FilingFee: 1820 -&gt; 910 (difference: -910)</w:t>
      </w:r>
      <w:r>
        <w:br/>
      </w:r>
      <w:r>
        <w:rPr>
          <w:rStyle w:val="VerbatimChar"/>
        </w:rPr>
        <w:t xml:space="preserve">    Total: 2540 -&gt; 1630 (difference: -910)</w:t>
      </w:r>
    </w:p>
    <w:p>
      <w:pPr>
        <w:pStyle w:val="FirstParagraph"/>
      </w:pPr>
      <w:r>
        <w:t xml:space="preserve">This capability supports budget planning, client advisory, and regulatory impact assessment.</w:t>
      </w:r>
    </w:p>
    <w:p>
      <w:r>
        <w:pict>
          <v:rect style="width:0;height:1.5pt" o:hralign="center" o:hrstd="t" o:hr="t"/>
        </w:pict>
      </w:r>
    </w:p>
    <w:bookmarkEnd w:id="52"/>
    <w:bookmarkEnd w:id="53"/>
    <w:bookmarkStart w:id="58" w:name="reference-implementation"/>
    <w:p>
      <w:pPr>
        <w:pStyle w:val="Heading2"/>
      </w:pPr>
      <w:r>
        <w:t xml:space="preserve">6. Reference Implementation</w:t>
      </w:r>
    </w:p>
    <w:bookmarkStart w:id="54" w:name="architecture-overview"/>
    <w:p>
      <w:pPr>
        <w:pStyle w:val="Heading3"/>
      </w:pPr>
      <w:r>
        <w:t xml:space="preserve">6.1 Architecture Overview</w:t>
      </w:r>
    </w:p>
    <w:p>
      <w:pPr>
        <w:pStyle w:val="FirstParagraph"/>
      </w:pPr>
      <w:r>
        <w:rPr>
          <w:b/>
          <w:bCs/>
        </w:rPr>
        <w:t xml:space="preserve">[INSERT FIGURE 7: figures/figure4_architecture.mmd - IPFLang Engine Architecture]</w:t>
      </w:r>
    </w:p>
    <w:p>
      <w:pPr>
        <w:pStyle w:val="BodyText"/>
      </w:pPr>
      <w:r>
        <w:t xml:space="preserve">The IPFLang reference implementation comprises approximately 15,000 lines of C# targeting .NET 10.0, organized into modular subsystems:</w:t>
      </w:r>
    </w:p>
    <w:p>
      <w:pPr>
        <w:pStyle w:val="BodyText"/>
      </w:pPr>
      <w:r>
        <w:rPr>
          <w:b/>
          <w:bCs/>
        </w:rPr>
        <w:t xml:space="preserve">Parser Module:</w:t>
      </w:r>
      <w:r>
        <w:t xml:space="preserve"> </w:t>
      </w:r>
      <w:r>
        <w:t xml:space="preserve">Lexical analysis, recursive descent parsing [17], and AST construction with comprehensive error reporting including line numbers and expected tokens.</w:t>
      </w:r>
    </w:p>
    <w:p>
      <w:pPr>
        <w:pStyle w:val="BodyText"/>
      </w:pPr>
      <w:r>
        <w:rPr>
          <w:b/>
          <w:bCs/>
        </w:rPr>
        <w:t xml:space="preserve">Semantic Checker:</w:t>
      </w:r>
      <w:r>
        <w:t xml:space="preserve"> </w:t>
      </w:r>
      <w:r>
        <w:t xml:space="preserve">Type validation ensuring identifier resolution, type compatibility, constraint validation, and circular dependency detection in LET statements.</w:t>
      </w:r>
    </w:p>
    <w:p>
      <w:pPr>
        <w:pStyle w:val="BodyText"/>
      </w:pPr>
      <w:r>
        <w:rPr>
          <w:b/>
          <w:bCs/>
        </w:rPr>
        <w:t xml:space="preserve">Type System:</w:t>
      </w:r>
      <w:r>
        <w:t xml:space="preserve"> </w:t>
      </w:r>
      <w:r>
        <w:t xml:space="preserve">Currency-aware type checking with 161 ISO 4217 currencies, polymorphic type support, and detailed type error reporting.</w:t>
      </w:r>
    </w:p>
    <w:p>
      <w:pPr>
        <w:pStyle w:val="BodyText"/>
      </w:pPr>
      <w:r>
        <w:rPr>
          <w:b/>
          <w:bCs/>
        </w:rPr>
        <w:t xml:space="preserve">Evaluator:</w:t>
      </w:r>
      <w:r>
        <w:t xml:space="preserve"> </w:t>
      </w:r>
      <w:r>
        <w:t xml:space="preserve">Depth-first AST traversal with environment binding for expression evaluation.</w:t>
      </w:r>
    </w:p>
    <w:p>
      <w:pPr>
        <w:pStyle w:val="BodyText"/>
      </w:pPr>
      <w:r>
        <w:rPr>
          <w:b/>
          <w:bCs/>
        </w:rPr>
        <w:t xml:space="preserve">Analysis Module:</w:t>
      </w:r>
      <w:r>
        <w:t xml:space="preserve"> </w:t>
      </w:r>
      <w:r>
        <w:t xml:space="preserve">Completeness checker with exhaustive and sampling modes, monotonicity checker with four direction types, domain analyzer, and condition extractor.</w:t>
      </w:r>
    </w:p>
    <w:p>
      <w:pPr>
        <w:pStyle w:val="BodyText"/>
      </w:pPr>
      <w:r>
        <w:rPr>
          <w:b/>
          <w:bCs/>
        </w:rPr>
        <w:t xml:space="preserve">Provenance Module:</w:t>
      </w:r>
      <w:r>
        <w:t xml:space="preserve"> </w:t>
      </w:r>
      <w:r>
        <w:t xml:space="preserve">Audit trail recording, counterfactual engine for what-if analysis, and provenance export formatting.</w:t>
      </w:r>
    </w:p>
    <w:p>
      <w:pPr>
        <w:pStyle w:val="BodyText"/>
      </w:pPr>
      <w:r>
        <w:rPr>
          <w:b/>
          <w:bCs/>
        </w:rPr>
        <w:t xml:space="preserve">Versioning Module:</w:t>
      </w:r>
      <w:r>
        <w:t xml:space="preserve"> </w:t>
      </w:r>
      <w:r>
        <w:t xml:space="preserve">Version metadata management, diff engine for version comparison, impact analyzer, and temporal query support.</w:t>
      </w:r>
    </w:p>
    <w:p>
      <w:pPr>
        <w:pStyle w:val="BodyText"/>
      </w:pPr>
      <w:r>
        <w:rPr>
          <w:b/>
          <w:bCs/>
        </w:rPr>
        <w:t xml:space="preserve">Composition Module:</w:t>
      </w:r>
      <w:r>
        <w:t xml:space="preserve"> </w:t>
      </w:r>
      <w:r>
        <w:t xml:space="preserve">Jurisdiction inheritance with input/fee merging, override detection, and inheritance analysis reporting.</w:t>
      </w:r>
    </w:p>
    <w:bookmarkEnd w:id="54"/>
    <w:bookmarkStart w:id="55" w:name="command-line-interface"/>
    <w:p>
      <w:pPr>
        <w:pStyle w:val="Heading3"/>
      </w:pPr>
      <w:r>
        <w:t xml:space="preserve">6.2 Command-Line Interface</w:t>
      </w:r>
    </w:p>
    <w:p>
      <w:pPr>
        <w:pStyle w:val="FirstParagraph"/>
      </w:pPr>
      <w:r>
        <w:t xml:space="preserve">The CLI provides five commands:</w:t>
      </w:r>
    </w:p>
    <w:p>
      <w:pPr>
        <w:pStyle w:val="BodyText"/>
      </w:pPr>
      <w:r>
        <w:rPr>
          <w:b/>
          <w:bCs/>
        </w:rPr>
        <w:t xml:space="preserve">parse</w:t>
      </w:r>
      <w:r>
        <w:t xml:space="preserve"> </w:t>
      </w:r>
      <w:r>
        <w:t xml:space="preserve">- Validate syntax and types:</w:t>
      </w:r>
    </w:p>
    <w:p>
      <w:pPr>
        <w:pStyle w:val="SourceCode"/>
      </w:pPr>
      <w:r>
        <w:rPr>
          <w:rStyle w:val="ExtensionTok"/>
        </w:rPr>
        <w:t xml:space="preserve">ipflang</w:t>
      </w:r>
      <w:r>
        <w:rPr>
          <w:rStyle w:val="NormalTok"/>
        </w:rPr>
        <w:t xml:space="preserve"> parse filing.ipf</w:t>
      </w:r>
    </w:p>
    <w:p>
      <w:pPr>
        <w:pStyle w:val="FirstParagraph"/>
      </w:pPr>
      <w:r>
        <w:rPr>
          <w:b/>
          <w:bCs/>
        </w:rPr>
        <w:t xml:space="preserve">run</w:t>
      </w:r>
      <w:r>
        <w:t xml:space="preserve"> </w:t>
      </w:r>
      <w:r>
        <w:t xml:space="preserve">- Execute fee calculation:</w:t>
      </w:r>
    </w:p>
    <w:p>
      <w:pPr>
        <w:pStyle w:val="SourceCode"/>
      </w:pPr>
      <w:r>
        <w:rPr>
          <w:rStyle w:val="ExtensionTok"/>
        </w:rPr>
        <w:t xml:space="preserve">ipflang</w:t>
      </w:r>
      <w:r>
        <w:rPr>
          <w:rStyle w:val="NormalTok"/>
        </w:rPr>
        <w:t xml:space="preserve"> run filing.ipf </w:t>
      </w:r>
      <w:r>
        <w:rPr>
          <w:rStyle w:val="AttributeTok"/>
        </w:rPr>
        <w:t xml:space="preserve">--inputs</w:t>
      </w:r>
      <w:r>
        <w:rPr>
          <w:rStyle w:val="NormalTok"/>
        </w:rPr>
        <w:t xml:space="preserve"> params.json </w:t>
      </w:r>
      <w:r>
        <w:rPr>
          <w:rStyle w:val="PreprocessorTok"/>
        </w:rPr>
        <w:t xml:space="preserve">[--</w:t>
      </w:r>
      <w:r>
        <w:rPr>
          <w:rStyle w:val="SpecialStringTok"/>
        </w:rPr>
        <w:t xml:space="preserve">provenance</w:t>
      </w:r>
      <w:r>
        <w:rPr>
          <w:rStyle w:val="PreprocessorTok"/>
        </w:rPr>
        <w:t xml:space="preserve">]</w:t>
      </w:r>
      <w:r>
        <w:rPr>
          <w:rStyle w:val="NormalTok"/>
        </w:rPr>
        <w:t xml:space="preserve"> </w:t>
      </w:r>
      <w:r>
        <w:rPr>
          <w:rStyle w:val="PreprocessorTok"/>
        </w:rPr>
        <w:t xml:space="preserve">[--</w:t>
      </w:r>
      <w:r>
        <w:rPr>
          <w:rStyle w:val="SpecialStringTok"/>
        </w:rPr>
        <w:t xml:space="preserve">counterfactuals</w:t>
      </w:r>
      <w:r>
        <w:rPr>
          <w:rStyle w:val="PreprocessorTok"/>
        </w:rPr>
        <w:t xml:space="preserve">]</w:t>
      </w:r>
    </w:p>
    <w:p>
      <w:pPr>
        <w:pStyle w:val="FirstParagraph"/>
      </w:pPr>
      <w:r>
        <w:rPr>
          <w:b/>
          <w:bCs/>
        </w:rPr>
        <w:t xml:space="preserve">verify</w:t>
      </w:r>
      <w:r>
        <w:t xml:space="preserve"> </w:t>
      </w:r>
      <w:r>
        <w:t xml:space="preserve">- Run verification directives:</w:t>
      </w:r>
    </w:p>
    <w:p>
      <w:pPr>
        <w:pStyle w:val="SourceCode"/>
      </w:pPr>
      <w:r>
        <w:rPr>
          <w:rStyle w:val="ExtensionTok"/>
        </w:rPr>
        <w:t xml:space="preserve">ipflang</w:t>
      </w:r>
      <w:r>
        <w:rPr>
          <w:rStyle w:val="NormalTok"/>
        </w:rPr>
        <w:t xml:space="preserve"> verify filing.ipf</w:t>
      </w:r>
    </w:p>
    <w:p>
      <w:pPr>
        <w:pStyle w:val="FirstParagraph"/>
      </w:pPr>
      <w:r>
        <w:rPr>
          <w:b/>
          <w:bCs/>
        </w:rPr>
        <w:t xml:space="preserve">info</w:t>
      </w:r>
      <w:r>
        <w:t xml:space="preserve"> </w:t>
      </w:r>
      <w:r>
        <w:t xml:space="preserve">- Display script metadata:</w:t>
      </w:r>
    </w:p>
    <w:p>
      <w:pPr>
        <w:pStyle w:val="SourceCode"/>
      </w:pPr>
      <w:r>
        <w:rPr>
          <w:rStyle w:val="ExtensionTok"/>
        </w:rPr>
        <w:t xml:space="preserve">ipflang</w:t>
      </w:r>
      <w:r>
        <w:rPr>
          <w:rStyle w:val="NormalTok"/>
        </w:rPr>
        <w:t xml:space="preserve"> info filing.ipf</w:t>
      </w:r>
    </w:p>
    <w:p>
      <w:pPr>
        <w:pStyle w:val="FirstParagraph"/>
      </w:pPr>
      <w:r>
        <w:rPr>
          <w:b/>
          <w:bCs/>
        </w:rPr>
        <w:t xml:space="preserve">compose</w:t>
      </w:r>
      <w:r>
        <w:t xml:space="preserve"> </w:t>
      </w:r>
      <w:r>
        <w:t xml:space="preserve">- Combine jurisdictions:</w:t>
      </w:r>
    </w:p>
    <w:p>
      <w:pPr>
        <w:pStyle w:val="SourceCode"/>
      </w:pPr>
      <w:r>
        <w:rPr>
          <w:rStyle w:val="ExtensionTok"/>
        </w:rPr>
        <w:t xml:space="preserve">ipflang</w:t>
      </w:r>
      <w:r>
        <w:rPr>
          <w:rStyle w:val="NormalTok"/>
        </w:rPr>
        <w:t xml:space="preserve"> compose base.ipf national.ipf </w:t>
      </w:r>
      <w:r>
        <w:rPr>
          <w:rStyle w:val="PreprocessorTok"/>
        </w:rPr>
        <w:t xml:space="preserve">[--</w:t>
      </w:r>
      <w:r>
        <w:rPr>
          <w:rStyle w:val="SpecialStringTok"/>
        </w:rPr>
        <w:t xml:space="preserve">analysis</w:t>
      </w:r>
      <w:r>
        <w:rPr>
          <w:rStyle w:val="PreprocessorTok"/>
        </w:rPr>
        <w:t xml:space="preserve">]</w:t>
      </w:r>
    </w:p>
    <w:bookmarkEnd w:id="55"/>
    <w:bookmarkStart w:id="56" w:name="inputoutput-formats"/>
    <w:p>
      <w:pPr>
        <w:pStyle w:val="Heading3"/>
      </w:pPr>
      <w:r>
        <w:t xml:space="preserve">6.3 Input/Output Formats</w:t>
      </w:r>
    </w:p>
    <w:p>
      <w:pPr>
        <w:pStyle w:val="FirstParagraph"/>
      </w:pPr>
      <w:r>
        <w:rPr>
          <w:b/>
          <w:bCs/>
        </w:rPr>
        <w:t xml:space="preserve">Input (JSON):</w:t>
      </w:r>
    </w:p>
    <w:p>
      <w:pPr>
        <w:pStyle w:val="SourceCode"/>
      </w:pPr>
      <w:r>
        <w:rPr>
          <w:rStyle w:val="FunctionTok"/>
        </w:rPr>
        <w:t xml:space="preserve">{</w:t>
      </w:r>
      <w:r>
        <w:br/>
      </w:r>
      <w:r>
        <w:rPr>
          <w:rStyle w:val="NormalTok"/>
        </w:rPr>
        <w:t xml:space="preserve">  </w:t>
      </w:r>
      <w:r>
        <w:rPr>
          <w:rStyle w:val="DataTypeTok"/>
        </w:rPr>
        <w:t xml:space="preserve">"EntityType"</w:t>
      </w:r>
      <w:r>
        <w:rPr>
          <w:rStyle w:val="FunctionTok"/>
        </w:rPr>
        <w:t xml:space="preserve">:</w:t>
      </w:r>
      <w:r>
        <w:rPr>
          <w:rStyle w:val="NormalTok"/>
        </w:rPr>
        <w:t xml:space="preserve"> </w:t>
      </w:r>
      <w:r>
        <w:rPr>
          <w:rStyle w:val="StringTok"/>
        </w:rPr>
        <w:t xml:space="preserve">"SmallEntity"</w:t>
      </w:r>
      <w:r>
        <w:rPr>
          <w:rStyle w:val="FunctionTok"/>
        </w:rPr>
        <w:t xml:space="preserve">,</w:t>
      </w:r>
      <w:r>
        <w:br/>
      </w:r>
      <w:r>
        <w:rPr>
          <w:rStyle w:val="NormalTok"/>
        </w:rPr>
        <w:t xml:space="preserve">  </w:t>
      </w:r>
      <w:r>
        <w:rPr>
          <w:rStyle w:val="DataTypeTok"/>
        </w:rPr>
        <w:t xml:space="preserve">"ClaimCount"</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"RequestsExamination"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"FilingDate"</w:t>
      </w:r>
      <w:r>
        <w:rPr>
          <w:rStyle w:val="FunctionTok"/>
        </w:rPr>
        <w:t xml:space="preserve">:</w:t>
      </w:r>
      <w:r>
        <w:rPr>
          <w:rStyle w:val="NormalTok"/>
        </w:rPr>
        <w:t xml:space="preserve"> </w:t>
      </w:r>
      <w:r>
        <w:rPr>
          <w:rStyle w:val="StringTok"/>
        </w:rPr>
        <w:t xml:space="preserve">"2024-01-15"</w:t>
      </w:r>
      <w:r>
        <w:br/>
      </w:r>
      <w:r>
        <w:rPr>
          <w:rStyle w:val="FunctionTok"/>
        </w:rPr>
        <w:t xml:space="preserve">}</w:t>
      </w:r>
    </w:p>
    <w:p>
      <w:pPr>
        <w:pStyle w:val="FirstParagraph"/>
      </w:pPr>
      <w:r>
        <w:rPr>
          <w:b/>
          <w:bCs/>
        </w:rPr>
        <w:t xml:space="preserve">Output:</w:t>
      </w:r>
    </w:p>
    <w:p>
      <w:pPr>
        <w:pStyle w:val="SourceCode"/>
      </w:pPr>
      <w:r>
        <w:rPr>
          <w:rStyle w:val="VerbatimChar"/>
        </w:rPr>
        <w:t xml:space="preserve">Fee Calculation Results</w:t>
      </w:r>
      <w:r>
        <w:br/>
      </w:r>
      <w:r>
        <w:rPr>
          <w:rStyle w:val="VerbatimChar"/>
        </w:rPr>
        <w:t xml:space="preserve">=======================</w:t>
      </w:r>
      <w:r>
        <w:br/>
      </w:r>
      <w:r>
        <w:rPr>
          <w:rStyle w:val="VerbatimChar"/>
        </w:rPr>
        <w:t xml:space="preserve">Filing Fee:        EUR 135.00</w:t>
      </w:r>
      <w:r>
        <w:br/>
      </w:r>
      <w:r>
        <w:rPr>
          <w:rStyle w:val="VerbatimChar"/>
        </w:rPr>
        <w:t xml:space="preserve">Designation Fee:   EUR 660.00</w:t>
      </w:r>
      <w:r>
        <w:br/>
      </w:r>
      <w:r>
        <w:rPr>
          <w:rStyle w:val="VerbatimChar"/>
        </w:rPr>
        <w:t xml:space="preserve">Excess Claims Fee: EUR 2,650.00</w:t>
      </w:r>
      <w:r>
        <w:br/>
      </w:r>
      <w:r>
        <w:rPr>
          <w:rStyle w:val="VerbatimChar"/>
        </w:rPr>
        <w:t xml:space="preserve">Search Fee:        EUR 1,460.00</w:t>
      </w:r>
      <w:r>
        <w:br/>
      </w:r>
      <w:r>
        <w:rPr>
          <w:rStyle w:val="VerbatimChar"/>
        </w:rPr>
        <w:t xml:space="preserve">----------------------------</w:t>
      </w:r>
      <w:r>
        <w:br/>
      </w:r>
      <w:r>
        <w:rPr>
          <w:rStyle w:val="VerbatimChar"/>
        </w:rPr>
        <w:t xml:space="preserve">Total:             EUR 4,905.00</w:t>
      </w:r>
    </w:p>
    <w:bookmarkEnd w:id="56"/>
    <w:bookmarkStart w:id="57" w:name="source-code-availability"/>
    <w:p>
      <w:pPr>
        <w:pStyle w:val="Heading3"/>
      </w:pPr>
      <w:r>
        <w:t xml:space="preserve">6.4 Source Code Availability</w:t>
      </w:r>
    </w:p>
    <w:p>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w:t>
      </w:r>
      <w:r>
        <w:t xml:space="preserve"> </w:t>
      </w:r>
      <w:r>
        <w:rPr>
          <w:rStyle w:val="VerbatimChar"/>
        </w:rPr>
        <w:t xml:space="preserve">examples/</w:t>
      </w:r>
      <w:r>
        <w:t xml:space="preserve"> </w:t>
      </w:r>
      <w:r>
        <w:t xml:space="preserve">directory (approximately 1,700 lines of DSL code) demonstrating language features, 118 production jurisdiction files plus 4 regional base files in the</w:t>
      </w:r>
      <w:r>
        <w:t xml:space="preserve"> </w:t>
      </w:r>
      <w:r>
        <w:rPr>
          <w:rStyle w:val="VerbatimChar"/>
        </w:rPr>
        <w:t xml:space="preserve">jurisdictions/</w:t>
      </w:r>
      <w:r>
        <w:t xml:space="preserve"> </w:t>
      </w:r>
      <w:r>
        <w:t xml:space="preserve">directory covering PCT national/regional phase entry fees (approximately 21,800 lines of DSL code), and documentation with syntax reference.</w:t>
      </w:r>
    </w:p>
    <w:p>
      <w:r>
        <w:pict>
          <v:rect style="width:0;height:1.5pt" o:hralign="center" o:hrstd="t" o:hr="t"/>
        </w:pict>
      </w:r>
    </w:p>
    <w:bookmarkEnd w:id="57"/>
    <w:bookmarkEnd w:id="58"/>
    <w:bookmarkStart w:id="63" w:name="evaluation"/>
    <w:p>
      <w:pPr>
        <w:pStyle w:val="Heading2"/>
      </w:pPr>
      <w:r>
        <w:t xml:space="preserve">7. Evaluation</w:t>
      </w:r>
    </w:p>
    <w:bookmarkStart w:id="59" w:name="representative-examples"/>
    <w:p>
      <w:pPr>
        <w:pStyle w:val="Heading3"/>
      </w:pPr>
      <w:r>
        <w:t xml:space="preserve">7.1 Representative Examples</w:t>
      </w:r>
    </w:p>
    <w:p>
      <w:pPr>
        <w:pStyle w:val="FirstParagraph"/>
      </w:pPr>
      <w:r>
        <w:rPr>
          <w:b/>
          <w:bCs/>
        </w:rPr>
        <w:t xml:space="preserve">[INSERT FIGURE 8: figures/figure8_jurisdiction_coverage.mmd - PCT National/Regional Phase Jurisdiction Coverage]</w:t>
      </w:r>
    </w:p>
    <w:p>
      <w:pPr>
        <w:pStyle w:val="BodyText"/>
      </w:pPr>
      <w:r>
        <w:t xml:space="preserve">The implementation includes 20 IPFLang example files in the</w:t>
      </w:r>
      <w:r>
        <w:t xml:space="preserve"> </w:t>
      </w:r>
      <w:r>
        <w:rPr>
          <w:rStyle w:val="VerbatimChar"/>
        </w:rPr>
        <w:t xml:space="preserve">examples/</w:t>
      </w:r>
      <w:r>
        <w:t xml:space="preserve"> </w:t>
      </w:r>
      <w:r>
        <w:t xml:space="preserve">directory demonstrating language expressiveness across diverse fee structure patterns, plus</w:t>
      </w:r>
      <w:r>
        <w:t xml:space="preserve"> </w:t>
      </w:r>
      <w:r>
        <w:rPr>
          <w:b/>
          <w:bCs/>
        </w:rPr>
        <w:t xml:space="preserve">118 production-ready jurisdiction files</w:t>
      </w:r>
      <w:r>
        <w:t xml:space="preserve"> </w:t>
      </w:r>
      <w:r>
        <w:t xml:space="preserve">in the</w:t>
      </w:r>
      <w:r>
        <w:t xml:space="preserve"> </w:t>
      </w:r>
      <w:r>
        <w:rPr>
          <w:rStyle w:val="VerbatimChar"/>
        </w:rPr>
        <w:t xml:space="preserve">jurisdictions/</w:t>
      </w:r>
      <w:r>
        <w:t xml:space="preserve"> </w:t>
      </w:r>
      <w:r>
        <w:t xml:space="preserve">directory covering PCT national/regional phase entry fees for all major patent offices worldwide.</w:t>
      </w:r>
    </w:p>
    <w:p>
      <w:pPr>
        <w:pStyle w:val="BodyText"/>
      </w:pPr>
      <w:r>
        <w:t xml:space="preserve">Real-world fee schedules are represented by EPO filing fees with multi-tiered claim pricing and ISA-dependent search fees, as well as a USPTO complete fee calculator with entity-based discounts and excess claim calculations.</w:t>
      </w:r>
    </w:p>
    <w:p>
      <w:pPr>
        <w:pStyle w:val="BodyText"/>
      </w:pPr>
      <w:r>
        <w:t xml:space="preserve">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pPr>
        <w:pStyle w:val="BodyText"/>
      </w:pPr>
      <w:r>
        <w:t xml:space="preserve">Error detection examples cover mixed currency arithmetic (EUR + USD), incomplete fee coverage, non-monotonic fee behavior, invalid currency codes, and undefined variable references.</w:t>
      </w:r>
    </w:p>
    <w:p>
      <w:pPr>
        <w:pStyle w:val="BodyText"/>
      </w:pPr>
      <w:r>
        <w:t xml:space="preserve">The 118 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bookmarkEnd w:id="59"/>
    <w:bookmarkStart w:id="60" w:name="jurisdiction-file-validation"/>
    <w:p>
      <w:pPr>
        <w:pStyle w:val="Heading3"/>
      </w:pPr>
      <w:r>
        <w:t xml:space="preserve">7.2 Jurisdiction File Validation</w:t>
      </w:r>
    </w:p>
    <w:p>
      <w:pPr>
        <w:pStyle w:val="FirstParagraph"/>
      </w:pPr>
      <w:r>
        <w:t xml:space="preserve">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pPr>
        <w:pStyle w:val="BodyText"/>
      </w:pPr>
      <w:r>
        <w:t xml:space="preserve">The jurisdiction files are organized hierarchically with 4 regional base files defining common fee structures:</w:t>
      </w:r>
      <w:r>
        <w:t xml:space="preserve"> </w:t>
      </w:r>
      <w:r>
        <w:t xml:space="preserve">-</w:t>
      </w:r>
      <w:r>
        <w:t xml:space="preserve"> </w:t>
      </w:r>
      <w:r>
        <w:rPr>
          <w:b/>
          <w:bCs/>
        </w:rPr>
        <w:t xml:space="preserve">base_ep.ipf</w:t>
      </w:r>
      <w:r>
        <w:t xml:space="preserve">: European Patent Convention member states (38 countries)</w:t>
      </w:r>
      <w:r>
        <w:t xml:space="preserve"> </w:t>
      </w:r>
      <w:r>
        <w:t xml:space="preserve">-</w:t>
      </w:r>
      <w:r>
        <w:t xml:space="preserve"> </w:t>
      </w:r>
      <w:r>
        <w:rPr>
          <w:b/>
          <w:bCs/>
        </w:rPr>
        <w:t xml:space="preserve">base_ea.ipf</w:t>
      </w:r>
      <w:r>
        <w:t xml:space="preserve">: Eurasian Patent Organization member states (9 countries)</w:t>
      </w:r>
      <w:r>
        <w:br/>
      </w:r>
      <w:r>
        <w:t xml:space="preserve">-</w:t>
      </w:r>
      <w:r>
        <w:t xml:space="preserve"> </w:t>
      </w:r>
      <w:r>
        <w:rPr>
          <w:b/>
          <w:bCs/>
        </w:rPr>
        <w:t xml:space="preserve">base_ap.ipf</w:t>
      </w:r>
      <w:r>
        <w:t xml:space="preserve">: African Regional Intellectual Property Organization (ARIPO) member states (19 countries)</w:t>
      </w:r>
      <w:r>
        <w:t xml:space="preserve"> </w:t>
      </w:r>
      <w:r>
        <w:t xml:space="preserve">-</w:t>
      </w:r>
      <w:r>
        <w:t xml:space="preserve"> </w:t>
      </w:r>
      <w:r>
        <w:rPr>
          <w:b/>
          <w:bCs/>
        </w:rPr>
        <w:t xml:space="preserve">base_oa.ipf</w:t>
      </w:r>
      <w:r>
        <w:t xml:space="preserve">: African Intellectual Property Organization (OAPI) member states (17 countries)</w:t>
      </w:r>
    </w:p>
    <w:p>
      <w:pPr>
        <w:pStyle w:val="BodyText"/>
      </w:pPr>
      <w:r>
        <w:t xml:space="preserve">Individual jurisdiction files either stand alone or inherit from and extend their regional base using the COMPOSE directive.</w:t>
      </w:r>
    </w:p>
    <w:p>
      <w:pPr>
        <w:pStyle w:val="BodyText"/>
      </w:pPr>
      <w:r>
        <w:t xml:space="preserve">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bookmarkEnd w:id="60"/>
    <w:bookmarkStart w:id="61" w:name="test-suite"/>
    <w:p>
      <w:pPr>
        <w:pStyle w:val="Heading3"/>
      </w:pPr>
      <w:r>
        <w:t xml:space="preserve">7.3 Test Suite</w:t>
      </w:r>
    </w:p>
    <w:p>
      <w:pPr>
        <w:pStyle w:val="FirstParagraph"/>
      </w:pPr>
      <w:r>
        <w:t xml:space="preserve">The test suite comprises 260 test methods across 18 test categories covering: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Tests</w:t>
            </w:r>
          </w:p>
        </w:tc>
        <w:tc>
          <w:tcPr/>
          <w:p>
            <w:pPr>
              <w:pStyle w:val="Compact"/>
            </w:pPr>
            <w:r>
              <w:t xml:space="preserve">Coverage</w:t>
            </w:r>
          </w:p>
        </w:tc>
      </w:tr>
      <w:tr>
        <w:tc>
          <w:tcPr/>
          <w:p>
            <w:pPr>
              <w:pStyle w:val="Compact"/>
            </w:pPr>
            <w:r>
              <w:t xml:space="preserve">Calculator operations</w:t>
            </w:r>
          </w:p>
        </w:tc>
        <w:tc>
          <w:tcPr/>
          <w:p>
            <w:pPr>
              <w:pStyle w:val="Compact"/>
            </w:pPr>
            <w:r>
              <w:t xml:space="preserve">15</w:t>
            </w:r>
          </w:p>
        </w:tc>
        <w:tc>
          <w:tcPr/>
          <w:p>
            <w:pPr>
              <w:pStyle w:val="Compact"/>
            </w:pPr>
            <w:r>
              <w:t xml:space="preserve">Basic fee computation</w:t>
            </w:r>
          </w:p>
        </w:tc>
      </w:tr>
      <w:tr>
        <w:tc>
          <w:tcPr/>
          <w:p>
            <w:pPr>
              <w:pStyle w:val="Compact"/>
            </w:pPr>
            <w:r>
              <w:t xml:space="preserve">Currency type safety</w:t>
            </w:r>
          </w:p>
        </w:tc>
        <w:tc>
          <w:tcPr/>
          <w:p>
            <w:pPr>
              <w:pStyle w:val="Compact"/>
            </w:pPr>
            <w:r>
              <w:t xml:space="preserve">31</w:t>
            </w:r>
          </w:p>
        </w:tc>
        <w:tc>
          <w:tcPr/>
          <w:p>
            <w:pPr>
              <w:pStyle w:val="Compact"/>
            </w:pPr>
            <w:r>
              <w:t xml:space="preserve">Type checking, 161 currencies</w:t>
            </w:r>
          </w:p>
        </w:tc>
      </w:tr>
      <w:tr>
        <w:tc>
          <w:tcPr/>
          <w:p>
            <w:pPr>
              <w:pStyle w:val="Compact"/>
            </w:pPr>
            <w:r>
              <w:t xml:space="preserve">Completeness verification</w:t>
            </w:r>
          </w:p>
        </w:tc>
        <w:tc>
          <w:tcPr/>
          <w:p>
            <w:pPr>
              <w:pStyle w:val="Compact"/>
            </w:pPr>
            <w:r>
              <w:t xml:space="preserve">25</w:t>
            </w:r>
          </w:p>
        </w:tc>
        <w:tc>
          <w:tcPr/>
          <w:p>
            <w:pPr>
              <w:pStyle w:val="Compact"/>
            </w:pPr>
            <w:r>
              <w:t xml:space="preserve">Gap detection, sampling</w:t>
            </w:r>
          </w:p>
        </w:tc>
      </w:tr>
      <w:tr>
        <w:tc>
          <w:tcPr/>
          <w:p>
            <w:pPr>
              <w:pStyle w:val="Compact"/>
            </w:pPr>
            <w:r>
              <w:t xml:space="preserve">Monotonicity verification</w:t>
            </w:r>
          </w:p>
        </w:tc>
        <w:tc>
          <w:tcPr/>
          <w:p>
            <w:pPr>
              <w:pStyle w:val="Compact"/>
            </w:pPr>
            <w:r>
              <w:t xml:space="preserve">4</w:t>
            </w:r>
          </w:p>
        </w:tc>
        <w:tc>
          <w:tcPr/>
          <w:p>
            <w:pPr>
              <w:pStyle w:val="Compact"/>
            </w:pPr>
            <w:r>
              <w:t xml:space="preserve">Direction enforcement</w:t>
            </w:r>
          </w:p>
        </w:tc>
      </w:tr>
      <w:tr>
        <w:tc>
          <w:tcPr/>
          <w:p>
            <w:pPr>
              <w:pStyle w:val="Compact"/>
            </w:pPr>
            <w:r>
              <w:t xml:space="preserve">Temporal operations</w:t>
            </w:r>
          </w:p>
        </w:tc>
        <w:tc>
          <w:tcPr/>
          <w:p>
            <w:pPr>
              <w:pStyle w:val="Compact"/>
            </w:pPr>
            <w:r>
              <w:t xml:space="preserve">54</w:t>
            </w:r>
          </w:p>
        </w:tc>
        <w:tc>
          <w:tcPr/>
          <w:p>
            <w:pPr>
              <w:pStyle w:val="Compact"/>
            </w:pPr>
            <w:r>
              <w:t xml:space="preserve">Date calculations</w:t>
            </w:r>
          </w:p>
        </w:tc>
      </w:tr>
      <w:tr>
        <w:tc>
          <w:tcPr/>
          <w:p>
            <w:pPr>
              <w:pStyle w:val="Compact"/>
            </w:pPr>
            <w:r>
              <w:t xml:space="preserve">Provenance tracking</w:t>
            </w:r>
          </w:p>
        </w:tc>
        <w:tc>
          <w:tcPr/>
          <w:p>
            <w:pPr>
              <w:pStyle w:val="Compact"/>
            </w:pPr>
            <w:r>
              <w:t xml:space="preserve">20</w:t>
            </w:r>
          </w:p>
        </w:tc>
        <w:tc>
          <w:tcPr/>
          <w:p>
            <w:pPr>
              <w:pStyle w:val="Compact"/>
            </w:pPr>
            <w:r>
              <w:t xml:space="preserve">Audit trails</w:t>
            </w:r>
          </w:p>
        </w:tc>
      </w:tr>
      <w:tr>
        <w:tc>
          <w:tcPr/>
          <w:p>
            <w:pPr>
              <w:pStyle w:val="Compact"/>
            </w:pPr>
            <w:r>
              <w:t xml:space="preserve">Jurisdiction composition</w:t>
            </w:r>
          </w:p>
        </w:tc>
        <w:tc>
          <w:tcPr/>
          <w:p>
            <w:pPr>
              <w:pStyle w:val="Compact"/>
            </w:pPr>
            <w:r>
              <w:t xml:space="preserve">19</w:t>
            </w:r>
          </w:p>
        </w:tc>
        <w:tc>
          <w:tcPr/>
          <w:p>
            <w:pPr>
              <w:pStyle w:val="Compact"/>
            </w:pPr>
            <w:r>
              <w:t xml:space="preserve">Inheritance, overrides</w:t>
            </w:r>
          </w:p>
        </w:tc>
      </w:tr>
      <w:tr>
        <w:tc>
          <w:tcPr/>
          <w:p>
            <w:pPr>
              <w:pStyle w:val="Compact"/>
            </w:pPr>
            <w:r>
              <w:t xml:space="preserve">Versioning</w:t>
            </w:r>
          </w:p>
        </w:tc>
        <w:tc>
          <w:tcPr/>
          <w:p>
            <w:pPr>
              <w:pStyle w:val="Compact"/>
            </w:pPr>
            <w:r>
              <w:t xml:space="preserve">21</w:t>
            </w:r>
          </w:p>
        </w:tc>
        <w:tc>
          <w:tcPr/>
          <w:p>
            <w:pPr>
              <w:pStyle w:val="Compact"/>
            </w:pPr>
            <w:r>
              <w:t xml:space="preserve">Diff, impact analysis</w:t>
            </w:r>
          </w:p>
        </w:tc>
      </w:tr>
      <w:tr>
        <w:tc>
          <w:tcPr/>
          <w:p>
            <w:pPr>
              <w:pStyle w:val="Compact"/>
            </w:pPr>
            <w:r>
              <w:t xml:space="preserve">Other</w:t>
            </w:r>
          </w:p>
        </w:tc>
        <w:tc>
          <w:tcPr/>
          <w:p>
            <w:pPr>
              <w:pStyle w:val="Compact"/>
            </w:pPr>
            <w:r>
              <w:t xml:space="preserve">77</w:t>
            </w:r>
          </w:p>
        </w:tc>
        <w:tc>
          <w:tcPr/>
          <w:p>
            <w:pPr>
              <w:pStyle w:val="Compact"/>
            </w:pPr>
            <w:r>
              <w:t xml:space="preserve">Semantics, parsing, logic</w:t>
            </w:r>
          </w:p>
        </w:tc>
      </w:tr>
    </w:tbl>
    <w:p>
      <w:pPr>
        <w:pStyle w:val="BodyText"/>
      </w:pPr>
      <w:r>
        <w:t xml:space="preserve">All 260 tests pass with 100% success rate. Test execution completes in sub-millisecond time per test, confirming that DSL interpretation imposes negligible overhead.</w:t>
      </w:r>
    </w:p>
    <w:bookmarkEnd w:id="61"/>
    <w:bookmarkStart w:id="62" w:name="threats-to-validity"/>
    <w:p>
      <w:pPr>
        <w:pStyle w:val="Heading3"/>
      </w:pPr>
      <w:r>
        <w:t xml:space="preserve">7.4 Threats to Validity</w:t>
      </w:r>
    </w:p>
    <w:p>
      <w:pPr>
        <w:pStyle w:val="FirstParagraph"/>
      </w:pPr>
      <w:r>
        <w:rPr>
          <w:b/>
          <w:bCs/>
        </w:rPr>
        <w:t xml:space="preserve">Internal Validity.</w:t>
      </w:r>
      <w:r>
        <w:t xml:space="preserve"> </w:t>
      </w:r>
      <w:r>
        <w:t xml:space="preserve">The test suite validates correctness of the implementation but may not cover all edge cases. The 260 tests focus on feature coverage rather than exhaustive input space exploration. The validation against official fee schedules covers representative scenarios but not all possible input combinations.</w:t>
      </w:r>
    </w:p>
    <w:p>
      <w:pPr>
        <w:pStyle w:val="BodyText"/>
      </w:pPr>
      <w:r>
        <w:rPr>
          <w:b/>
          <w:bCs/>
        </w:rPr>
        <w:t xml:space="preserve">External Validity.</w:t>
      </w:r>
      <w:r>
        <w:t xml:space="preserve"> </w:t>
      </w:r>
      <w:r>
        <w:t xml:space="preserve">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pPr>
        <w:pStyle w:val="BodyText"/>
      </w:pPr>
      <w:r>
        <w:rPr>
          <w:b/>
          <w:bCs/>
        </w:rPr>
        <w:t xml:space="preserve">Construct Validity.</w:t>
      </w:r>
      <w:r>
        <w:t xml:space="preserve"> </w:t>
      </w:r>
      <w:r>
        <w:t xml:space="preserve">Performance measurements reflect test execution time, not isolated component performance. Claims about syntax readability for domain experts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w:t>
      </w:r>
      <w:r>
        <w:t xml:space="preserve"> </w:t>
      </w:r>
      <w:r>
        <w:rPr>
          <w:b/>
          <w:bCs/>
        </w:rPr>
        <w:t xml:space="preserve">these design hypotheses have not been validated through controlled experiments with practitioners</w:t>
      </w:r>
      <w:r>
        <w:t xml:space="preserve">. This limitation should be considered when evaluating claims about the language’s accessibility.</w:t>
      </w:r>
    </w:p>
    <w:p>
      <w:pPr>
        <w:pStyle w:val="BodyText"/>
      </w:pPr>
      <w:r>
        <w:rPr>
          <w:b/>
          <w:bCs/>
        </w:rPr>
        <w:t xml:space="preserve">Reliability.</w:t>
      </w:r>
      <w:r>
        <w:t xml:space="preserve"> </w:t>
      </w:r>
      <w:r>
        <w:t xml:space="preserve">Results are reproducible via the open-source implementation. The validation test cases can be independently verified against official fee schedule documents. Exchange rate-dependent calculations (not present in the current examples) would introduce temporal variation.</w:t>
      </w:r>
    </w:p>
    <w:p>
      <w:r>
        <w:pict>
          <v:rect style="width:0;height:1.5pt" o:hralign="center" o:hrstd="t" o:hr="t"/>
        </w:pict>
      </w:r>
    </w:p>
    <w:bookmarkEnd w:id="62"/>
    <w:bookmarkEnd w:id="63"/>
    <w:bookmarkStart w:id="67" w:name="discussion"/>
    <w:p>
      <w:pPr>
        <w:pStyle w:val="Heading2"/>
      </w:pPr>
      <w:r>
        <w:t xml:space="preserve">8. Discussion</w:t>
      </w:r>
    </w:p>
    <w:bookmarkStart w:id="64" w:name="advantages-of-dsl-based-standardization"/>
    <w:p>
      <w:pPr>
        <w:pStyle w:val="Heading3"/>
      </w:pPr>
      <w:r>
        <w:t xml:space="preserve">8.1 Advantages of DSL-Based Standardization</w:t>
      </w:r>
    </w:p>
    <w:p>
      <w:pPr>
        <w:pStyle w:val="FirstParagraph"/>
      </w:pPr>
      <w:r>
        <w:rPr>
          <w:b/>
          <w:bCs/>
        </w:rPr>
        <w:t xml:space="preserve">Transparency and auditability.</w:t>
      </w:r>
      <w:r>
        <w:t xml:space="preserve"> </w:t>
      </w:r>
      <w:r>
        <w:t xml:space="preserve">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pPr>
        <w:pStyle w:val="BodyText"/>
      </w:pPr>
      <w:r>
        <w:rPr>
          <w:b/>
          <w:bCs/>
        </w:rPr>
        <w:t xml:space="preserve">Formal verification.</w:t>
      </w:r>
      <w:r>
        <w:t xml:space="preserve"> </w:t>
      </w:r>
      <w:r>
        <w:t xml:space="preserve">Static completeness checking (exhaustive mode) and monotonicity checking provide formal guarantees impossible with imperative implementations. For domains within the exhaustive threshold, practitioners can be confident that fee definitions cover all cases and behave predictably.</w:t>
      </w:r>
    </w:p>
    <w:p>
      <w:pPr>
        <w:pStyle w:val="BodyText"/>
      </w:pPr>
      <w:r>
        <w:rPr>
          <w:b/>
          <w:bCs/>
        </w:rPr>
        <w:t xml:space="preserve">Vendor independence.</w:t>
      </w:r>
      <w:r>
        <w:t xml:space="preserve"> </w:t>
      </w:r>
      <w:r>
        <w:t xml:space="preserve">IPFLang-based calculations are vendor-neutral: any conforming interpreter can execute scripts. Multiple tools can compete on user experience while using a shared, open calculation engine.</w:t>
      </w:r>
    </w:p>
    <w:p>
      <w:pPr>
        <w:pStyle w:val="BodyText"/>
      </w:pPr>
      <w:r>
        <w:rPr>
          <w:b/>
          <w:bCs/>
        </w:rPr>
        <w:t xml:space="preserve">Rapid adaptation.</w:t>
      </w:r>
      <w:r>
        <w:t xml:space="preserve"> </w:t>
      </w:r>
      <w:r>
        <w:t xml:space="preserve">Government fee schedules change frequently. IPFLang enables updates through script editing and verification, compared to longer cycles for traditional software development.</w:t>
      </w:r>
    </w:p>
    <w:p>
      <w:pPr>
        <w:pStyle w:val="BodyText"/>
      </w:pPr>
      <w:r>
        <w:rPr>
          <w:b/>
          <w:bCs/>
        </w:rPr>
        <w:t xml:space="preserve">Predictability over AI alternatives.</w:t>
      </w:r>
      <w:r>
        <w:t xml:space="preserve"> </w:t>
      </w:r>
      <w:r>
        <w:t xml:space="preserve">While general-purpose AI systems can perform fee calculations through natural language processing, DSL code authored by domain experts offers superior predictability and reliability. An IPFLang script encodes explicit, 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domain experts to verify correctness directly against authoritative fee schedules.</w:t>
      </w:r>
    </w:p>
    <w:bookmarkEnd w:id="64"/>
    <w:bookmarkStart w:id="65" w:name="cross-domain-applicability"/>
    <w:p>
      <w:pPr>
        <w:pStyle w:val="Heading3"/>
      </w:pPr>
      <w:r>
        <w:t xml:space="preserve">8.2 Cross-Domain Applicability</w:t>
      </w:r>
    </w:p>
    <w:p>
      <w:pPr>
        <w:pStyle w:val="FirstParagraph"/>
      </w:pPr>
      <w:r>
        <w:t xml:space="preserve">IPFLang’s design patterns address common regulatory calculation structures beyond intellectual property.</w:t>
      </w:r>
    </w:p>
    <w:p>
      <w:pPr>
        <w:pStyle w:val="BodyText"/>
      </w:pPr>
      <w:r>
        <w:rPr>
          <w:b/>
          <w:bCs/>
        </w:rPr>
        <w:t xml:space="preserve">Entity-based pricing tiers</w:t>
      </w:r>
      <w:r>
        <w:t xml:space="preserve"> </w:t>
      </w:r>
      <w:r>
        <w:t xml:space="preserve">apply different fees based on entity characteristics. In IP, USPTO discounts of 60% (small) and 80% (micro) exemplify this pattern. Cross-domain applications include SME tax rates, tiered professional licensing, and asset-based regulatory fees.</w:t>
      </w:r>
    </w:p>
    <w:p>
      <w:pPr>
        <w:pStyle w:val="BodyText"/>
      </w:pPr>
      <w:r>
        <w:rPr>
          <w:b/>
          <w:bCs/>
        </w:rPr>
        <w:t xml:space="preserve">Volume-based progressive pricing</w:t>
      </w:r>
      <w:r>
        <w:t xml:space="preserve"> </w:t>
      </w:r>
      <w:r>
        <w:t xml:space="preserve">uses marginal pricing where unit cost changes at thresholds. In IP, claim fees charge one rate for claims 1-15, another for 16-50, and higher for 51+. Cross-domain applications include import duties, tiered utility pricing, and bulk discount structures.</w:t>
      </w:r>
    </w:p>
    <w:p>
      <w:pPr>
        <w:pStyle w:val="BodyText"/>
      </w:pPr>
      <w:r>
        <w:rPr>
          <w:b/>
          <w:bCs/>
        </w:rPr>
        <w:t xml:space="preserve">Temporal dependencies</w:t>
      </w:r>
      <w:r>
        <w:t xml:space="preserve"> </w:t>
      </w:r>
      <w:r>
        <w:t xml:space="preserve">involve fees varying based on elapsed time. In IP, maintenance fees are due at specific intervals after grant. Cross-domain applications include late payment penalties, license renewals, and filing deadline calculations.</w:t>
      </w:r>
    </w:p>
    <w:p>
      <w:pPr>
        <w:pStyle w:val="BodyText"/>
      </w:pPr>
      <w:r>
        <w:rPr>
          <w:b/>
          <w:bCs/>
        </w:rPr>
        <w:t xml:space="preserve">Multi-component additive fees</w:t>
      </w:r>
      <w:r>
        <w:t xml:space="preserve"> </w:t>
      </w:r>
      <w:r>
        <w:t xml:space="preserve">calculate totals as sums of independent components. In IP, totals combine filing, search, examination, and claim fees. Cross-domain applications include building permits, vehicle registration, and business licensing with endorsements.</w:t>
      </w:r>
    </w:p>
    <w:p>
      <w:pPr>
        <w:pStyle w:val="BodyText"/>
      </w:pPr>
      <w:r>
        <w:t xml:space="preserve">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bookmarkEnd w:id="65"/>
    <w:bookmarkStart w:id="66" w:name="limitations"/>
    <w:p>
      <w:pPr>
        <w:pStyle w:val="Heading3"/>
      </w:pPr>
      <w:r>
        <w:t xml:space="preserve">8.3 Limitations</w:t>
      </w:r>
    </w:p>
    <w:p>
      <w:pPr>
        <w:pStyle w:val="FirstParagraph"/>
      </w:pPr>
      <w:r>
        <w:t xml:space="preserve">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pPr>
        <w:pStyle w:val="BodyText"/>
      </w:pPr>
      <w:r>
        <w:t xml:space="preserve">The type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for domain experts have not been conducted, and design decisions favoring readability (keyword operators, explicit block delimiters) are based on DSL design principles [16, 23] rather than empirical evidence. This constitutes a gap that future work must address.</w:t>
      </w:r>
    </w:p>
    <w:p>
      <w:pPr>
        <w:pStyle w:val="BodyText"/>
      </w:pPr>
      <w:r>
        <w:t xml:space="preserve">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r>
        <w:pict>
          <v:rect style="width:0;height:1.5pt" o:hralign="center" o:hrstd="t" o:hr="t"/>
        </w:pict>
      </w:r>
    </w:p>
    <w:bookmarkEnd w:id="66"/>
    <w:bookmarkEnd w:id="67"/>
    <w:bookmarkStart w:id="68" w:name="conclusions-and-future-work"/>
    <w:p>
      <w:pPr>
        <w:pStyle w:val="Heading2"/>
      </w:pPr>
      <w:r>
        <w:t xml:space="preserve">9. Conclusions and Future Work</w:t>
      </w:r>
    </w:p>
    <w:p>
      <w:pPr>
        <w:pStyle w:val="FirstParagraph"/>
      </w:pPr>
      <w:r>
        <w:t xml:space="preserve">This paper introduced IPFLang, a domain-specific language for standardizing intellectual property fee calculations. The key contributions are:</w:t>
      </w:r>
    </w:p>
    <w:p>
      <w:pPr>
        <w:numPr>
          <w:ilvl w:val="0"/>
          <w:numId w:val="1005"/>
        </w:numPr>
      </w:pPr>
      <w:r>
        <w:rPr>
          <w:b/>
          <w:bCs/>
        </w:rPr>
        <w:t xml:space="preserve">Language specification</w:t>
      </w:r>
      <w:r>
        <w:t xml:space="preserve"> </w:t>
      </w:r>
      <w:r>
        <w:t xml:space="preserve">with declarative syntax designed for readability, featuring keyword-based operators (EQ, GT, AND) rather than symbolic notation, explicit block delimiters, and domain-specific primitives for currency and temporal operations.</w:t>
      </w:r>
    </w:p>
    <w:p>
      <w:pPr>
        <w:numPr>
          <w:ilvl w:val="0"/>
          <w:numId w:val="1005"/>
        </w:numPr>
      </w:pPr>
      <w:r>
        <w:rPr>
          <w:b/>
          <w:bCs/>
        </w:rPr>
        <w:t xml:space="preserve">Currency-aware type system</w:t>
      </w:r>
      <w:r>
        <w:t xml:space="preserve"> </w:t>
      </w:r>
      <w:r>
        <w:t xml:space="preserve">supporting 161 ISO 4217 currencies with compile-time prevention of cross-currency arithmetic errors, formalized through typing rules with proven soundness properties.</w:t>
      </w:r>
    </w:p>
    <w:p>
      <w:pPr>
        <w:numPr>
          <w:ilvl w:val="0"/>
          <w:numId w:val="1005"/>
        </w:numPr>
      </w:pPr>
      <w:r>
        <w:rPr>
          <w:b/>
          <w:bCs/>
        </w:rPr>
        <w:t xml:space="preserve">Static analysis algorithms</w:t>
      </w:r>
      <w:r>
        <w:t xml:space="preserve"> </w:t>
      </w:r>
      <w:r>
        <w:t xml:space="preserve">for completeness checking (exhaustive verification for domains ≤10⁶ providing formal guarantees, boundary-based testing for larger domains) and monotonicity verification (ensuring fees behave predictably with respect to numeric inputs).</w:t>
      </w:r>
    </w:p>
    <w:p>
      <w:pPr>
        <w:numPr>
          <w:ilvl w:val="0"/>
          <w:numId w:val="1005"/>
        </w:numPr>
      </w:pPr>
      <w:r>
        <w:rPr>
          <w:b/>
          <w:bCs/>
        </w:rPr>
        <w:t xml:space="preserve">Provenance tracking</w:t>
      </w:r>
      <w:r>
        <w:t xml:space="preserve"> </w:t>
      </w:r>
      <w:r>
        <w:t xml:space="preserve">with counterfactual analysis supporting auditability requirements for regulatory compliance and dispute resolution.</w:t>
      </w:r>
    </w:p>
    <w:p>
      <w:pPr>
        <w:numPr>
          <w:ilvl w:val="0"/>
          <w:numId w:val="1005"/>
        </w:numPr>
      </w:pPr>
      <w:r>
        <w:rPr>
          <w:b/>
          <w:bCs/>
        </w:rPr>
        <w:t xml:space="preserve">Reference implementation</w:t>
      </w:r>
      <w:r>
        <w:t xml:space="preserve"> </w:t>
      </w:r>
      <w:r>
        <w:t xml:space="preserve">validated through 260 passing tests, verification against official EPO and USPTO fee schedules, and 118 production jurisdiction files covering PCT national/regional phase entry.</w:t>
      </w:r>
    </w:p>
    <w:p>
      <w:pPr>
        <w:pStyle w:val="FirstParagraph"/>
      </w:pPr>
      <w:r>
        <w:rPr>
          <w:b/>
          <w:bCs/>
        </w:rPr>
        <w:t xml:space="preserve">Impact.</w:t>
      </w:r>
      <w:r>
        <w:t xml:space="preserve"> </w:t>
      </w:r>
      <w:r>
        <w:t xml:space="preserve">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pPr>
        <w:pStyle w:val="BodyText"/>
      </w:pPr>
      <w:r>
        <w:rPr>
          <w:b/>
          <w:bCs/>
        </w:rPr>
        <w:t xml:space="preserve">Future work</w:t>
      </w:r>
      <w:r>
        <w:t xml:space="preserve"> </w:t>
      </w:r>
      <w:r>
        <w:t xml:space="preserve">will address current limitations through: (1) REST API implementation conforming to OpenAPI standards for enterprise integration; (2) expanded jurisdiction coverage through community contributions; (3) cross-domain pilots applying IPFLang patterns to tax calculations and customs duties; (4) formal mechanization of type safety proofs in a proof assistant such as Coq or F*; and (5)</w:t>
      </w:r>
      <w:r>
        <w:t xml:space="preserve"> </w:t>
      </w:r>
      <w:r>
        <w:rPr>
          <w:b/>
          <w:bCs/>
        </w:rPr>
        <w:t xml:space="preserve">user studies with IP practitioners to empirically evaluate the readability and usability of the DSL syntax</w:t>
      </w:r>
      <w:r>
        <w:t xml:space="preserve">, addressing the current gap between design-based readability claims and empirical validation.</w:t>
      </w:r>
    </w:p>
    <w:p>
      <w:pPr>
        <w:pStyle w:val="BodyText"/>
      </w:pPr>
      <w:r>
        <w:t xml:space="preserve">The open-source implementation is available at https://github.com/vbocan/IPFLang under GPLv3.</w:t>
      </w:r>
    </w:p>
    <w:p>
      <w:r>
        <w:pict>
          <v:rect style="width:0;height:1.5pt" o:hralign="center" o:hrstd="t" o:hr="t"/>
        </w:pict>
      </w:r>
    </w:p>
    <w:bookmarkEnd w:id="68"/>
    <w:bookmarkStart w:id="69" w:name="references"/>
    <w:p>
      <w:pPr>
        <w:pStyle w:val="Heading2"/>
      </w:pPr>
      <w:r>
        <w:t xml:space="preserve">References</w:t>
      </w:r>
    </w:p>
    <w:p>
      <w:pPr>
        <w:pStyle w:val="FirstParagraph"/>
      </w:pPr>
      <w:r>
        <w:t xml:space="preserve">[1] United States Patent and Trademark Office, 2025. USPTO Fee Schedule. https://www.uspto.gov/learning-and-resources/fees-and-payment/uspto-fee-schedule (accessed 15 December 2024).</w:t>
      </w:r>
    </w:p>
    <w:p>
      <w:pPr>
        <w:pStyle w:val="BodyText"/>
      </w:pPr>
      <w:r>
        <w:t xml:space="preserve">[2] European Patent Office, 2024. EPO Schedule of Fees. https://my.epoline.org/epoline-portal/classic/epoline.Scheduleoffees (accessed 15 December 2024).</w:t>
      </w:r>
    </w:p>
    <w:p>
      <w:pPr>
        <w:pStyle w:val="BodyText"/>
      </w:pPr>
      <w:r>
        <w:t xml:space="preserve">[3] Japan Patent Office, 2024. JPO Fee Information. https://www.jpo.go.jp/ (accessed 15 December 2024).</w:t>
      </w:r>
    </w:p>
    <w:p>
      <w:pPr>
        <w:pStyle w:val="BodyText"/>
      </w:pPr>
      <w:r>
        <w:t xml:space="preserve">[4] World Intellectual Property Organization, 2024. WIPO PCT Fee Tables. https://www.wipo.int/ (accessed 15 December 2024).</w:t>
      </w:r>
    </w:p>
    <w:p>
      <w:pPr>
        <w:pStyle w:val="BodyText"/>
      </w:pPr>
      <w:r>
        <w:t xml:space="preserve">[5] CPA Global (Clarivate), 2024. IP Management Solutions. https://www.cpaglobal.com/ (accessed 15 December 2024).</w:t>
      </w:r>
    </w:p>
    <w:p>
      <w:pPr>
        <w:pStyle w:val="BodyText"/>
      </w:pPr>
      <w:r>
        <w:t xml:space="preserve">[6] T. Athan, H. Boley, G. Governatori, M. Palmirani, A. Paschke, A. Wyner, LegalRuleML: Design Principles and Foundations, in: Reasoning Web. Web Logic Rules, Springer, Cham, 2015, pp. 151–188. https://doi.org/10.1007/978-3-319-21768-0_6.</w:t>
      </w:r>
    </w:p>
    <w:p>
      <w:pPr>
        <w:pStyle w:val="BodyText"/>
      </w:pPr>
      <w:r>
        <w:t xml:space="preserve">[7] D. Merigoux, N. Chataing, J. Protzenko, Catala: A Programming Language for the Law, Proc. ACM Program. Lang. 5 (ICFP) (2021) Article 77. https://doi.org/10.1145/3473582.</w:t>
      </w:r>
    </w:p>
    <w:p>
      <w:pPr>
        <w:pStyle w:val="BodyText"/>
      </w:pPr>
      <w:r>
        <w:t xml:space="preserve">[8] World Intellectual Property Organization, 2023. WIPO ST.96 - Processing of IP Information using XML. https://www.wipo.int/standards/en/st96.html (accessed 15 December 2024).</w:t>
      </w:r>
    </w:p>
    <w:p>
      <w:pPr>
        <w:pStyle w:val="BodyText"/>
      </w:pPr>
      <w:r>
        <w:t xml:space="preserve">[9] European Patent Office, 2024. EPO Open Patent Services (OPS) API. https://www.epo.org/searching-for-patents/data/web-services/ops.html (accessed 15 December 2024).</w:t>
      </w:r>
    </w:p>
    <w:p>
      <w:pPr>
        <w:pStyle w:val="BodyText"/>
      </w:pPr>
      <w:r>
        <w:t xml:space="preserve">[10] T. Hvitved, Contract Formalisation and Modular Implementation of Domain-Specific Languages, PhD Thesis, University of Copenhagen, Denmark, 2011.</w:t>
      </w:r>
    </w:p>
    <w:p>
      <w:pPr>
        <w:pStyle w:val="BodyText"/>
      </w:pPr>
      <w:r>
        <w:t xml:space="preserve">[11] A. Kennedy, Types for Units-of-Measure: Theory and Practice, in: Central European Functional Programming School (CEFP 2009), Springer, 2010, pp. 268–305. https://doi.org/10.1007/978-3-642-17685-2_8.</w:t>
      </w:r>
    </w:p>
    <w:p>
      <w:pPr>
        <w:pStyle w:val="BodyText"/>
      </w:pPr>
      <w:r>
        <w:t xml:space="preserve">[12] OpenFisca Contributors, 2024. OpenFisca: Open-source platform for tax-benefit microsimulation. https://openfisca.org/ (accessed 15 December 2024).</w:t>
      </w:r>
    </w:p>
    <w:p>
      <w:pPr>
        <w:pStyle w:val="BodyText"/>
      </w:pPr>
      <w:r>
        <w:t xml:space="preserve">[13] Red Hat, 2024. Drools Business Rules Management System. https://www.drools.org/ (accessed 15 December 2024).</w:t>
      </w:r>
    </w:p>
    <w:p>
      <w:pPr>
        <w:pStyle w:val="BodyText"/>
      </w:pPr>
      <w:r>
        <w:t xml:space="preserve">[14] New Zealand Government, 2018. Better Rules for Government Discovery Report. https://www.digital.govt.nz/dmsdocument/95-better-rules-for-government-discovery-report/html (accessed 15 December 2024).</w:t>
      </w:r>
    </w:p>
    <w:p>
      <w:pPr>
        <w:pStyle w:val="BodyText"/>
      </w:pPr>
      <w:r>
        <w:t xml:space="preserve">[15] M. Waddington, Rules as Code, IEEE IT Prof. 22 (3) (2020) 14–19.</w:t>
      </w:r>
    </w:p>
    <w:p>
      <w:pPr>
        <w:pStyle w:val="BodyText"/>
      </w:pPr>
      <w:r>
        <w:t xml:space="preserve">[16] M. Fowler, Domain-Specific Languages, Addison-Wesley, Boston, 2010.</w:t>
      </w:r>
    </w:p>
    <w:p>
      <w:pPr>
        <w:pStyle w:val="BodyText"/>
      </w:pPr>
      <w:r>
        <w:t xml:space="preserve">[17] A.V. Aho, M.S. Lam, R. Sethi, J.D. Ullman, Compilers: Principles, Techniques, and Tools, second ed., Addison-Wesley, Boston, 2006.</w:t>
      </w:r>
    </w:p>
    <w:p>
      <w:pPr>
        <w:pStyle w:val="BodyText"/>
      </w:pPr>
      <w:r>
        <w:t xml:space="preserve">[18] C.V. Chien, Holding Up and Holding Out, Michigan Telecommunications and Technology Law Review 21 (1) (2014) 1–44.</w:t>
      </w:r>
    </w:p>
    <w:p>
      <w:pPr>
        <w:pStyle w:val="BodyText"/>
      </w:pPr>
      <w:r>
        <w:t xml:space="preserve">[19] R. Bekkers, A. Updegrove, A Study of IPR Policies and Practices of a Representative Group of Standards Setting Organizations Worldwide, in: Proc. National Academies Symposium on Intellectual Property Rights, National Research Council, Washington, DC, 2012.</w:t>
      </w:r>
    </w:p>
    <w:p>
      <w:pPr>
        <w:pStyle w:val="BodyText"/>
      </w:pPr>
      <w:r>
        <w:t xml:space="preserve">[20] D. Orchard, V.-B. Liepelt, H. Eades III, Quantitative Program Reasoning with Graded Modal Types, Proc. ACM Program. Lang. 3 (ICFP) (2019) Article 110. https://doi.org/10.1145/3341714.</w:t>
      </w:r>
    </w:p>
    <w:p>
      <w:pPr>
        <w:pStyle w:val="BodyText"/>
      </w:pPr>
      <w:r>
        <w:t xml:space="preserve">[21] J. Mohun, A. Roberts, Cracking the Code: Rulemaking for Humans and Machines, OECD Working Papers on Public Governance, No. 42, OECD Publishing, Paris, 2020. https://doi.org/10.1787/3afe6ba5-en.</w:t>
      </w:r>
    </w:p>
    <w:p>
      <w:pPr>
        <w:pStyle w:val="BodyText"/>
      </w:pPr>
      <w:r>
        <w:t xml:space="preserve">[22] D. Rapson, J. Sheridan, J. Mohun, A. Roberts, Rules as Code for a More Transparent and Efficient Global Economy, Centre for International Governance Innovation (CIGI), Policy Brief No. 187, 2023.</w:t>
      </w:r>
    </w:p>
    <w:p>
      <w:pPr>
        <w:pStyle w:val="BodyText"/>
      </w:pPr>
      <w:r>
        <w:t xml:space="preserve">[23] M. Mernik, J. Heering, A.M. Sloane, When and How to Develop Domain-Specific Languages, ACM Comput. Surv. 37 (4) (2005) 316–344. https://doi.org/10.1145/1118890.1118892.</w:t>
      </w:r>
    </w:p>
    <w:p>
      <w:pPr>
        <w:pStyle w:val="BodyText"/>
      </w:pPr>
      <w:r>
        <w:t xml:space="preserve">[24] Java Community Process, JSR 354: Money and Currency API, Java Specification Request, 2015. https://jcp.org/en/jsr/detail?id=354 (accessed 15 December 2024).</w:t>
      </w:r>
    </w:p>
    <w:p>
      <w:pPr>
        <w:pStyle w:val="BodyText"/>
      </w:pPr>
      <w:r>
        <w:t xml:space="preserve">[25] P. Cousot, R. Cousot, Abstract Interpretation: A Unified Lattice Model for Static Analysis of Programs by Construction or Approximation of Fixpoints, in: Proc. 4th ACM SIGACT-SIGPLAN Symposium on Principles of Programming Languages (POPL), ACM, 1977, pp. 238–252. https://doi.org/10.1145/512950.512973.</w:t>
      </w:r>
    </w:p>
    <w:p>
      <w:pPr>
        <w:pStyle w:val="BodyText"/>
      </w:pPr>
      <w:r>
        <w:t xml:space="preserve">[26] T. Dardinier, G. Parthasarathy, P. Müller, Verification-Preserving Inlining in Automatic Separation Logic Verifiers, Proc. ACM Program. Lang. 7 (OOPSLA1) (2023) Article 80. https://doi.org/10.1145/3586054.</w:t>
      </w:r>
    </w:p>
    <w:p>
      <w:r>
        <w:pict>
          <v:rect style="width:0;height:1.5pt" o:hralign="center" o:hrstd="t" o:hr="t"/>
        </w:pict>
      </w:r>
    </w:p>
    <w:bookmarkEnd w:id="69"/>
    <w:bookmarkStart w:id="70" w:name="author-biography"/>
    <w:p>
      <w:pPr>
        <w:pStyle w:val="Heading2"/>
      </w:pPr>
      <w:r>
        <w:t xml:space="preserve">Author Biography</w:t>
      </w:r>
    </w:p>
    <w:p>
      <w:pPr>
        <w:pStyle w:val="FirstParagraph"/>
      </w:pPr>
      <w:r>
        <w:rPr>
          <w:b/>
          <w:bCs/>
        </w:rPr>
        <w:t xml:space="preserve">Valer Bocan, PhD, CSSLP</w:t>
      </w:r>
      <w:r>
        <w:t xml:space="preserve"> </w:t>
      </w:r>
      <w:r>
        <w:t xml:space="preserve">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management system), QRNG Data Diode (quantum random number generation infrastructure), and Delta Forth (a Forth language implementation for .NET).</w:t>
      </w:r>
    </w:p>
    <w:p>
      <w:r>
        <w:pict>
          <v:rect style="width:0;height:1.5pt" o:hralign="center" o:hrstd="t" o:hr="t"/>
        </w:pict>
      </w:r>
    </w:p>
    <w:bookmarkEnd w:id="70"/>
    <w:bookmarkStart w:id="71" w:name="acknowledgments"/>
    <w:p>
      <w:pPr>
        <w:pStyle w:val="Heading2"/>
      </w:pPr>
      <w:r>
        <w:t xml:space="preserve">Acknowledgments</w:t>
      </w:r>
    </w:p>
    <w:p>
      <w:pPr>
        <w:pStyle w:val="FirstParagraph"/>
      </w:pPr>
      <w:r>
        <w:t xml:space="preserve">The author gratefully acknowledges Robert Fichter, Ph.D. 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bookmarkEnd w:id="71"/>
    <w:bookmarkStart w:id="72" w:name="data-availability-statement"/>
    <w:p>
      <w:pPr>
        <w:pStyle w:val="Heading2"/>
      </w:pPr>
      <w:r>
        <w:t xml:space="preserve">Data Availability Statement</w:t>
      </w:r>
    </w:p>
    <w:p>
      <w:pPr>
        <w:pStyle w:val="FirstParagraph"/>
      </w:pPr>
      <w:r>
        <w:t xml:space="preserve">The IPFLang reference implementation, including all example files and test suite, is available under GPLv3 at https://github.com/vbocan/IPFLang.</w:t>
      </w:r>
    </w:p>
    <w:p>
      <w:r>
        <w:pict>
          <v:rect style="width:0;height:1.5pt" o:hralign="center" o:hrstd="t" o:hr="t"/>
        </w:pict>
      </w:r>
    </w:p>
    <w:bookmarkEnd w:id="72"/>
    <w:bookmarkStart w:id="73"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r>
        <w:pict>
          <v:rect style="width:0;height:1.5pt" o:hralign="center" o:hrstd="t" o:hr="t"/>
        </w:pict>
      </w:r>
    </w:p>
    <w:bookmarkEnd w:id="73"/>
    <w:bookmarkStart w:id="74" w:name="credit-author-contribution-statement"/>
    <w:p>
      <w:pPr>
        <w:pStyle w:val="Heading2"/>
      </w:pPr>
      <w:r>
        <w:t xml:space="preserve">CRediT Author Contribution Statement</w:t>
      </w:r>
    </w:p>
    <w:p>
      <w:pPr>
        <w:pStyle w:val="FirstParagraph"/>
      </w:pPr>
      <w:r>
        <w:rPr>
          <w:b/>
          <w:bCs/>
        </w:rPr>
        <w:t xml:space="preserve">Valer Bocan:</w:t>
      </w:r>
      <w:r>
        <w:t xml:space="preserve"> </w:t>
      </w:r>
      <w:r>
        <w:t xml:space="preserve">Conceptualization, Methodology, Software, Validation, Formal analysis, Investigation, Resources, Data curation, Writing - original draft, Writing - review &amp; editing, Visualization, Supervision, Project administration.</w:t>
      </w:r>
    </w:p>
    <w:p>
      <w:r>
        <w:pict>
          <v:rect style="width:0;height:1.5pt" o:hralign="center" o:hrstd="t" o:hr="t"/>
        </w:pict>
      </w:r>
    </w:p>
    <w:bookmarkEnd w:id="74"/>
    <w:bookmarkStart w:id="75" w:name="declaration-of-competing-interests"/>
    <w:p>
      <w:pPr>
        <w:pStyle w:val="Heading2"/>
      </w:pPr>
      <w:r>
        <w:t xml:space="preserve">Declaration of Competing Interests</w:t>
      </w:r>
    </w:p>
    <w:p>
      <w:pPr>
        <w:pStyle w:val="FirstParagraph"/>
      </w:pPr>
      <w:r>
        <w:t xml:space="preserve">The author declares no competing interests. IPFLang is released as open-source software with no commercial affiliations.</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2025-12-18T05:03:54Z</dcterms:created>
  <dcterms:modified xsi:type="dcterms:W3CDTF">2025-12-18T05:03:54Z</dcterms:modified>
</cp:coreProperties>
</file>

<file path=docProps/custom.xml><?xml version="1.0" encoding="utf-8"?>
<Properties xmlns="http://schemas.openxmlformats.org/officeDocument/2006/custom-properties" xmlns:vt="http://schemas.openxmlformats.org/officeDocument/2006/docPropsVTypes"/>
</file>