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641A5" w14:textId="77777777" w:rsidR="00CD4C2C" w:rsidRDefault="00000000">
      <w:pPr>
        <w:pStyle w:val="Heading1"/>
      </w:pPr>
      <w:bookmarkStart w:id="0" w:name="Xc950876f1e1ea20f627cc54952fa83ebebff490"/>
      <w:r>
        <w:t>IPFLang: A Domain-Specific Language for Standardizing Multi-Jurisdiction Intellectual Property Fee Calculation</w:t>
      </w:r>
    </w:p>
    <w:p w14:paraId="7691544B" w14:textId="08BE1FB1" w:rsidR="00CD4C2C" w:rsidRDefault="00000000">
      <w:pPr>
        <w:pStyle w:val="FirstParagraph"/>
      </w:pPr>
      <w:r>
        <w:rPr>
          <w:b/>
          <w:bCs/>
        </w:rPr>
        <w:t>Valer Bocan, PhD, CSSLP</w:t>
      </w:r>
      <w:r w:rsidR="0025530B">
        <w:rPr>
          <w:b/>
          <w:bCs/>
        </w:rPr>
        <w:br/>
      </w:r>
      <w:r>
        <w:t>Department of Computer and Information Technology</w:t>
      </w:r>
      <w:r w:rsidR="0025530B">
        <w:br/>
      </w:r>
      <w:proofErr w:type="spellStart"/>
      <w:r>
        <w:t>Politehnica</w:t>
      </w:r>
      <w:proofErr w:type="spellEnd"/>
      <w:r>
        <w:t xml:space="preserve"> University </w:t>
      </w:r>
      <w:r w:rsidR="0025530B">
        <w:t xml:space="preserve">of </w:t>
      </w:r>
      <w:proofErr w:type="spellStart"/>
      <w:r w:rsidR="0025530B">
        <w:t>Timișoara</w:t>
      </w:r>
      <w:proofErr w:type="spellEnd"/>
      <w:r w:rsidR="0025530B">
        <w:t xml:space="preserve">, 300223 </w:t>
      </w:r>
      <w:r>
        <w:t>Timisoara, Romania</w:t>
      </w:r>
      <w:r w:rsidR="0025530B">
        <w:br/>
      </w:r>
      <w:r>
        <w:t xml:space="preserve">Email: </w:t>
      </w:r>
      <w:hyperlink r:id="rId8" w:history="1">
        <w:r w:rsidR="0025530B" w:rsidRPr="00213429">
          <w:rPr>
            <w:rStyle w:val="Hyperlink"/>
          </w:rPr>
          <w:t>valer.bocan@upt.ro</w:t>
        </w:r>
      </w:hyperlink>
      <w:r w:rsidR="0025530B">
        <w:br/>
      </w:r>
      <w:r>
        <w:t>ORCID: 0009-0006-9084-4064</w:t>
      </w:r>
    </w:p>
    <w:p w14:paraId="1A6F9215" w14:textId="77777777" w:rsidR="00CD4C2C" w:rsidRDefault="00000000">
      <w:pPr>
        <w:pStyle w:val="Heading2"/>
      </w:pPr>
      <w:bookmarkStart w:id="1" w:name="abstract"/>
      <w:r>
        <w:t>Abstract</w:t>
      </w:r>
    </w:p>
    <w:p w14:paraId="4543EF9E" w14:textId="77777777" w:rsidR="00CD4C2C" w:rsidRDefault="00000000">
      <w:pPr>
        <w:pStyle w:val="FirstParagraph"/>
      </w:pPr>
      <w:r>
        <w:t>The intellectual property management industry faces interoperability challenges due to fragmented, proprietary fee calculation implementations across patent offices—no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type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5A4C5EE2" w14:textId="77777777" w:rsidR="00CD4C2C" w:rsidRDefault="00000000">
      <w:pPr>
        <w:pStyle w:val="BodyText"/>
      </w:pPr>
      <w:r>
        <w:rPr>
          <w:b/>
          <w:bCs/>
        </w:rPr>
        <w:t>Keywords:</w:t>
      </w:r>
      <w:r>
        <w:t xml:space="preserve"> domain-specific language, intellectual property, standardization, interoperability, type systems, static verification, regulatory automation, formal specification</w:t>
      </w:r>
    </w:p>
    <w:p w14:paraId="53F714FD" w14:textId="77777777" w:rsidR="00CD4C2C" w:rsidRDefault="00000000">
      <w:pPr>
        <w:pStyle w:val="Heading2"/>
      </w:pPr>
      <w:bookmarkStart w:id="2" w:name="highlights"/>
      <w:bookmarkEnd w:id="1"/>
      <w:r>
        <w:t>Highlights</w:t>
      </w:r>
    </w:p>
    <w:p w14:paraId="48ED135D" w14:textId="77777777" w:rsidR="00CD4C2C" w:rsidRDefault="00000000">
      <w:pPr>
        <w:pStyle w:val="Compact"/>
        <w:numPr>
          <w:ilvl w:val="0"/>
          <w:numId w:val="2"/>
        </w:numPr>
      </w:pPr>
      <w:r>
        <w:t>Formal DSL specification addressing the IP fee calculation standardization gap</w:t>
      </w:r>
    </w:p>
    <w:p w14:paraId="4A0CAE60" w14:textId="77777777" w:rsidR="00CD4C2C" w:rsidRDefault="00000000">
      <w:pPr>
        <w:pStyle w:val="Compact"/>
        <w:numPr>
          <w:ilvl w:val="0"/>
          <w:numId w:val="2"/>
        </w:numPr>
      </w:pPr>
      <w:r>
        <w:t>Currency-aware type system with 161 ISO 4217 currencies preventing cross-currency errors statically</w:t>
      </w:r>
    </w:p>
    <w:p w14:paraId="638A7FAD" w14:textId="77777777" w:rsidR="00CD4C2C" w:rsidRDefault="00000000">
      <w:pPr>
        <w:pStyle w:val="Compact"/>
        <w:numPr>
          <w:ilvl w:val="0"/>
          <w:numId w:val="2"/>
        </w:numPr>
      </w:pPr>
      <w:r>
        <w:t>Static analysis of fee completeness (formal guarantees for bounded domains) and monotonicity</w:t>
      </w:r>
    </w:p>
    <w:p w14:paraId="5350F1C7" w14:textId="77777777" w:rsidR="00CD4C2C" w:rsidRDefault="00000000">
      <w:pPr>
        <w:pStyle w:val="Compact"/>
        <w:numPr>
          <w:ilvl w:val="0"/>
          <w:numId w:val="2"/>
        </w:numPr>
      </w:pPr>
      <w:r>
        <w:t>Provenance tracking with counterfactual analysis for auditability</w:t>
      </w:r>
    </w:p>
    <w:p w14:paraId="635848A4" w14:textId="77777777" w:rsidR="00CD4C2C" w:rsidRDefault="00000000">
      <w:pPr>
        <w:pStyle w:val="Compact"/>
        <w:numPr>
          <w:ilvl w:val="0"/>
          <w:numId w:val="2"/>
        </w:numPr>
      </w:pPr>
      <w:r>
        <w:t>Expert validation of 118 production jurisdiction files covering PCT national/regional phase entry fees</w:t>
      </w:r>
    </w:p>
    <w:p w14:paraId="4CE7A441" w14:textId="77777777" w:rsidR="00CD4C2C" w:rsidRDefault="00000000">
      <w:pPr>
        <w:pStyle w:val="Compact"/>
        <w:numPr>
          <w:ilvl w:val="0"/>
          <w:numId w:val="2"/>
        </w:numPr>
      </w:pPr>
      <w:r>
        <w:t>Open-source reference implementation enabling vendor-independent fee computation</w:t>
      </w:r>
    </w:p>
    <w:p w14:paraId="0D43C33E" w14:textId="77777777" w:rsidR="00CD4C2C" w:rsidRDefault="00000000">
      <w:pPr>
        <w:pStyle w:val="Heading2"/>
      </w:pPr>
      <w:bookmarkStart w:id="3" w:name="introduction"/>
      <w:bookmarkEnd w:id="2"/>
      <w:r>
        <w:lastRenderedPageBreak/>
        <w:t>1. Introduction</w:t>
      </w:r>
    </w:p>
    <w:p w14:paraId="7BA5C6E9" w14:textId="77777777" w:rsidR="00CD4C2C" w:rsidRDefault="00000000">
      <w:pPr>
        <w:pStyle w:val="Heading3"/>
      </w:pPr>
      <w:bookmarkStart w:id="4" w:name="the-ip-technology-fragmentation-problem"/>
      <w:r>
        <w:t>1.1 The IP Technology Fragmentation Problem</w:t>
      </w:r>
    </w:p>
    <w:p w14:paraId="21CCCAFD" w14:textId="77777777" w:rsidR="00CD4C2C"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48940694" w14:textId="77777777" w:rsidR="00CD4C2C"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71CD3E38" w14:textId="77777777" w:rsidR="00CD4C2C"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69D8DE1B" w14:textId="77777777" w:rsidR="00CD4C2C" w:rsidRDefault="00000000">
      <w:pPr>
        <w:pStyle w:val="BodyText"/>
      </w:pPr>
      <w:r>
        <w:t>The situation is further complicated by the proprietary nature of calculation logic itself. Fee computation rules remain embedded in server-side code, entirely inaccessible to practitioners who must verify accuracy against frequently-updated official fee schedules. When discrepancies arise between calculated and actual fees, practitioners find themselves unable to diagnose whether errors stem from incorrect inputs or flawed calculation logic, as the underlying implementation remains opaque.</w:t>
      </w:r>
    </w:p>
    <w:p w14:paraId="3FCDA413" w14:textId="77777777" w:rsidR="00CD4C2C"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4F1C46D1" w14:textId="77777777" w:rsidR="00CD4C2C" w:rsidRDefault="00000000">
      <w:pPr>
        <w:pStyle w:val="Heading3"/>
      </w:pPr>
      <w:bookmarkStart w:id="5" w:name="the-need-for-standardization"/>
      <w:bookmarkEnd w:id="4"/>
      <w:r>
        <w:t>1.2 The Need for Standardization</w:t>
      </w:r>
    </w:p>
    <w:p w14:paraId="0AD59892" w14:textId="77777777" w:rsidR="00CD4C2C" w:rsidRDefault="00000000">
      <w:pPr>
        <w:pStyle w:val="FirstParagraph"/>
      </w:pPr>
      <w:r>
        <w:t xml:space="preserve">Successful technology domains achieve interoperability through open standards. SQL standardized database queries through ISO/IEC 9075, HTML standardized web content through W3C specifications, and XML Schema standardized data validation under the </w:t>
      </w:r>
      <w:r>
        <w:lastRenderedPageBreak/>
        <w:t>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standardization effort must navigate.</w:t>
      </w:r>
    </w:p>
    <w:p w14:paraId="3F4AC7F2" w14:textId="77777777" w:rsidR="00CD4C2C" w:rsidRDefault="00000000">
      <w:pPr>
        <w:pStyle w:val="BodyText"/>
      </w:pPr>
      <w:r>
        <w:t>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32E55D84" w14:textId="77777777" w:rsidR="00CD4C2C" w:rsidRDefault="00000000">
      <w:pPr>
        <w:pStyle w:val="Heading3"/>
      </w:pPr>
      <w:bookmarkStart w:id="6" w:name="research-questions-and-contributions"/>
      <w:bookmarkEnd w:id="5"/>
      <w:r>
        <w:t>1.3 Research Questions and Contributions</w:t>
      </w:r>
    </w:p>
    <w:p w14:paraId="24415930" w14:textId="77777777" w:rsidR="00CD4C2C" w:rsidRDefault="00000000">
      <w:pPr>
        <w:pStyle w:val="FirstParagraph"/>
      </w:pPr>
      <w:r>
        <w:t>This work addresses four fundamental questions regarding standardization of IP fee calculations.</w:t>
      </w:r>
    </w:p>
    <w:p w14:paraId="7A073DCE" w14:textId="77777777" w:rsidR="00CD4C2C" w:rsidRDefault="00000000">
      <w:pPr>
        <w:pStyle w:val="BodyText"/>
      </w:pPr>
      <w:r>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02DB10F5" w14:textId="77777777" w:rsidR="00CD4C2C" w:rsidRDefault="00000000">
      <w:pPr>
        <w:pStyle w:val="BodyText"/>
      </w:pPr>
      <w:r>
        <w:t>This paper presents IPFLang (Intellectual Property Fees Language), a domain-specific language specification for multi-jurisdiction fee calculations, with five principal contributions:</w:t>
      </w:r>
    </w:p>
    <w:p w14:paraId="29264A11" w14:textId="77777777" w:rsidR="00CD4C2C"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3CF43775" w14:textId="77777777" w:rsidR="00CD4C2C"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000066B7" w14:textId="77777777" w:rsidR="00CD4C2C" w:rsidRDefault="00000000">
      <w:pPr>
        <w:numPr>
          <w:ilvl w:val="0"/>
          <w:numId w:val="3"/>
        </w:numPr>
      </w:pPr>
      <w:r>
        <w:rPr>
          <w:b/>
          <w:bCs/>
        </w:rPr>
        <w:t>Provenance and Auditability</w:t>
      </w:r>
      <w:r>
        <w:t xml:space="preserve"> (Section 5): Execution tracing showing how final amounts derive from input parameters, with counterfactual analysis enabling what-if scenarios for regulatory compliance.</w:t>
      </w:r>
    </w:p>
    <w:p w14:paraId="2A711A7A" w14:textId="77777777" w:rsidR="00CD4C2C" w:rsidRDefault="00000000">
      <w:pPr>
        <w:numPr>
          <w:ilvl w:val="0"/>
          <w:numId w:val="3"/>
        </w:numPr>
      </w:pPr>
      <w:r>
        <w:rPr>
          <w:b/>
          <w:bCs/>
        </w:rPr>
        <w:lastRenderedPageBreak/>
        <w:t>Reference Implementation</w:t>
      </w:r>
      <w:r>
        <w:t xml:space="preserve"> (Section 6): An open-source command-line tool released under GPLv3 demonstrating IPFLang execution with 260 test methods validating type safety and verification correctness.</w:t>
      </w:r>
    </w:p>
    <w:p w14:paraId="5011834D" w14:textId="77777777" w:rsidR="00CD4C2C"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4AE70573" w14:textId="77777777" w:rsidR="00CD4C2C" w:rsidRDefault="00000000">
      <w:pPr>
        <w:pStyle w:val="Heading3"/>
      </w:pPr>
      <w:bookmarkStart w:id="7" w:name="paper-organization"/>
      <w:bookmarkEnd w:id="6"/>
      <w:r>
        <w:t>1.4 Paper Organization</w:t>
      </w:r>
    </w:p>
    <w:p w14:paraId="1BC8FCDF" w14:textId="77777777" w:rsidR="00CD4C2C"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0E671E75" w14:textId="77777777" w:rsidR="00CD4C2C" w:rsidRDefault="00000000">
      <w:pPr>
        <w:pStyle w:val="Heading2"/>
      </w:pPr>
      <w:bookmarkStart w:id="8" w:name="related-work-and-standards-landscape"/>
      <w:bookmarkEnd w:id="3"/>
      <w:bookmarkEnd w:id="7"/>
      <w:r>
        <w:t>2. Related Work and Standards Landscape</w:t>
      </w:r>
    </w:p>
    <w:p w14:paraId="250838E9" w14:textId="77777777" w:rsidR="00CD4C2C" w:rsidRDefault="00000000">
      <w:pPr>
        <w:pStyle w:val="Heading3"/>
      </w:pPr>
      <w:bookmarkStart w:id="9" w:name="existing-ip-data-standards"/>
      <w:r>
        <w:t>2.1 Existing IP Data Standards</w:t>
      </w:r>
    </w:p>
    <w:p w14:paraId="477C0448" w14:textId="77777777" w:rsidR="00CD4C2C" w:rsidRDefault="00000000">
      <w:pPr>
        <w:pStyle w:val="FirstParagraph"/>
      </w:pPr>
      <w:r>
        <w:t>The IP technology domain has achieved partial standardization in data exchange but lacks standards for computational tasks like fee calculation.</w:t>
      </w:r>
    </w:p>
    <w:p w14:paraId="7BBD1C7D" w14:textId="77777777" w:rsidR="00CD4C2C"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20FADB8D" w14:textId="77777777" w:rsidR="00CD4C2C"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52C578AD" w14:textId="77777777" w:rsidR="00CD4C2C"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7CB3777C" w14:textId="77777777" w:rsidR="00CD4C2C" w:rsidRDefault="00000000">
      <w:pPr>
        <w:pStyle w:val="Heading3"/>
      </w:pPr>
      <w:bookmarkStart w:id="10" w:name="X738f784980d4a29760e47e790d6c25ae91fb2d9"/>
      <w:bookmarkEnd w:id="9"/>
      <w:r>
        <w:lastRenderedPageBreak/>
        <w:t>2.2 Domain-Specific Languages for Legal Domains</w:t>
      </w:r>
    </w:p>
    <w:p w14:paraId="0BFBCCCE" w14:textId="77777777" w:rsidR="00CD4C2C" w:rsidRDefault="00000000">
      <w:pPr>
        <w:pStyle w:val="FirstParagraph"/>
      </w:pPr>
      <w:r>
        <w:t>Academic research in computational law has produced several DSLs for legal rules, yet none address regulatory fee calculations with multi-currency and multi-jurisdiction requirements.</w:t>
      </w:r>
    </w:p>
    <w:p w14:paraId="55ECBEF2" w14:textId="77777777" w:rsidR="00CD4C2C"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76662805" w14:textId="77777777" w:rsidR="00CD4C2C" w:rsidRDefault="00000000">
      <w:pPr>
        <w:pStyle w:val="BodyText"/>
      </w:pPr>
      <w:r>
        <w:t>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481A4D6A" w14:textId="77777777" w:rsidR="00CD4C2C"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3418B041" w14:textId="77777777" w:rsidR="00CD4C2C"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consumption—a concept related to IPFLang’s tracking of monetary values across fee computations.</w:t>
      </w:r>
    </w:p>
    <w:p w14:paraId="322E71CD" w14:textId="77777777" w:rsidR="00CD4C2C"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3AD08430" w14:textId="77777777" w:rsidR="00CD4C2C" w:rsidRDefault="00000000">
      <w:pPr>
        <w:pStyle w:val="BodyText"/>
      </w:pPr>
      <w:r>
        <w:lastRenderedPageBreak/>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6C6C008C" w14:textId="77777777" w:rsidR="00CD4C2C" w:rsidRDefault="00000000">
      <w:pPr>
        <w:pStyle w:val="Heading3"/>
      </w:pPr>
      <w:bookmarkStart w:id="11" w:name="regulatory-automation-and-rules-engines"/>
      <w:bookmarkEnd w:id="10"/>
      <w:r>
        <w:t>2.3 Regulatory Automation and Rules Engines</w:t>
      </w:r>
    </w:p>
    <w:p w14:paraId="065DF645" w14:textId="77777777" w:rsidR="00CD4C2C" w:rsidRDefault="00000000">
      <w:pPr>
        <w:pStyle w:val="FirstParagraph"/>
      </w:pPr>
      <w:r>
        <w:t>Automated compliance checking represents a related domain where technology assists regulatory interpretation.</w:t>
      </w:r>
    </w:p>
    <w:p w14:paraId="5DBD6ED6" w14:textId="77777777" w:rsidR="00CD4C2C"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4751E34E" w14:textId="77777777" w:rsidR="00CD4C2C"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2B89FFD4" w14:textId="77777777" w:rsidR="00CD4C2C" w:rsidRDefault="00000000">
      <w:pPr>
        <w:pStyle w:val="BodyText"/>
      </w:pPr>
      <w:r>
        <w:rPr>
          <w:b/>
          <w:bCs/>
        </w:rPr>
        <w:t>[INSERT FIGURE 1: figures/figure1_dsl_comparison.mmd - Comparison of Legal DSLs and Rules Engines]</w:t>
      </w:r>
    </w:p>
    <w:p w14:paraId="68282F58" w14:textId="77777777" w:rsidR="00CD4C2C"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809"/>
        <w:gridCol w:w="1701"/>
        <w:gridCol w:w="1560"/>
        <w:gridCol w:w="1417"/>
        <w:gridCol w:w="1418"/>
        <w:gridCol w:w="1337"/>
      </w:tblGrid>
      <w:tr w:rsidR="00CD4C2C" w:rsidRPr="0025530B" w14:paraId="65F0515D" w14:textId="77777777" w:rsidTr="0025530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8AD402C" w14:textId="77777777" w:rsidR="00CD4C2C" w:rsidRPr="0025530B" w:rsidRDefault="00000000">
            <w:pPr>
              <w:pStyle w:val="Compact"/>
              <w:rPr>
                <w:sz w:val="20"/>
                <w:szCs w:val="20"/>
              </w:rPr>
            </w:pPr>
            <w:r w:rsidRPr="0025530B">
              <w:rPr>
                <w:sz w:val="20"/>
                <w:szCs w:val="20"/>
              </w:rPr>
              <w:t>Feature</w:t>
            </w:r>
          </w:p>
        </w:tc>
        <w:tc>
          <w:tcPr>
            <w:tcW w:w="1701" w:type="dxa"/>
          </w:tcPr>
          <w:p w14:paraId="5983C5D4" w14:textId="77777777" w:rsidR="00CD4C2C" w:rsidRPr="0025530B"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25530B">
              <w:rPr>
                <w:sz w:val="20"/>
                <w:szCs w:val="20"/>
              </w:rPr>
              <w:t>IPFLang</w:t>
            </w:r>
          </w:p>
        </w:tc>
        <w:tc>
          <w:tcPr>
            <w:cnfStyle w:val="000010000000" w:firstRow="0" w:lastRow="0" w:firstColumn="0" w:lastColumn="0" w:oddVBand="1" w:evenVBand="0" w:oddHBand="0" w:evenHBand="0" w:firstRowFirstColumn="0" w:firstRowLastColumn="0" w:lastRowFirstColumn="0" w:lastRowLastColumn="0"/>
            <w:tcW w:w="1560" w:type="dxa"/>
          </w:tcPr>
          <w:p w14:paraId="2F493ACC" w14:textId="77777777" w:rsidR="00CD4C2C" w:rsidRPr="0025530B" w:rsidRDefault="00000000">
            <w:pPr>
              <w:pStyle w:val="Compact"/>
              <w:rPr>
                <w:sz w:val="20"/>
                <w:szCs w:val="20"/>
              </w:rPr>
            </w:pPr>
            <w:r w:rsidRPr="0025530B">
              <w:rPr>
                <w:sz w:val="20"/>
                <w:szCs w:val="20"/>
              </w:rPr>
              <w:t>Catala</w:t>
            </w:r>
          </w:p>
        </w:tc>
        <w:tc>
          <w:tcPr>
            <w:tcW w:w="1417" w:type="dxa"/>
          </w:tcPr>
          <w:p w14:paraId="2761635A" w14:textId="77777777" w:rsidR="00CD4C2C" w:rsidRPr="0025530B"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25530B">
              <w:rPr>
                <w:sz w:val="20"/>
                <w:szCs w:val="20"/>
              </w:rPr>
              <w:t>LegalRuleML</w:t>
            </w:r>
          </w:p>
        </w:tc>
        <w:tc>
          <w:tcPr>
            <w:cnfStyle w:val="000010000000" w:firstRow="0" w:lastRow="0" w:firstColumn="0" w:lastColumn="0" w:oddVBand="1" w:evenVBand="0" w:oddHBand="0" w:evenHBand="0" w:firstRowFirstColumn="0" w:firstRowLastColumn="0" w:lastRowFirstColumn="0" w:lastRowLastColumn="0"/>
            <w:tcW w:w="1418" w:type="dxa"/>
          </w:tcPr>
          <w:p w14:paraId="5E2D32DC" w14:textId="77777777" w:rsidR="00CD4C2C" w:rsidRPr="0025530B" w:rsidRDefault="00000000">
            <w:pPr>
              <w:pStyle w:val="Compact"/>
              <w:rPr>
                <w:sz w:val="20"/>
                <w:szCs w:val="20"/>
              </w:rPr>
            </w:pPr>
            <w:r w:rsidRPr="0025530B">
              <w:rPr>
                <w:sz w:val="20"/>
                <w:szCs w:val="20"/>
              </w:rPr>
              <w:t>Drools</w:t>
            </w:r>
          </w:p>
        </w:tc>
        <w:tc>
          <w:tcPr>
            <w:tcW w:w="1337" w:type="dxa"/>
          </w:tcPr>
          <w:p w14:paraId="0705007C" w14:textId="77777777" w:rsidR="00CD4C2C" w:rsidRPr="0025530B"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25530B">
              <w:rPr>
                <w:sz w:val="20"/>
                <w:szCs w:val="20"/>
              </w:rPr>
              <w:t>OpenFisca</w:t>
            </w:r>
          </w:p>
        </w:tc>
      </w:tr>
      <w:tr w:rsidR="00CD4C2C" w:rsidRPr="0025530B" w14:paraId="2F412F53"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F6E3F17" w14:textId="77777777" w:rsidR="00CD4C2C" w:rsidRPr="0025530B" w:rsidRDefault="00000000">
            <w:pPr>
              <w:pStyle w:val="Compact"/>
              <w:rPr>
                <w:sz w:val="20"/>
                <w:szCs w:val="20"/>
              </w:rPr>
            </w:pPr>
            <w:r w:rsidRPr="0025530B">
              <w:rPr>
                <w:sz w:val="20"/>
                <w:szCs w:val="20"/>
              </w:rPr>
              <w:t>Primary Domain</w:t>
            </w:r>
          </w:p>
        </w:tc>
        <w:tc>
          <w:tcPr>
            <w:tcW w:w="1701" w:type="dxa"/>
          </w:tcPr>
          <w:p w14:paraId="53773B2F"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IP fees</w:t>
            </w:r>
          </w:p>
        </w:tc>
        <w:tc>
          <w:tcPr>
            <w:cnfStyle w:val="000010000000" w:firstRow="0" w:lastRow="0" w:firstColumn="0" w:lastColumn="0" w:oddVBand="1" w:evenVBand="0" w:oddHBand="0" w:evenHBand="0" w:firstRowFirstColumn="0" w:firstRowLastColumn="0" w:lastRowFirstColumn="0" w:lastRowLastColumn="0"/>
            <w:tcW w:w="1560" w:type="dxa"/>
          </w:tcPr>
          <w:p w14:paraId="20264E25" w14:textId="77777777" w:rsidR="00CD4C2C" w:rsidRPr="0025530B" w:rsidRDefault="00000000">
            <w:pPr>
              <w:pStyle w:val="Compact"/>
              <w:rPr>
                <w:sz w:val="20"/>
                <w:szCs w:val="20"/>
              </w:rPr>
            </w:pPr>
            <w:r w:rsidRPr="0025530B">
              <w:rPr>
                <w:sz w:val="20"/>
                <w:szCs w:val="20"/>
              </w:rPr>
              <w:t>Tax law</w:t>
            </w:r>
          </w:p>
        </w:tc>
        <w:tc>
          <w:tcPr>
            <w:tcW w:w="1417" w:type="dxa"/>
          </w:tcPr>
          <w:p w14:paraId="7890B3A2"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Compliance</w:t>
            </w:r>
          </w:p>
        </w:tc>
        <w:tc>
          <w:tcPr>
            <w:cnfStyle w:val="000010000000" w:firstRow="0" w:lastRow="0" w:firstColumn="0" w:lastColumn="0" w:oddVBand="1" w:evenVBand="0" w:oddHBand="0" w:evenHBand="0" w:firstRowFirstColumn="0" w:firstRowLastColumn="0" w:lastRowFirstColumn="0" w:lastRowLastColumn="0"/>
            <w:tcW w:w="1418" w:type="dxa"/>
          </w:tcPr>
          <w:p w14:paraId="62485804" w14:textId="77777777" w:rsidR="00CD4C2C" w:rsidRPr="0025530B" w:rsidRDefault="00000000">
            <w:pPr>
              <w:pStyle w:val="Compact"/>
              <w:rPr>
                <w:sz w:val="20"/>
                <w:szCs w:val="20"/>
              </w:rPr>
            </w:pPr>
            <w:r w:rsidRPr="0025530B">
              <w:rPr>
                <w:sz w:val="20"/>
                <w:szCs w:val="20"/>
              </w:rPr>
              <w:t>General</w:t>
            </w:r>
          </w:p>
        </w:tc>
        <w:tc>
          <w:tcPr>
            <w:tcW w:w="1337" w:type="dxa"/>
          </w:tcPr>
          <w:p w14:paraId="0C658F90"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Tax-benefit</w:t>
            </w:r>
          </w:p>
        </w:tc>
      </w:tr>
      <w:tr w:rsidR="00CD4C2C" w:rsidRPr="0025530B" w14:paraId="415C4D05"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72C15CD7" w14:textId="77777777" w:rsidR="00CD4C2C" w:rsidRPr="0025530B" w:rsidRDefault="00000000">
            <w:pPr>
              <w:pStyle w:val="Compact"/>
              <w:rPr>
                <w:sz w:val="20"/>
                <w:szCs w:val="20"/>
              </w:rPr>
            </w:pPr>
            <w:r w:rsidRPr="0025530B">
              <w:rPr>
                <w:sz w:val="20"/>
                <w:szCs w:val="20"/>
              </w:rPr>
              <w:t>Type Safety</w:t>
            </w:r>
          </w:p>
        </w:tc>
        <w:tc>
          <w:tcPr>
            <w:tcW w:w="1701" w:type="dxa"/>
          </w:tcPr>
          <w:p w14:paraId="7F138E33"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Currency-aware</w:t>
            </w:r>
          </w:p>
        </w:tc>
        <w:tc>
          <w:tcPr>
            <w:cnfStyle w:val="000010000000" w:firstRow="0" w:lastRow="0" w:firstColumn="0" w:lastColumn="0" w:oddVBand="1" w:evenVBand="0" w:oddHBand="0" w:evenHBand="0" w:firstRowFirstColumn="0" w:firstRowLastColumn="0" w:lastRowFirstColumn="0" w:lastRowLastColumn="0"/>
            <w:tcW w:w="1560" w:type="dxa"/>
          </w:tcPr>
          <w:p w14:paraId="2C434286" w14:textId="77777777" w:rsidR="00CD4C2C" w:rsidRPr="0025530B" w:rsidRDefault="00000000">
            <w:pPr>
              <w:pStyle w:val="Compact"/>
              <w:rPr>
                <w:sz w:val="20"/>
                <w:szCs w:val="20"/>
              </w:rPr>
            </w:pPr>
            <w:r w:rsidRPr="0025530B">
              <w:rPr>
                <w:sz w:val="20"/>
                <w:szCs w:val="20"/>
              </w:rPr>
              <w:t>Dependent types</w:t>
            </w:r>
          </w:p>
        </w:tc>
        <w:tc>
          <w:tcPr>
            <w:tcW w:w="1417" w:type="dxa"/>
          </w:tcPr>
          <w:p w14:paraId="2B5BDC3B"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None</w:t>
            </w:r>
          </w:p>
        </w:tc>
        <w:tc>
          <w:tcPr>
            <w:cnfStyle w:val="000010000000" w:firstRow="0" w:lastRow="0" w:firstColumn="0" w:lastColumn="0" w:oddVBand="1" w:evenVBand="0" w:oddHBand="0" w:evenHBand="0" w:firstRowFirstColumn="0" w:firstRowLastColumn="0" w:lastRowFirstColumn="0" w:lastRowLastColumn="0"/>
            <w:tcW w:w="1418" w:type="dxa"/>
          </w:tcPr>
          <w:p w14:paraId="7E1C9D32" w14:textId="77777777" w:rsidR="00CD4C2C" w:rsidRPr="0025530B" w:rsidRDefault="00000000">
            <w:pPr>
              <w:pStyle w:val="Compact"/>
              <w:rPr>
                <w:sz w:val="20"/>
                <w:szCs w:val="20"/>
              </w:rPr>
            </w:pPr>
            <w:r w:rsidRPr="0025530B">
              <w:rPr>
                <w:sz w:val="20"/>
                <w:szCs w:val="20"/>
              </w:rPr>
              <w:t>None</w:t>
            </w:r>
          </w:p>
        </w:tc>
        <w:tc>
          <w:tcPr>
            <w:tcW w:w="1337" w:type="dxa"/>
          </w:tcPr>
          <w:p w14:paraId="2AC7783C"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Runtime</w:t>
            </w:r>
          </w:p>
        </w:tc>
      </w:tr>
      <w:tr w:rsidR="00CD4C2C" w:rsidRPr="0025530B" w14:paraId="332E904E"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0D038DA3" w14:textId="77777777" w:rsidR="00CD4C2C" w:rsidRPr="0025530B" w:rsidRDefault="00000000">
            <w:pPr>
              <w:pStyle w:val="Compact"/>
              <w:rPr>
                <w:sz w:val="20"/>
                <w:szCs w:val="20"/>
              </w:rPr>
            </w:pPr>
            <w:r w:rsidRPr="0025530B">
              <w:rPr>
                <w:sz w:val="20"/>
                <w:szCs w:val="20"/>
              </w:rPr>
              <w:t>Multi-currency</w:t>
            </w:r>
          </w:p>
        </w:tc>
        <w:tc>
          <w:tcPr>
            <w:tcW w:w="1701" w:type="dxa"/>
          </w:tcPr>
          <w:p w14:paraId="5C5D715E"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Built-in (161 ISO 4217)</w:t>
            </w:r>
          </w:p>
        </w:tc>
        <w:tc>
          <w:tcPr>
            <w:cnfStyle w:val="000010000000" w:firstRow="0" w:lastRow="0" w:firstColumn="0" w:lastColumn="0" w:oddVBand="1" w:evenVBand="0" w:oddHBand="0" w:evenHBand="0" w:firstRowFirstColumn="0" w:firstRowLastColumn="0" w:lastRowFirstColumn="0" w:lastRowLastColumn="0"/>
            <w:tcW w:w="1560" w:type="dxa"/>
          </w:tcPr>
          <w:p w14:paraId="07D3041C" w14:textId="77777777" w:rsidR="00CD4C2C" w:rsidRPr="0025530B" w:rsidRDefault="00000000">
            <w:pPr>
              <w:pStyle w:val="Compact"/>
              <w:rPr>
                <w:sz w:val="20"/>
                <w:szCs w:val="20"/>
              </w:rPr>
            </w:pPr>
            <w:r w:rsidRPr="0025530B">
              <w:rPr>
                <w:sz w:val="20"/>
                <w:szCs w:val="20"/>
              </w:rPr>
              <w:t>User-definable</w:t>
            </w:r>
          </w:p>
        </w:tc>
        <w:tc>
          <w:tcPr>
            <w:tcW w:w="1417" w:type="dxa"/>
          </w:tcPr>
          <w:p w14:paraId="45515B4C"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c>
          <w:tcPr>
            <w:cnfStyle w:val="000010000000" w:firstRow="0" w:lastRow="0" w:firstColumn="0" w:lastColumn="0" w:oddVBand="1" w:evenVBand="0" w:oddHBand="0" w:evenHBand="0" w:firstRowFirstColumn="0" w:firstRowLastColumn="0" w:lastRowFirstColumn="0" w:lastRowLastColumn="0"/>
            <w:tcW w:w="1418" w:type="dxa"/>
          </w:tcPr>
          <w:p w14:paraId="5D284421" w14:textId="77777777" w:rsidR="00CD4C2C" w:rsidRPr="0025530B" w:rsidRDefault="00000000">
            <w:pPr>
              <w:pStyle w:val="Compact"/>
              <w:rPr>
                <w:sz w:val="20"/>
                <w:szCs w:val="20"/>
              </w:rPr>
            </w:pPr>
            <w:r w:rsidRPr="0025530B">
              <w:rPr>
                <w:sz w:val="20"/>
                <w:szCs w:val="20"/>
              </w:rPr>
              <w:t>No</w:t>
            </w:r>
          </w:p>
        </w:tc>
        <w:tc>
          <w:tcPr>
            <w:tcW w:w="1337" w:type="dxa"/>
          </w:tcPr>
          <w:p w14:paraId="6CCA97CD"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Limited</w:t>
            </w:r>
          </w:p>
        </w:tc>
      </w:tr>
      <w:tr w:rsidR="00CD4C2C" w:rsidRPr="0025530B" w14:paraId="3C3CC85E"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1C62CB7E" w14:textId="77777777" w:rsidR="00CD4C2C" w:rsidRPr="0025530B" w:rsidRDefault="00000000">
            <w:pPr>
              <w:pStyle w:val="Compact"/>
              <w:rPr>
                <w:sz w:val="20"/>
                <w:szCs w:val="20"/>
              </w:rPr>
            </w:pPr>
            <w:r w:rsidRPr="0025530B">
              <w:rPr>
                <w:sz w:val="20"/>
                <w:szCs w:val="20"/>
              </w:rPr>
              <w:t>Static Verification</w:t>
            </w:r>
          </w:p>
        </w:tc>
        <w:tc>
          <w:tcPr>
            <w:tcW w:w="1701" w:type="dxa"/>
          </w:tcPr>
          <w:p w14:paraId="15255B5F"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Completeness, Monotonicity</w:t>
            </w:r>
          </w:p>
        </w:tc>
        <w:tc>
          <w:tcPr>
            <w:cnfStyle w:val="000010000000" w:firstRow="0" w:lastRow="0" w:firstColumn="0" w:lastColumn="0" w:oddVBand="1" w:evenVBand="0" w:oddHBand="0" w:evenHBand="0" w:firstRowFirstColumn="0" w:firstRowLastColumn="0" w:lastRowFirstColumn="0" w:lastRowLastColumn="0"/>
            <w:tcW w:w="1560" w:type="dxa"/>
          </w:tcPr>
          <w:p w14:paraId="552F00A3" w14:textId="77777777" w:rsidR="00CD4C2C" w:rsidRPr="0025530B" w:rsidRDefault="00000000">
            <w:pPr>
              <w:pStyle w:val="Compact"/>
              <w:rPr>
                <w:sz w:val="20"/>
                <w:szCs w:val="20"/>
              </w:rPr>
            </w:pPr>
            <w:r w:rsidRPr="0025530B">
              <w:rPr>
                <w:sz w:val="20"/>
                <w:szCs w:val="20"/>
              </w:rPr>
              <w:t>Exhaustiveness</w:t>
            </w:r>
          </w:p>
        </w:tc>
        <w:tc>
          <w:tcPr>
            <w:tcW w:w="1417" w:type="dxa"/>
          </w:tcPr>
          <w:p w14:paraId="07383EBE"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Defeasibility</w:t>
            </w:r>
          </w:p>
        </w:tc>
        <w:tc>
          <w:tcPr>
            <w:cnfStyle w:val="000010000000" w:firstRow="0" w:lastRow="0" w:firstColumn="0" w:lastColumn="0" w:oddVBand="1" w:evenVBand="0" w:oddHBand="0" w:evenHBand="0" w:firstRowFirstColumn="0" w:firstRowLastColumn="0" w:lastRowFirstColumn="0" w:lastRowLastColumn="0"/>
            <w:tcW w:w="1418" w:type="dxa"/>
          </w:tcPr>
          <w:p w14:paraId="13CBA41E" w14:textId="77777777" w:rsidR="00CD4C2C" w:rsidRPr="0025530B" w:rsidRDefault="00000000">
            <w:pPr>
              <w:pStyle w:val="Compact"/>
              <w:rPr>
                <w:sz w:val="20"/>
                <w:szCs w:val="20"/>
              </w:rPr>
            </w:pPr>
            <w:r w:rsidRPr="0025530B">
              <w:rPr>
                <w:sz w:val="20"/>
                <w:szCs w:val="20"/>
              </w:rPr>
              <w:t>None</w:t>
            </w:r>
          </w:p>
        </w:tc>
        <w:tc>
          <w:tcPr>
            <w:tcW w:w="1337" w:type="dxa"/>
          </w:tcPr>
          <w:p w14:paraId="0663C302"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None</w:t>
            </w:r>
          </w:p>
        </w:tc>
      </w:tr>
      <w:tr w:rsidR="00CD4C2C" w:rsidRPr="0025530B" w14:paraId="65BB5025"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02DF912C" w14:textId="77777777" w:rsidR="00CD4C2C" w:rsidRPr="0025530B" w:rsidRDefault="00000000">
            <w:pPr>
              <w:pStyle w:val="Compact"/>
              <w:rPr>
                <w:sz w:val="20"/>
                <w:szCs w:val="20"/>
              </w:rPr>
            </w:pPr>
            <w:r w:rsidRPr="0025530B">
              <w:rPr>
                <w:sz w:val="20"/>
                <w:szCs w:val="20"/>
              </w:rPr>
              <w:t>Syntax Style</w:t>
            </w:r>
          </w:p>
        </w:tc>
        <w:tc>
          <w:tcPr>
            <w:tcW w:w="1701" w:type="dxa"/>
          </w:tcPr>
          <w:p w14:paraId="55D1025A"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Declarative keywords</w:t>
            </w:r>
          </w:p>
        </w:tc>
        <w:tc>
          <w:tcPr>
            <w:cnfStyle w:val="000010000000" w:firstRow="0" w:lastRow="0" w:firstColumn="0" w:lastColumn="0" w:oddVBand="1" w:evenVBand="0" w:oddHBand="0" w:evenHBand="0" w:firstRowFirstColumn="0" w:firstRowLastColumn="0" w:lastRowFirstColumn="0" w:lastRowLastColumn="0"/>
            <w:tcW w:w="1560" w:type="dxa"/>
          </w:tcPr>
          <w:p w14:paraId="4E540778" w14:textId="77777777" w:rsidR="00CD4C2C" w:rsidRPr="0025530B" w:rsidRDefault="00000000">
            <w:pPr>
              <w:pStyle w:val="Compact"/>
              <w:rPr>
                <w:sz w:val="20"/>
                <w:szCs w:val="20"/>
              </w:rPr>
            </w:pPr>
            <w:r w:rsidRPr="0025530B">
              <w:rPr>
                <w:sz w:val="20"/>
                <w:szCs w:val="20"/>
              </w:rPr>
              <w:t>Literate</w:t>
            </w:r>
          </w:p>
        </w:tc>
        <w:tc>
          <w:tcPr>
            <w:tcW w:w="1417" w:type="dxa"/>
          </w:tcPr>
          <w:p w14:paraId="08AF7019"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XML</w:t>
            </w:r>
          </w:p>
        </w:tc>
        <w:tc>
          <w:tcPr>
            <w:cnfStyle w:val="000010000000" w:firstRow="0" w:lastRow="0" w:firstColumn="0" w:lastColumn="0" w:oddVBand="1" w:evenVBand="0" w:oddHBand="0" w:evenHBand="0" w:firstRowFirstColumn="0" w:firstRowLastColumn="0" w:lastRowFirstColumn="0" w:lastRowLastColumn="0"/>
            <w:tcW w:w="1418" w:type="dxa"/>
          </w:tcPr>
          <w:p w14:paraId="4D6C18F7" w14:textId="77777777" w:rsidR="00CD4C2C" w:rsidRPr="0025530B" w:rsidRDefault="00000000">
            <w:pPr>
              <w:pStyle w:val="Compact"/>
              <w:rPr>
                <w:sz w:val="20"/>
                <w:szCs w:val="20"/>
              </w:rPr>
            </w:pPr>
            <w:r w:rsidRPr="0025530B">
              <w:rPr>
                <w:sz w:val="20"/>
                <w:szCs w:val="20"/>
              </w:rPr>
              <w:t>Drools DRL</w:t>
            </w:r>
          </w:p>
        </w:tc>
        <w:tc>
          <w:tcPr>
            <w:tcW w:w="1337" w:type="dxa"/>
          </w:tcPr>
          <w:p w14:paraId="4706AA2D"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Python</w:t>
            </w:r>
          </w:p>
        </w:tc>
      </w:tr>
      <w:tr w:rsidR="00CD4C2C" w:rsidRPr="0025530B" w14:paraId="00EEDFA7"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5DFE8670" w14:textId="77777777" w:rsidR="00CD4C2C" w:rsidRPr="0025530B" w:rsidRDefault="00000000">
            <w:pPr>
              <w:pStyle w:val="Compact"/>
              <w:rPr>
                <w:sz w:val="20"/>
                <w:szCs w:val="20"/>
              </w:rPr>
            </w:pPr>
            <w:r w:rsidRPr="0025530B">
              <w:rPr>
                <w:sz w:val="20"/>
                <w:szCs w:val="20"/>
              </w:rPr>
              <w:t>Target User</w:t>
            </w:r>
          </w:p>
        </w:tc>
        <w:tc>
          <w:tcPr>
            <w:tcW w:w="1701" w:type="dxa"/>
          </w:tcPr>
          <w:p w14:paraId="08785F37"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Domain experts</w:t>
            </w:r>
          </w:p>
        </w:tc>
        <w:tc>
          <w:tcPr>
            <w:cnfStyle w:val="000010000000" w:firstRow="0" w:lastRow="0" w:firstColumn="0" w:lastColumn="0" w:oddVBand="1" w:evenVBand="0" w:oddHBand="0" w:evenHBand="0" w:firstRowFirstColumn="0" w:firstRowLastColumn="0" w:lastRowFirstColumn="0" w:lastRowLastColumn="0"/>
            <w:tcW w:w="1560" w:type="dxa"/>
          </w:tcPr>
          <w:p w14:paraId="0CE9835F" w14:textId="77777777" w:rsidR="00CD4C2C" w:rsidRPr="0025530B" w:rsidRDefault="00000000">
            <w:pPr>
              <w:pStyle w:val="Compact"/>
              <w:rPr>
                <w:sz w:val="20"/>
                <w:szCs w:val="20"/>
              </w:rPr>
            </w:pPr>
            <w:r w:rsidRPr="0025530B">
              <w:rPr>
                <w:sz w:val="20"/>
                <w:szCs w:val="20"/>
              </w:rPr>
              <w:t>Formal methods experts</w:t>
            </w:r>
          </w:p>
        </w:tc>
        <w:tc>
          <w:tcPr>
            <w:tcW w:w="1417" w:type="dxa"/>
          </w:tcPr>
          <w:p w14:paraId="75618470"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Ontology engineers</w:t>
            </w:r>
          </w:p>
        </w:tc>
        <w:tc>
          <w:tcPr>
            <w:cnfStyle w:val="000010000000" w:firstRow="0" w:lastRow="0" w:firstColumn="0" w:lastColumn="0" w:oddVBand="1" w:evenVBand="0" w:oddHBand="0" w:evenHBand="0" w:firstRowFirstColumn="0" w:firstRowLastColumn="0" w:lastRowFirstColumn="0" w:lastRowLastColumn="0"/>
            <w:tcW w:w="1418" w:type="dxa"/>
          </w:tcPr>
          <w:p w14:paraId="3922ADFB" w14:textId="77777777" w:rsidR="00CD4C2C" w:rsidRPr="0025530B" w:rsidRDefault="00000000">
            <w:pPr>
              <w:pStyle w:val="Compact"/>
              <w:rPr>
                <w:sz w:val="20"/>
                <w:szCs w:val="20"/>
              </w:rPr>
            </w:pPr>
            <w:r w:rsidRPr="0025530B">
              <w:rPr>
                <w:sz w:val="20"/>
                <w:szCs w:val="20"/>
              </w:rPr>
              <w:t>Developers</w:t>
            </w:r>
          </w:p>
        </w:tc>
        <w:tc>
          <w:tcPr>
            <w:tcW w:w="1337" w:type="dxa"/>
          </w:tcPr>
          <w:p w14:paraId="0279423D"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Developers</w:t>
            </w:r>
          </w:p>
        </w:tc>
      </w:tr>
      <w:tr w:rsidR="00CD4C2C" w:rsidRPr="0025530B" w14:paraId="57E8F5A7"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706B3B4" w14:textId="77777777" w:rsidR="00CD4C2C" w:rsidRPr="0025530B" w:rsidRDefault="00000000">
            <w:pPr>
              <w:pStyle w:val="Compact"/>
              <w:rPr>
                <w:sz w:val="20"/>
                <w:szCs w:val="20"/>
              </w:rPr>
            </w:pPr>
            <w:r w:rsidRPr="0025530B">
              <w:rPr>
                <w:sz w:val="20"/>
                <w:szCs w:val="20"/>
              </w:rPr>
              <w:t>Multi-jurisdiction</w:t>
            </w:r>
          </w:p>
        </w:tc>
        <w:tc>
          <w:tcPr>
            <w:tcW w:w="1701" w:type="dxa"/>
          </w:tcPr>
          <w:p w14:paraId="0728ED69"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Composition</w:t>
            </w:r>
          </w:p>
        </w:tc>
        <w:tc>
          <w:tcPr>
            <w:cnfStyle w:val="000010000000" w:firstRow="0" w:lastRow="0" w:firstColumn="0" w:lastColumn="0" w:oddVBand="1" w:evenVBand="0" w:oddHBand="0" w:evenHBand="0" w:firstRowFirstColumn="0" w:firstRowLastColumn="0" w:lastRowFirstColumn="0" w:lastRowLastColumn="0"/>
            <w:tcW w:w="1560" w:type="dxa"/>
          </w:tcPr>
          <w:p w14:paraId="48288087" w14:textId="77777777" w:rsidR="00CD4C2C" w:rsidRPr="0025530B" w:rsidRDefault="00000000">
            <w:pPr>
              <w:pStyle w:val="Compact"/>
              <w:rPr>
                <w:sz w:val="20"/>
                <w:szCs w:val="20"/>
              </w:rPr>
            </w:pPr>
            <w:r w:rsidRPr="0025530B">
              <w:rPr>
                <w:sz w:val="20"/>
                <w:szCs w:val="20"/>
              </w:rPr>
              <w:t>No</w:t>
            </w:r>
          </w:p>
        </w:tc>
        <w:tc>
          <w:tcPr>
            <w:tcW w:w="1417" w:type="dxa"/>
          </w:tcPr>
          <w:p w14:paraId="54D79B66"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c>
          <w:tcPr>
            <w:cnfStyle w:val="000010000000" w:firstRow="0" w:lastRow="0" w:firstColumn="0" w:lastColumn="0" w:oddVBand="1" w:evenVBand="0" w:oddHBand="0" w:evenHBand="0" w:firstRowFirstColumn="0" w:firstRowLastColumn="0" w:lastRowFirstColumn="0" w:lastRowLastColumn="0"/>
            <w:tcW w:w="1418" w:type="dxa"/>
          </w:tcPr>
          <w:p w14:paraId="6E718885" w14:textId="77777777" w:rsidR="00CD4C2C" w:rsidRPr="0025530B" w:rsidRDefault="00000000">
            <w:pPr>
              <w:pStyle w:val="Compact"/>
              <w:rPr>
                <w:sz w:val="20"/>
                <w:szCs w:val="20"/>
              </w:rPr>
            </w:pPr>
            <w:r w:rsidRPr="0025530B">
              <w:rPr>
                <w:sz w:val="20"/>
                <w:szCs w:val="20"/>
              </w:rPr>
              <w:t>No</w:t>
            </w:r>
          </w:p>
        </w:tc>
        <w:tc>
          <w:tcPr>
            <w:tcW w:w="1337" w:type="dxa"/>
          </w:tcPr>
          <w:p w14:paraId="148F48CF"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Yes</w:t>
            </w:r>
          </w:p>
        </w:tc>
      </w:tr>
      <w:tr w:rsidR="00CD4C2C" w:rsidRPr="0025530B" w14:paraId="120AE0D0"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1F24FA50" w14:textId="77777777" w:rsidR="00CD4C2C" w:rsidRPr="0025530B" w:rsidRDefault="00000000">
            <w:pPr>
              <w:pStyle w:val="Compact"/>
              <w:rPr>
                <w:sz w:val="20"/>
                <w:szCs w:val="20"/>
              </w:rPr>
            </w:pPr>
            <w:r w:rsidRPr="0025530B">
              <w:rPr>
                <w:sz w:val="20"/>
                <w:szCs w:val="20"/>
              </w:rPr>
              <w:t>Interoperability Focus</w:t>
            </w:r>
          </w:p>
        </w:tc>
        <w:tc>
          <w:tcPr>
            <w:tcW w:w="1701" w:type="dxa"/>
          </w:tcPr>
          <w:p w14:paraId="68A37F17"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Multi-jurisdiction</w:t>
            </w:r>
          </w:p>
        </w:tc>
        <w:tc>
          <w:tcPr>
            <w:cnfStyle w:val="000010000000" w:firstRow="0" w:lastRow="0" w:firstColumn="0" w:lastColumn="0" w:oddVBand="1" w:evenVBand="0" w:oddHBand="0" w:evenHBand="0" w:firstRowFirstColumn="0" w:firstRowLastColumn="0" w:lastRowFirstColumn="0" w:lastRowLastColumn="0"/>
            <w:tcW w:w="1560" w:type="dxa"/>
          </w:tcPr>
          <w:p w14:paraId="634F7FC0" w14:textId="77777777" w:rsidR="00CD4C2C" w:rsidRPr="0025530B" w:rsidRDefault="00000000">
            <w:pPr>
              <w:pStyle w:val="Compact"/>
              <w:rPr>
                <w:sz w:val="20"/>
                <w:szCs w:val="20"/>
              </w:rPr>
            </w:pPr>
            <w:proofErr w:type="gramStart"/>
            <w:r w:rsidRPr="0025530B">
              <w:rPr>
                <w:sz w:val="20"/>
                <w:szCs w:val="20"/>
              </w:rPr>
              <w:t>Single-jurisdiction</w:t>
            </w:r>
            <w:proofErr w:type="gramEnd"/>
          </w:p>
        </w:tc>
        <w:tc>
          <w:tcPr>
            <w:tcW w:w="1417" w:type="dxa"/>
          </w:tcPr>
          <w:p w14:paraId="7BE4E640"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Ontology mapping</w:t>
            </w:r>
          </w:p>
        </w:tc>
        <w:tc>
          <w:tcPr>
            <w:cnfStyle w:val="000010000000" w:firstRow="0" w:lastRow="0" w:firstColumn="0" w:lastColumn="0" w:oddVBand="1" w:evenVBand="0" w:oddHBand="0" w:evenHBand="0" w:firstRowFirstColumn="0" w:firstRowLastColumn="0" w:lastRowFirstColumn="0" w:lastRowLastColumn="0"/>
            <w:tcW w:w="1418" w:type="dxa"/>
          </w:tcPr>
          <w:p w14:paraId="17622EF9" w14:textId="77777777" w:rsidR="00CD4C2C" w:rsidRPr="0025530B" w:rsidRDefault="00000000">
            <w:pPr>
              <w:pStyle w:val="Compact"/>
              <w:rPr>
                <w:sz w:val="20"/>
                <w:szCs w:val="20"/>
              </w:rPr>
            </w:pPr>
            <w:r w:rsidRPr="0025530B">
              <w:rPr>
                <w:sz w:val="20"/>
                <w:szCs w:val="20"/>
              </w:rPr>
              <w:t>Integration APIs</w:t>
            </w:r>
          </w:p>
        </w:tc>
        <w:tc>
          <w:tcPr>
            <w:tcW w:w="1337" w:type="dxa"/>
          </w:tcPr>
          <w:p w14:paraId="2CB0B48A"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Country modules</w:t>
            </w:r>
          </w:p>
        </w:tc>
      </w:tr>
      <w:tr w:rsidR="00CD4C2C" w:rsidRPr="0025530B" w14:paraId="3D948E12" w14:textId="77777777" w:rsidTr="0025530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65F3466" w14:textId="77777777" w:rsidR="00CD4C2C" w:rsidRPr="0025530B" w:rsidRDefault="00000000">
            <w:pPr>
              <w:pStyle w:val="Compact"/>
              <w:rPr>
                <w:sz w:val="20"/>
                <w:szCs w:val="20"/>
              </w:rPr>
            </w:pPr>
            <w:r w:rsidRPr="0025530B">
              <w:rPr>
                <w:sz w:val="20"/>
                <w:szCs w:val="20"/>
              </w:rPr>
              <w:lastRenderedPageBreak/>
              <w:t>Provenance</w:t>
            </w:r>
          </w:p>
        </w:tc>
        <w:tc>
          <w:tcPr>
            <w:tcW w:w="1701" w:type="dxa"/>
          </w:tcPr>
          <w:p w14:paraId="4D6A06AB"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560" w:type="dxa"/>
          </w:tcPr>
          <w:p w14:paraId="778EB140" w14:textId="77777777" w:rsidR="00CD4C2C" w:rsidRPr="0025530B" w:rsidRDefault="00000000">
            <w:pPr>
              <w:pStyle w:val="Compact"/>
              <w:rPr>
                <w:sz w:val="20"/>
                <w:szCs w:val="20"/>
              </w:rPr>
            </w:pPr>
            <w:r w:rsidRPr="0025530B">
              <w:rPr>
                <w:sz w:val="20"/>
                <w:szCs w:val="20"/>
              </w:rPr>
              <w:t>No</w:t>
            </w:r>
          </w:p>
        </w:tc>
        <w:tc>
          <w:tcPr>
            <w:tcW w:w="1417" w:type="dxa"/>
          </w:tcPr>
          <w:p w14:paraId="3832CA01"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c>
          <w:tcPr>
            <w:cnfStyle w:val="000010000000" w:firstRow="0" w:lastRow="0" w:firstColumn="0" w:lastColumn="0" w:oddVBand="1" w:evenVBand="0" w:oddHBand="0" w:evenHBand="0" w:firstRowFirstColumn="0" w:firstRowLastColumn="0" w:lastRowFirstColumn="0" w:lastRowLastColumn="0"/>
            <w:tcW w:w="1418" w:type="dxa"/>
          </w:tcPr>
          <w:p w14:paraId="0F7C559E" w14:textId="77777777" w:rsidR="00CD4C2C" w:rsidRPr="0025530B" w:rsidRDefault="00000000">
            <w:pPr>
              <w:pStyle w:val="Compact"/>
              <w:rPr>
                <w:sz w:val="20"/>
                <w:szCs w:val="20"/>
              </w:rPr>
            </w:pPr>
            <w:r w:rsidRPr="0025530B">
              <w:rPr>
                <w:sz w:val="20"/>
                <w:szCs w:val="20"/>
              </w:rPr>
              <w:t>Audit log</w:t>
            </w:r>
          </w:p>
        </w:tc>
        <w:tc>
          <w:tcPr>
            <w:tcW w:w="1337" w:type="dxa"/>
          </w:tcPr>
          <w:p w14:paraId="2FED4C4A" w14:textId="77777777" w:rsidR="00CD4C2C" w:rsidRPr="0025530B"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25530B">
              <w:rPr>
                <w:sz w:val="20"/>
                <w:szCs w:val="20"/>
              </w:rPr>
              <w:t>No</w:t>
            </w:r>
          </w:p>
        </w:tc>
      </w:tr>
      <w:tr w:rsidR="00CD4C2C" w:rsidRPr="0025530B" w14:paraId="717041F5" w14:textId="77777777" w:rsidTr="0025530B">
        <w:tc>
          <w:tcPr>
            <w:cnfStyle w:val="000010000000" w:firstRow="0" w:lastRow="0" w:firstColumn="0" w:lastColumn="0" w:oddVBand="1" w:evenVBand="0" w:oddHBand="0" w:evenHBand="0" w:firstRowFirstColumn="0" w:firstRowLastColumn="0" w:lastRowFirstColumn="0" w:lastRowLastColumn="0"/>
            <w:tcW w:w="1809" w:type="dxa"/>
          </w:tcPr>
          <w:p w14:paraId="071B248E" w14:textId="77777777" w:rsidR="00CD4C2C" w:rsidRPr="0025530B" w:rsidRDefault="00000000">
            <w:pPr>
              <w:pStyle w:val="Compact"/>
              <w:rPr>
                <w:sz w:val="20"/>
                <w:szCs w:val="20"/>
              </w:rPr>
            </w:pPr>
            <w:r w:rsidRPr="0025530B">
              <w:rPr>
                <w:sz w:val="20"/>
                <w:szCs w:val="20"/>
              </w:rPr>
              <w:t>License</w:t>
            </w:r>
          </w:p>
        </w:tc>
        <w:tc>
          <w:tcPr>
            <w:tcW w:w="1701" w:type="dxa"/>
          </w:tcPr>
          <w:p w14:paraId="37561129"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GPLv3</w:t>
            </w:r>
          </w:p>
        </w:tc>
        <w:tc>
          <w:tcPr>
            <w:cnfStyle w:val="000010000000" w:firstRow="0" w:lastRow="0" w:firstColumn="0" w:lastColumn="0" w:oddVBand="1" w:evenVBand="0" w:oddHBand="0" w:evenHBand="0" w:firstRowFirstColumn="0" w:firstRowLastColumn="0" w:lastRowFirstColumn="0" w:lastRowLastColumn="0"/>
            <w:tcW w:w="1560" w:type="dxa"/>
          </w:tcPr>
          <w:p w14:paraId="7BDD26DC" w14:textId="77777777" w:rsidR="00CD4C2C" w:rsidRPr="0025530B" w:rsidRDefault="00000000">
            <w:pPr>
              <w:pStyle w:val="Compact"/>
              <w:rPr>
                <w:sz w:val="20"/>
                <w:szCs w:val="20"/>
              </w:rPr>
            </w:pPr>
            <w:r w:rsidRPr="0025530B">
              <w:rPr>
                <w:sz w:val="20"/>
                <w:szCs w:val="20"/>
              </w:rPr>
              <w:t>Apache 2.0</w:t>
            </w:r>
          </w:p>
        </w:tc>
        <w:tc>
          <w:tcPr>
            <w:tcW w:w="1417" w:type="dxa"/>
          </w:tcPr>
          <w:p w14:paraId="6E28C55F"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OASIS</w:t>
            </w:r>
          </w:p>
        </w:tc>
        <w:tc>
          <w:tcPr>
            <w:cnfStyle w:val="000010000000" w:firstRow="0" w:lastRow="0" w:firstColumn="0" w:lastColumn="0" w:oddVBand="1" w:evenVBand="0" w:oddHBand="0" w:evenHBand="0" w:firstRowFirstColumn="0" w:firstRowLastColumn="0" w:lastRowFirstColumn="0" w:lastRowLastColumn="0"/>
            <w:tcW w:w="1418" w:type="dxa"/>
          </w:tcPr>
          <w:p w14:paraId="2D28CCAB" w14:textId="77777777" w:rsidR="00CD4C2C" w:rsidRPr="0025530B" w:rsidRDefault="00000000">
            <w:pPr>
              <w:pStyle w:val="Compact"/>
              <w:rPr>
                <w:sz w:val="20"/>
                <w:szCs w:val="20"/>
              </w:rPr>
            </w:pPr>
            <w:r w:rsidRPr="0025530B">
              <w:rPr>
                <w:sz w:val="20"/>
                <w:szCs w:val="20"/>
              </w:rPr>
              <w:t>Apache 2.0</w:t>
            </w:r>
          </w:p>
        </w:tc>
        <w:tc>
          <w:tcPr>
            <w:tcW w:w="1337" w:type="dxa"/>
          </w:tcPr>
          <w:p w14:paraId="1140790A" w14:textId="77777777" w:rsidR="00CD4C2C" w:rsidRPr="0025530B"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25530B">
              <w:rPr>
                <w:sz w:val="20"/>
                <w:szCs w:val="20"/>
              </w:rPr>
              <w:t>AGPL</w:t>
            </w:r>
          </w:p>
        </w:tc>
      </w:tr>
    </w:tbl>
    <w:p w14:paraId="7A9F3F39" w14:textId="77777777" w:rsidR="00CD4C2C" w:rsidRDefault="00000000">
      <w:pPr>
        <w:pStyle w:val="BodyText"/>
      </w:pPr>
      <w:r>
        <w:rPr>
          <w:i/>
          <w:iCs/>
        </w:rPr>
        <w:t>Table 1: Comparison of Legal DSLs and Rules Engines</w:t>
      </w:r>
    </w:p>
    <w:p w14:paraId="4A496B36" w14:textId="77777777" w:rsidR="00CD4C2C"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6B93D99F" w14:textId="77777777" w:rsidR="00CD4C2C" w:rsidRDefault="00000000">
      <w:pPr>
        <w:pStyle w:val="Heading2"/>
      </w:pPr>
      <w:bookmarkStart w:id="12" w:name="ipflang-language-specification"/>
      <w:bookmarkEnd w:id="8"/>
      <w:bookmarkEnd w:id="11"/>
      <w:r>
        <w:t>3. IPFLang Language Specification</w:t>
      </w:r>
    </w:p>
    <w:p w14:paraId="22108BE5" w14:textId="77777777" w:rsidR="00CD4C2C" w:rsidRDefault="00000000">
      <w:pPr>
        <w:pStyle w:val="Heading3"/>
      </w:pPr>
      <w:bookmarkStart w:id="13" w:name="design-principles"/>
      <w:r>
        <w:t>3.1 Design Principles</w:t>
      </w:r>
    </w:p>
    <w:p w14:paraId="6FD38FA7" w14:textId="77777777" w:rsidR="00CD4C2C"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223AF41A" w14:textId="77777777" w:rsidR="00CD4C2C"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4AB35BCB" w14:textId="77777777" w:rsidR="00CD4C2C" w:rsidRDefault="00000000">
      <w:pPr>
        <w:pStyle w:val="BodyText"/>
      </w:pPr>
      <w:r>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5DD5461F" w14:textId="77777777" w:rsidR="00CD4C2C" w:rsidRDefault="00000000">
      <w:pPr>
        <w:pStyle w:val="BodyText"/>
      </w:pPr>
      <w:r>
        <w:t>The third principle establishes a static type system. Input declarations explicitly specify types including NUMBER, LIST, MULTILIST, BOOLEAN, DATE, and AMOUNT, enabling compile-time validation. Static typing prevents runtime errors from type mismatches and provides clear parameter documentation.</w:t>
      </w:r>
    </w:p>
    <w:p w14:paraId="59F0091F" w14:textId="77777777" w:rsidR="00CD4C2C" w:rsidRDefault="00000000">
      <w:pPr>
        <w:pStyle w:val="BodyText"/>
      </w:pPr>
      <w:r>
        <w:t>The fourth principle maintains minimal syntax complexity. Language features target the minimum necessary for regulatory fee calculations. Structured blocks such as DEFINE…ENDDEFINE and COMPUTE…ENDCOMPUTE with explicit terminators aid comprehension and prevent syntax errors common in expression-based languages.</w:t>
      </w:r>
    </w:p>
    <w:p w14:paraId="689ADFBF" w14:textId="77777777" w:rsidR="00CD4C2C"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18869B66" w14:textId="77777777" w:rsidR="00CD4C2C" w:rsidRDefault="00000000">
      <w:pPr>
        <w:pStyle w:val="BodyText"/>
      </w:pPr>
      <w:r>
        <w:lastRenderedPageBreak/>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7F0458F0" w14:textId="77777777" w:rsidR="00CD4C2C" w:rsidRDefault="00000000">
      <w:pPr>
        <w:pStyle w:val="Heading3"/>
      </w:pPr>
      <w:bookmarkStart w:id="14" w:name="language-syntax-overview"/>
      <w:bookmarkEnd w:id="13"/>
      <w:r>
        <w:t>3.2 Language Syntax Overview</w:t>
      </w:r>
    </w:p>
    <w:p w14:paraId="64D4FAED" w14:textId="77777777" w:rsidR="00CD4C2C" w:rsidRDefault="00000000">
      <w:pPr>
        <w:pStyle w:val="FirstParagraph"/>
      </w:pPr>
      <w:r>
        <w:rPr>
          <w:b/>
          <w:bCs/>
        </w:rPr>
        <w:t>[INSERT FIGURE 2: figures/figure5_syntax_structure.mmd - IPFLang Program Structure]</w:t>
      </w:r>
    </w:p>
    <w:p w14:paraId="59AB4D28" w14:textId="77777777" w:rsidR="00CD4C2C" w:rsidRDefault="00000000">
      <w:pPr>
        <w:pStyle w:val="BodyText"/>
      </w:pPr>
      <w:r>
        <w:t>IPFLang programs consist of several sections:</w:t>
      </w:r>
    </w:p>
    <w:p w14:paraId="1BBBE96D" w14:textId="77777777" w:rsidR="00CD4C2C" w:rsidRDefault="00000000">
      <w:pPr>
        <w:pStyle w:val="SourceCode"/>
      </w:pPr>
      <w:r>
        <w:rPr>
          <w:rStyle w:val="VerbatimChar"/>
        </w:rPr>
        <w:t>[Version Declaration]     // Optional metadata</w:t>
      </w:r>
      <w:r>
        <w:br/>
      </w:r>
      <w:r>
        <w:rPr>
          <w:rStyle w:val="VerbatimChar"/>
        </w:rPr>
        <w:t>[Group Definitions]       // Optional UI organization</w:t>
      </w:r>
      <w:r>
        <w:br/>
      </w:r>
      <w:r>
        <w:rPr>
          <w:rStyle w:val="VerbatimChar"/>
        </w:rPr>
        <w:t>[Input Definitions]       // Required parameters</w:t>
      </w:r>
      <w:r>
        <w:br/>
      </w:r>
      <w:r>
        <w:rPr>
          <w:rStyle w:val="VerbatimChar"/>
        </w:rPr>
        <w:t>[Fee Computations]        // Fee calculation logic</w:t>
      </w:r>
      <w:r>
        <w:br/>
      </w:r>
      <w:r>
        <w:rPr>
          <w:rStyle w:val="VerbatimChar"/>
        </w:rPr>
        <w:t>[Verification Directives] // Optional static checks</w:t>
      </w:r>
      <w:r>
        <w:br/>
      </w:r>
      <w:r>
        <w:rPr>
          <w:rStyle w:val="VerbatimChar"/>
        </w:rPr>
        <w:t>[Return Statements]       // Optional named outputs</w:t>
      </w:r>
    </w:p>
    <w:p w14:paraId="12F6B1AC" w14:textId="77777777" w:rsidR="00CD4C2C" w:rsidRDefault="00000000">
      <w:pPr>
        <w:pStyle w:val="Heading3"/>
      </w:pPr>
      <w:bookmarkStart w:id="15" w:name="version-declaration"/>
      <w:bookmarkEnd w:id="14"/>
      <w:r>
        <w:t>3.3 Version Declaration</w:t>
      </w:r>
    </w:p>
    <w:p w14:paraId="1D0ADA5E" w14:textId="77777777" w:rsidR="00CD4C2C" w:rsidRDefault="00000000">
      <w:pPr>
        <w:pStyle w:val="FirstParagraph"/>
      </w:pPr>
      <w:r>
        <w:t>Fee schedules change frequently, requiring version tracking with effective dates.</w:t>
      </w:r>
    </w:p>
    <w:p w14:paraId="44681B8B" w14:textId="77777777" w:rsidR="00CD4C2C" w:rsidRDefault="00000000">
      <w:pPr>
        <w:pStyle w:val="BodyText"/>
      </w:pPr>
      <w:r>
        <w:rPr>
          <w:b/>
          <w:bCs/>
        </w:rPr>
        <w:t>Syntax:</w:t>
      </w:r>
    </w:p>
    <w:p w14:paraId="68F583B4" w14:textId="77777777" w:rsidR="00CD4C2C" w:rsidRDefault="00000000">
      <w:pPr>
        <w:pStyle w:val="SourceCode"/>
      </w:pPr>
      <w:r>
        <w:rPr>
          <w:rStyle w:val="VerbatimChar"/>
        </w:rPr>
        <w:t>VERSION '&lt;VersionId&gt;' EFFECTIVE &lt;date&gt; [DESCRIPTION '&lt;description&gt;'] [REFERENCE '&lt;reference&gt;']</w:t>
      </w:r>
    </w:p>
    <w:p w14:paraId="2DCA72EC" w14:textId="77777777" w:rsidR="00CD4C2C" w:rsidRDefault="00000000">
      <w:pPr>
        <w:pStyle w:val="FirstParagraph"/>
      </w:pPr>
      <w:r>
        <w:rPr>
          <w:b/>
          <w:bCs/>
        </w:rPr>
        <w:t>Example:</w:t>
      </w:r>
    </w:p>
    <w:p w14:paraId="4AA79C1A" w14:textId="77777777" w:rsidR="00CD4C2C" w:rsidRDefault="00000000">
      <w:pPr>
        <w:pStyle w:val="SourceCode"/>
      </w:pPr>
      <w:r>
        <w:rPr>
          <w:rStyle w:val="VerbatimChar"/>
        </w:rPr>
        <w:t>VERSION '2024.1' EFFECTIVE 01.04.2024 DESCRIPTION 'EPO official fees 2024' REFERENCE 'EPO Official Journal 2024/03'</w:t>
      </w:r>
    </w:p>
    <w:p w14:paraId="1B1C7F84" w14:textId="77777777" w:rsidR="00CD4C2C"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2F54BE46" w14:textId="77777777" w:rsidR="00CD4C2C" w:rsidRDefault="00000000">
      <w:pPr>
        <w:pStyle w:val="Heading3"/>
      </w:pPr>
      <w:bookmarkStart w:id="16" w:name="input-type-system"/>
      <w:bookmarkEnd w:id="15"/>
      <w:r>
        <w:t>3.4 Input Type System</w:t>
      </w:r>
    </w:p>
    <w:p w14:paraId="61145CAB" w14:textId="77777777" w:rsidR="00CD4C2C" w:rsidRDefault="00000000">
      <w:pPr>
        <w:pStyle w:val="FirstParagraph"/>
      </w:pPr>
      <w:r>
        <w:t>IPFLang provides six input types matching common parameter patterns across patent offices.</w:t>
      </w:r>
    </w:p>
    <w:p w14:paraId="6533F2C5" w14:textId="77777777" w:rsidR="00CD4C2C" w:rsidRDefault="00000000">
      <w:pPr>
        <w:pStyle w:val="Heading4"/>
      </w:pPr>
      <w:bookmarkStart w:id="17" w:name="list-single-choice-enumeration"/>
      <w:r>
        <w:t>3.4.1 LIST (Single-Choice Enumeration)</w:t>
      </w:r>
    </w:p>
    <w:p w14:paraId="14F569ED" w14:textId="77777777" w:rsidR="00CD4C2C" w:rsidRDefault="00000000">
      <w:pPr>
        <w:pStyle w:val="FirstParagraph"/>
      </w:pPr>
      <w:r>
        <w:t>The LIST type handles parameters with mutually exclusive options such as entity type, filing basis, or examination request.</w:t>
      </w:r>
    </w:p>
    <w:p w14:paraId="25ED7454" w14:textId="77777777" w:rsidR="00CD4C2C"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t>DEFAULT NormalEntity</w:t>
      </w:r>
      <w:r>
        <w:br/>
      </w:r>
      <w:r>
        <w:rPr>
          <w:rStyle w:val="VerbatimChar"/>
        </w:rPr>
        <w:t>ENDDEFINE</w:t>
      </w:r>
    </w:p>
    <w:p w14:paraId="21947C14" w14:textId="77777777" w:rsidR="00CD4C2C" w:rsidRDefault="00000000">
      <w:pPr>
        <w:pStyle w:val="Heading4"/>
      </w:pPr>
      <w:bookmarkStart w:id="18" w:name="multilist-multi-choice-enumeration"/>
      <w:bookmarkEnd w:id="17"/>
      <w:r>
        <w:lastRenderedPageBreak/>
        <w:t>3.4.2 MULTILIST (Multi-Choice Enumeration)</w:t>
      </w:r>
    </w:p>
    <w:p w14:paraId="5868E2A1" w14:textId="77777777" w:rsidR="00CD4C2C"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4ACB32BF" w14:textId="77777777" w:rsidR="00CD4C2C"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7066B7AE" w14:textId="77777777" w:rsidR="00CD4C2C" w:rsidRDefault="00000000">
      <w:pPr>
        <w:pStyle w:val="FirstParagraph"/>
      </w:pPr>
      <w:r>
        <w:rPr>
          <w:b/>
          <w:bCs/>
        </w:rPr>
        <w:t>Usage:</w:t>
      </w:r>
      <w:r>
        <w:t xml:space="preserve"> </w:t>
      </w:r>
      <w:r>
        <w:rPr>
          <w:rStyle w:val="VerbatimChar"/>
        </w:rPr>
        <w:t>YIELD 100 * Countries!COUNT</w:t>
      </w:r>
    </w:p>
    <w:p w14:paraId="2FA17670" w14:textId="77777777" w:rsidR="00CD4C2C" w:rsidRDefault="00000000">
      <w:pPr>
        <w:pStyle w:val="Heading4"/>
      </w:pPr>
      <w:bookmarkStart w:id="19" w:name="number-numeric-input"/>
      <w:bookmarkEnd w:id="18"/>
      <w:r>
        <w:t>3.4.3 NUMBER (Numeric Input)</w:t>
      </w:r>
    </w:p>
    <w:p w14:paraId="604973A3" w14:textId="77777777" w:rsidR="00CD4C2C" w:rsidRDefault="00000000">
      <w:pPr>
        <w:pStyle w:val="FirstParagraph"/>
      </w:pPr>
      <w:r>
        <w:t>The NUMBER type handles counts, quantities, and page numbers with optional constraints.</w:t>
      </w:r>
    </w:p>
    <w:p w14:paraId="7CE622F5" w14:textId="77777777" w:rsidR="00CD4C2C"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23D7FCAE" w14:textId="77777777" w:rsidR="00CD4C2C" w:rsidRDefault="00000000">
      <w:pPr>
        <w:pStyle w:val="Heading4"/>
      </w:pPr>
      <w:bookmarkStart w:id="20" w:name="boolean-yesno"/>
      <w:bookmarkEnd w:id="19"/>
      <w:r>
        <w:t>3.4.4 BOOLEAN (Yes/No)</w:t>
      </w:r>
    </w:p>
    <w:p w14:paraId="30055370" w14:textId="77777777" w:rsidR="00CD4C2C" w:rsidRDefault="00000000">
      <w:pPr>
        <w:pStyle w:val="FirstParagraph"/>
      </w:pPr>
      <w:r>
        <w:t>The BOOLEAN type represents binary choices.</w:t>
      </w:r>
    </w:p>
    <w:p w14:paraId="575EBA51" w14:textId="77777777" w:rsidR="00CD4C2C"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681E8BF7" w14:textId="77777777" w:rsidR="00CD4C2C" w:rsidRDefault="00000000">
      <w:pPr>
        <w:pStyle w:val="Heading4"/>
      </w:pPr>
      <w:bookmarkStart w:id="21" w:name="date-date-input"/>
      <w:bookmarkEnd w:id="20"/>
      <w:r>
        <w:t>3.4.5 DATE (Date Input)</w:t>
      </w:r>
    </w:p>
    <w:p w14:paraId="76EC7B10" w14:textId="77777777" w:rsidR="00CD4C2C" w:rsidRDefault="00000000">
      <w:pPr>
        <w:pStyle w:val="FirstParagraph"/>
      </w:pPr>
      <w:r>
        <w:t>The DATE type handles filing dates and priority dates for calculating time-dependent fees. Temporal properties enable calculations based on elapsed time:</w:t>
      </w:r>
    </w:p>
    <w:p w14:paraId="693A0A13" w14:textId="77777777" w:rsidR="00CD4C2C" w:rsidRDefault="00000000">
      <w:pPr>
        <w:pStyle w:val="Compact"/>
        <w:numPr>
          <w:ilvl w:val="0"/>
          <w:numId w:val="4"/>
        </w:numPr>
      </w:pPr>
      <w:r>
        <w:rPr>
          <w:rStyle w:val="VerbatimChar"/>
        </w:rPr>
        <w:t>!YEARSTONOW</w:t>
      </w:r>
      <w:r>
        <w:t xml:space="preserve"> - Years from date to current date</w:t>
      </w:r>
    </w:p>
    <w:p w14:paraId="72A15F14" w14:textId="77777777" w:rsidR="00CD4C2C" w:rsidRDefault="00000000">
      <w:pPr>
        <w:pStyle w:val="Compact"/>
        <w:numPr>
          <w:ilvl w:val="0"/>
          <w:numId w:val="4"/>
        </w:numPr>
      </w:pPr>
      <w:r>
        <w:rPr>
          <w:rStyle w:val="VerbatimChar"/>
        </w:rPr>
        <w:t>!MONTHSTONOW</w:t>
      </w:r>
      <w:r>
        <w:t xml:space="preserve"> - Months from date to current date</w:t>
      </w:r>
    </w:p>
    <w:p w14:paraId="33C97CD9" w14:textId="77777777" w:rsidR="00CD4C2C" w:rsidRDefault="00000000">
      <w:pPr>
        <w:pStyle w:val="Compact"/>
        <w:numPr>
          <w:ilvl w:val="0"/>
          <w:numId w:val="4"/>
        </w:numPr>
      </w:pPr>
      <w:r>
        <w:rPr>
          <w:rStyle w:val="VerbatimChar"/>
        </w:rPr>
        <w:t>!DAYSTONOW</w:t>
      </w:r>
      <w:r>
        <w:t xml:space="preserve"> - Days from date to current date</w:t>
      </w:r>
    </w:p>
    <w:p w14:paraId="53C770F7" w14:textId="77777777" w:rsidR="00CD4C2C" w:rsidRDefault="00000000">
      <w:pPr>
        <w:pStyle w:val="Compact"/>
        <w:numPr>
          <w:ilvl w:val="0"/>
          <w:numId w:val="4"/>
        </w:numPr>
      </w:pPr>
      <w:r>
        <w:rPr>
          <w:rStyle w:val="VerbatimChar"/>
        </w:rPr>
        <w:t>!MONTHSTONOW_FROMLASTDAY</w:t>
      </w:r>
      <w:r>
        <w:t xml:space="preserve"> - Months from end of date’s month</w:t>
      </w:r>
    </w:p>
    <w:p w14:paraId="25458F4B" w14:textId="77777777" w:rsidR="00CD4C2C"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789708BC" w14:textId="77777777" w:rsidR="00CD4C2C" w:rsidRDefault="00000000">
      <w:pPr>
        <w:pStyle w:val="FirstParagraph"/>
      </w:pPr>
      <w:r>
        <w:rPr>
          <w:b/>
          <w:bCs/>
        </w:rPr>
        <w:t>Usage:</w:t>
      </w:r>
      <w:r>
        <w:t xml:space="preserve"> </w:t>
      </w:r>
      <w:r>
        <w:rPr>
          <w:rStyle w:val="VerbatimChar"/>
        </w:rPr>
        <w:t>LET YearsSinceFiling AS FilingDate!YEARSTONOW</w:t>
      </w:r>
    </w:p>
    <w:p w14:paraId="553701FE" w14:textId="77777777" w:rsidR="00CD4C2C" w:rsidRDefault="00000000">
      <w:pPr>
        <w:pStyle w:val="Heading4"/>
      </w:pPr>
      <w:bookmarkStart w:id="22" w:name="amount-currency-aware-monetary-input"/>
      <w:bookmarkEnd w:id="21"/>
      <w:r>
        <w:lastRenderedPageBreak/>
        <w:t>3.4.6 AMOUNT (Currency-Aware Monetary Input)</w:t>
      </w:r>
    </w:p>
    <w:p w14:paraId="3A54441E" w14:textId="77777777" w:rsidR="00CD4C2C" w:rsidRDefault="00000000">
      <w:pPr>
        <w:pStyle w:val="FirstParagraph"/>
      </w:pPr>
      <w:r>
        <w:t>The AMOUNT type represents monetary values with an associated ISO 4217 currency code, enabling type-safe arithmetic.</w:t>
      </w:r>
    </w:p>
    <w:p w14:paraId="4DC5FA61" w14:textId="77777777" w:rsidR="00CD4C2C"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3F234004" w14:textId="77777777" w:rsidR="00CD4C2C" w:rsidRDefault="00000000">
      <w:pPr>
        <w:pStyle w:val="FirstParagraph"/>
      </w:pPr>
      <w:r>
        <w:t>The AMOUNT type integrates with the currency-aware type system described in Section 4, preventing accidental cross-currency arithmetic.</w:t>
      </w:r>
    </w:p>
    <w:p w14:paraId="465BBF0E" w14:textId="77777777" w:rsidR="00CD4C2C" w:rsidRDefault="00000000">
      <w:pPr>
        <w:pStyle w:val="Heading3"/>
      </w:pPr>
      <w:bookmarkStart w:id="23" w:name="group-definitions"/>
      <w:bookmarkEnd w:id="16"/>
      <w:bookmarkEnd w:id="22"/>
      <w:r>
        <w:t>3.5 Group Definitions</w:t>
      </w:r>
    </w:p>
    <w:p w14:paraId="48BD619D" w14:textId="77777777" w:rsidR="00CD4C2C" w:rsidRDefault="00000000">
      <w:pPr>
        <w:pStyle w:val="FirstParagraph"/>
      </w:pPr>
      <w:r>
        <w:t>Groups organize inputs for user interface presentation, with weights determining display order.</w:t>
      </w:r>
    </w:p>
    <w:p w14:paraId="2456A299" w14:textId="77777777" w:rsidR="00CD4C2C"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2AA883E7" w14:textId="77777777" w:rsidR="00CD4C2C" w:rsidRDefault="00000000">
      <w:pPr>
        <w:pStyle w:val="Heading3"/>
      </w:pPr>
      <w:bookmarkStart w:id="24" w:name="fee-computation-blocks"/>
      <w:bookmarkEnd w:id="23"/>
      <w:r>
        <w:t>3.6 Fee Computation Blocks</w:t>
      </w:r>
    </w:p>
    <w:p w14:paraId="1DD8F0DD" w14:textId="77777777" w:rsidR="00CD4C2C" w:rsidRDefault="00000000">
      <w:pPr>
        <w:pStyle w:val="FirstParagraph"/>
      </w:pPr>
      <w:r>
        <w:t>Fee calculations use structured COMPUTE FEE blocks with conditional YIELD statements.</w:t>
      </w:r>
    </w:p>
    <w:p w14:paraId="269D0DC0" w14:textId="77777777" w:rsidR="00CD4C2C" w:rsidRDefault="00000000">
      <w:pPr>
        <w:pStyle w:val="BodyText"/>
      </w:pPr>
      <w:r>
        <w:rPr>
          <w:b/>
          <w:bCs/>
        </w:rPr>
        <w:t>Basic syntax:</w:t>
      </w:r>
    </w:p>
    <w:p w14:paraId="722552D1" w14:textId="77777777" w:rsidR="00CD4C2C" w:rsidRDefault="00000000">
      <w:pPr>
        <w:pStyle w:val="SourceCode"/>
      </w:pPr>
      <w:r>
        <w:rPr>
          <w:rStyle w:val="VerbatimChar"/>
        </w:rPr>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1CE7147D" w14:textId="77777777" w:rsidR="00CD4C2C" w:rsidRDefault="00000000">
      <w:pPr>
        <w:pStyle w:val="FirstParagraph"/>
      </w:pPr>
      <w:r>
        <w:t>The OPTIONAL keyword distinguishes fees that may or may not apply from mandatory fees.</w:t>
      </w:r>
    </w:p>
    <w:p w14:paraId="6809BCED" w14:textId="77777777" w:rsidR="00CD4C2C" w:rsidRDefault="00000000">
      <w:pPr>
        <w:pStyle w:val="BodyText"/>
      </w:pPr>
      <w:r>
        <w:rPr>
          <w:b/>
          <w:bCs/>
        </w:rPr>
        <w:t>Example - EPO claim fees with progressive rates:</w:t>
      </w:r>
    </w:p>
    <w:p w14:paraId="58A1AECE" w14:textId="77777777" w:rsidR="00CD4C2C" w:rsidRDefault="00000000">
      <w:pPr>
        <w:pStyle w:val="SourceCode"/>
      </w:pPr>
      <w:r>
        <w:rPr>
          <w:rStyle w:val="VerbatimChar"/>
        </w:rPr>
        <w:t>COMPUTE FEE ExcessClaimsFee</w:t>
      </w:r>
      <w:r>
        <w:br/>
      </w:r>
      <w:r>
        <w:rPr>
          <w:rStyle w:val="VerbatimChar"/>
        </w:rPr>
        <w:t>LET ClaimFee1 AS 265</w:t>
      </w:r>
      <w:r>
        <w:br/>
      </w:r>
      <w:r>
        <w:rPr>
          <w:rStyle w:val="VerbatimChar"/>
        </w:rPr>
        <w:t>LET ClaimFee2 AS 660</w:t>
      </w:r>
      <w:r>
        <w:br/>
      </w:r>
      <w:r>
        <w:rPr>
          <w:rStyle w:val="VerbatimChar"/>
        </w:rPr>
        <w:t>CASE ClaimCount LTE 15 AS</w:t>
      </w:r>
      <w:r>
        <w:br/>
      </w:r>
      <w:r>
        <w:rPr>
          <w:rStyle w:val="VerbatimChar"/>
        </w:rPr>
        <w:t xml:space="preserve">  YIELD 0</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4DBC0574" w14:textId="77777777" w:rsidR="00CD4C2C" w:rsidRDefault="00000000">
      <w:pPr>
        <w:pStyle w:val="FirstParagraph"/>
      </w:pPr>
      <w:r>
        <w:lastRenderedPageBreak/>
        <w:t>This directly encodes the EPO’s fee schedule: EUR 265 per claim for claims 16-50 and EUR 660 per claim beyond 50.</w:t>
      </w:r>
    </w:p>
    <w:p w14:paraId="412A0D34" w14:textId="77777777" w:rsidR="00CD4C2C" w:rsidRDefault="00000000">
      <w:pPr>
        <w:pStyle w:val="Heading3"/>
      </w:pPr>
      <w:bookmarkStart w:id="25" w:name="currency-literals"/>
      <w:bookmarkEnd w:id="24"/>
      <w:r>
        <w:t>3.7 Currency Literals</w:t>
      </w:r>
    </w:p>
    <w:p w14:paraId="05496A79" w14:textId="77777777" w:rsidR="00CD4C2C" w:rsidRDefault="00000000">
      <w:pPr>
        <w:pStyle w:val="FirstParagraph"/>
      </w:pPr>
      <w:r>
        <w:t>Numeric values can be annotated with ISO 4217 currency codes:</w:t>
      </w:r>
    </w:p>
    <w:p w14:paraId="6C864A9E" w14:textId="77777777" w:rsidR="00CD4C2C"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76E9851C" w14:textId="77777777" w:rsidR="00CD4C2C" w:rsidRDefault="00000000">
      <w:pPr>
        <w:pStyle w:val="FirstParagraph"/>
      </w:pPr>
      <w:r>
        <w:t>The type system enforces currency compatibility at compile time, as detailed in Section 4.</w:t>
      </w:r>
    </w:p>
    <w:p w14:paraId="77A46ACB" w14:textId="77777777" w:rsidR="00CD4C2C" w:rsidRDefault="00000000">
      <w:pPr>
        <w:pStyle w:val="Heading3"/>
      </w:pPr>
      <w:bookmarkStart w:id="26" w:name="operators-and-expressions"/>
      <w:bookmarkEnd w:id="25"/>
      <w:r>
        <w:t>3.8 Operators and Expressions</w:t>
      </w:r>
    </w:p>
    <w:p w14:paraId="79A1F60A" w14:textId="77777777" w:rsidR="00CD4C2C" w:rsidRDefault="00000000">
      <w:pPr>
        <w:pStyle w:val="FirstParagraph"/>
      </w:pPr>
      <w:r>
        <w:t>IPFLang provides:</w:t>
      </w:r>
    </w:p>
    <w:p w14:paraId="5568C70E" w14:textId="77777777" w:rsidR="00CD4C2C" w:rsidRDefault="00000000">
      <w:pPr>
        <w:pStyle w:val="BodyText"/>
      </w:pPr>
      <w:r>
        <w:rPr>
          <w:b/>
          <w:bCs/>
        </w:rPr>
        <w:t>Comparison operators:</w:t>
      </w:r>
      <w:r>
        <w:t xml:space="preserve"> EQ (equality), NEQ (inequality), GT (greater than), LT (less than), GTE (greater or equal), LTE (less or equal)</w:t>
      </w:r>
    </w:p>
    <w:p w14:paraId="2FA953CE" w14:textId="77777777" w:rsidR="00CD4C2C" w:rsidRDefault="00000000">
      <w:pPr>
        <w:pStyle w:val="BodyText"/>
      </w:pPr>
      <w:r>
        <w:rPr>
          <w:b/>
          <w:bCs/>
        </w:rPr>
        <w:t>Logical operators:</w:t>
      </w:r>
      <w:r>
        <w:t xml:space="preserve"> AND, OR (with short-circuit evaluation)</w:t>
      </w:r>
    </w:p>
    <w:p w14:paraId="0E00D902" w14:textId="77777777" w:rsidR="00CD4C2C" w:rsidRDefault="00000000">
      <w:pPr>
        <w:pStyle w:val="BodyText"/>
      </w:pPr>
      <w:r>
        <w:rPr>
          <w:b/>
          <w:bCs/>
        </w:rPr>
        <w:t>Arithmetic operators:</w:t>
      </w:r>
      <w:r>
        <w:t xml:space="preserve"> +, -, *, /, with ROUND, FLOOR, CEIL functions</w:t>
      </w:r>
    </w:p>
    <w:p w14:paraId="5191ED07" w14:textId="77777777" w:rsidR="00CD4C2C" w:rsidRDefault="00000000">
      <w:pPr>
        <w:pStyle w:val="BodyText"/>
      </w:pPr>
      <w:r>
        <w:rPr>
          <w:b/>
          <w:bCs/>
        </w:rPr>
        <w:t>Set operators for MULTILIST:</w:t>
      </w:r>
      <w:r>
        <w:t xml:space="preserve"> IN (membership), NIN (non-membership), !COUNT (cardinality)</w:t>
      </w:r>
    </w:p>
    <w:p w14:paraId="663F146F" w14:textId="77777777" w:rsidR="00CD4C2C" w:rsidRDefault="00000000">
      <w:pPr>
        <w:pStyle w:val="BodyText"/>
      </w:pPr>
      <w:r>
        <w:rPr>
          <w:b/>
          <w:bCs/>
        </w:rPr>
        <w:t>Operator precedence</w:t>
      </w:r>
      <w:r>
        <w:t xml:space="preserve"> (highest to lowest): ROUND/FLOOR/CEIL, then *, /, then +, -, then comparisons, then AND, then OR. Parentheses override default precedence.</w:t>
      </w:r>
    </w:p>
    <w:p w14:paraId="1CFFDFEF" w14:textId="77777777" w:rsidR="00CD4C2C" w:rsidRDefault="00000000">
      <w:pPr>
        <w:pStyle w:val="Heading3"/>
      </w:pPr>
      <w:bookmarkStart w:id="27" w:name="jurisdiction-composition"/>
      <w:bookmarkEnd w:id="26"/>
      <w:r>
        <w:t>3.9 Jurisdiction Composition</w:t>
      </w:r>
    </w:p>
    <w:p w14:paraId="1F3EA619" w14:textId="77777777" w:rsidR="00CD4C2C" w:rsidRDefault="00000000">
      <w:pPr>
        <w:pStyle w:val="FirstParagraph"/>
      </w:pPr>
      <w:r>
        <w:t>IPFLang supports inheritance for code reuse across related fee schedules. A child jurisdiction inherits inputs and fees from a parent, can add new definitions, and can override inherited fees.</w:t>
      </w:r>
    </w:p>
    <w:p w14:paraId="4176D17E" w14:textId="77777777" w:rsidR="00CD4C2C" w:rsidRDefault="00000000">
      <w:pPr>
        <w:pStyle w:val="BodyText"/>
      </w:pPr>
      <w:r>
        <w:rPr>
          <w:b/>
          <w:bCs/>
        </w:rPr>
        <w:t>Parent (EPO base):</w:t>
      </w:r>
    </w:p>
    <w:p w14:paraId="064FA266" w14:textId="77777777" w:rsidR="00CD4C2C" w:rsidRDefault="00000000">
      <w:pPr>
        <w:pStyle w:val="SourceCode"/>
      </w:pPr>
      <w:r>
        <w:rPr>
          <w:rStyle w:val="VerbatimChar"/>
        </w:rPr>
        <w:t>COMPUTE FEE FilingFee</w:t>
      </w:r>
      <w:r>
        <w:br/>
      </w:r>
      <w:r>
        <w:rPr>
          <w:rStyle w:val="VerbatimChar"/>
        </w:rPr>
        <w:t>YIELD 135&lt;EUR&gt;</w:t>
      </w:r>
      <w:r>
        <w:br/>
      </w:r>
      <w:r>
        <w:rPr>
          <w:rStyle w:val="VerbatimChar"/>
        </w:rPr>
        <w:t>ENDCOMPUTE</w:t>
      </w:r>
    </w:p>
    <w:p w14:paraId="3815CB71" w14:textId="77777777" w:rsidR="00CD4C2C" w:rsidRDefault="00000000">
      <w:pPr>
        <w:pStyle w:val="FirstParagraph"/>
      </w:pPr>
      <w:r>
        <w:rPr>
          <w:b/>
          <w:bCs/>
        </w:rPr>
        <w:t>Child (EPO Germany national phase):</w:t>
      </w:r>
    </w:p>
    <w:p w14:paraId="372A8438" w14:textId="77777777" w:rsidR="00CD4C2C"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 IF NeedsTranslation EQ FALSE</w:t>
      </w:r>
      <w:r>
        <w:br/>
      </w:r>
      <w:r>
        <w:rPr>
          <w:rStyle w:val="VerbatimChar"/>
        </w:rPr>
        <w:t>ENDCOMPUTE</w:t>
      </w:r>
    </w:p>
    <w:p w14:paraId="751F2DD6" w14:textId="77777777" w:rsidR="00CD4C2C" w:rsidRDefault="00000000">
      <w:pPr>
        <w:pStyle w:val="FirstParagraph"/>
      </w:pPr>
      <w:r>
        <w:t>Composition enables significant code reuse between related jurisdictions, simplifies maintenance when base fees change, and maintains clear traceability of fee origins.</w:t>
      </w:r>
    </w:p>
    <w:p w14:paraId="482E4E3F" w14:textId="77777777" w:rsidR="00CD4C2C" w:rsidRDefault="00000000">
      <w:pPr>
        <w:pStyle w:val="Heading3"/>
      </w:pPr>
      <w:bookmarkStart w:id="28" w:name="formal-grammar-ebnf"/>
      <w:bookmarkEnd w:id="27"/>
      <w:r>
        <w:lastRenderedPageBreak/>
        <w:t>3.10 Formal Grammar (EBNF)</w:t>
      </w:r>
    </w:p>
    <w:p w14:paraId="337CA91E" w14:textId="77777777" w:rsidR="00CD4C2C" w:rsidRDefault="00000000">
      <w:pPr>
        <w:pStyle w:val="FirstParagraph"/>
      </w:pPr>
      <w:r>
        <w:t>The complete formal grammar in Extended Backus-Naur Form:</w:t>
      </w:r>
    </w:p>
    <w:p w14:paraId="5070C2C2" w14:textId="77777777" w:rsidR="00CD4C2C" w:rsidRPr="0025530B" w:rsidRDefault="00000000">
      <w:pPr>
        <w:pStyle w:val="SourceCode"/>
        <w:rPr>
          <w:sz w:val="22"/>
          <w:szCs w:val="22"/>
        </w:rPr>
      </w:pPr>
      <w:r w:rsidRPr="0025530B">
        <w:rPr>
          <w:rStyle w:val="VerbatimChar"/>
          <w:sz w:val="20"/>
          <w:szCs w:val="22"/>
        </w:rPr>
        <w:t>(* Program Structure *)</w:t>
      </w:r>
      <w:r w:rsidRPr="0025530B">
        <w:rPr>
          <w:sz w:val="22"/>
          <w:szCs w:val="22"/>
        </w:rPr>
        <w:br/>
      </w:r>
      <w:r w:rsidRPr="0025530B">
        <w:rPr>
          <w:rStyle w:val="VerbatimChar"/>
          <w:sz w:val="20"/>
          <w:szCs w:val="22"/>
        </w:rPr>
        <w:t>&lt;program&gt;              ::= &lt;comment&gt;* &lt;version&gt;? &lt;group&gt;* &lt;input_definition&gt;*</w:t>
      </w:r>
      <w:r w:rsidRPr="0025530B">
        <w:rPr>
          <w:sz w:val="22"/>
          <w:szCs w:val="22"/>
        </w:rPr>
        <w:br/>
      </w:r>
      <w:r w:rsidRPr="0025530B">
        <w:rPr>
          <w:rStyle w:val="VerbatimChar"/>
          <w:sz w:val="20"/>
          <w:szCs w:val="22"/>
        </w:rPr>
        <w:t xml:space="preserve">                           &lt;fee_computation&gt;+ &lt;verification&gt;* &lt;return&gt;*</w:t>
      </w:r>
      <w:r w:rsidRPr="0025530B">
        <w:rPr>
          <w:sz w:val="22"/>
          <w:szCs w:val="22"/>
        </w:rPr>
        <w:br/>
      </w:r>
      <w:r w:rsidRPr="0025530B">
        <w:rPr>
          <w:sz w:val="22"/>
          <w:szCs w:val="22"/>
        </w:rPr>
        <w:br/>
      </w:r>
      <w:r w:rsidRPr="0025530B">
        <w:rPr>
          <w:rStyle w:val="VerbatimChar"/>
          <w:sz w:val="20"/>
          <w:szCs w:val="22"/>
        </w:rPr>
        <w:t>(* Comments *)</w:t>
      </w:r>
      <w:r w:rsidRPr="0025530B">
        <w:rPr>
          <w:sz w:val="22"/>
          <w:szCs w:val="22"/>
        </w:rPr>
        <w:br/>
      </w:r>
      <w:r w:rsidRPr="0025530B">
        <w:rPr>
          <w:rStyle w:val="VerbatimChar"/>
          <w:sz w:val="20"/>
          <w:szCs w:val="22"/>
        </w:rPr>
        <w:t>&lt;comment&gt;              ::= "#" {&lt;any_char&gt; - &lt;newline&gt;} &lt;newline&gt;</w:t>
      </w:r>
      <w:r w:rsidRPr="0025530B">
        <w:rPr>
          <w:sz w:val="22"/>
          <w:szCs w:val="22"/>
        </w:rPr>
        <w:br/>
      </w:r>
      <w:r w:rsidRPr="0025530B">
        <w:rPr>
          <w:sz w:val="22"/>
          <w:szCs w:val="22"/>
        </w:rPr>
        <w:br/>
      </w:r>
      <w:r w:rsidRPr="0025530B">
        <w:rPr>
          <w:rStyle w:val="VerbatimChar"/>
          <w:sz w:val="20"/>
          <w:szCs w:val="22"/>
        </w:rPr>
        <w:t>(* Version Declaration *)</w:t>
      </w:r>
      <w:r w:rsidRPr="0025530B">
        <w:rPr>
          <w:sz w:val="22"/>
          <w:szCs w:val="22"/>
        </w:rPr>
        <w:br/>
      </w:r>
      <w:r w:rsidRPr="0025530B">
        <w:rPr>
          <w:rStyle w:val="VerbatimChar"/>
          <w:sz w:val="20"/>
          <w:szCs w:val="22"/>
        </w:rPr>
        <w:t>&lt;version&gt;              ::= "VERSION" &lt;string&gt; "EFFECTIVE" &lt;date&gt;</w:t>
      </w:r>
      <w:r w:rsidRPr="0025530B">
        <w:rPr>
          <w:sz w:val="22"/>
          <w:szCs w:val="22"/>
        </w:rPr>
        <w:br/>
      </w:r>
      <w:r w:rsidRPr="0025530B">
        <w:rPr>
          <w:rStyle w:val="VerbatimChar"/>
          <w:sz w:val="20"/>
          <w:szCs w:val="22"/>
        </w:rPr>
        <w:t xml:space="preserve">                           ["DESCRIPTION" &lt;string&gt;] ["REFERENCE" &lt;string&gt;]</w:t>
      </w:r>
      <w:r w:rsidRPr="0025530B">
        <w:rPr>
          <w:sz w:val="22"/>
          <w:szCs w:val="22"/>
        </w:rPr>
        <w:br/>
      </w:r>
      <w:r w:rsidRPr="0025530B">
        <w:rPr>
          <w:sz w:val="22"/>
          <w:szCs w:val="22"/>
        </w:rPr>
        <w:br/>
      </w:r>
      <w:r w:rsidRPr="0025530B">
        <w:rPr>
          <w:rStyle w:val="VerbatimChar"/>
          <w:sz w:val="20"/>
          <w:szCs w:val="22"/>
        </w:rPr>
        <w:t>(* Group Definition *)</w:t>
      </w:r>
      <w:r w:rsidRPr="0025530B">
        <w:rPr>
          <w:sz w:val="22"/>
          <w:szCs w:val="22"/>
        </w:rPr>
        <w:br/>
      </w:r>
      <w:r w:rsidRPr="0025530B">
        <w:rPr>
          <w:rStyle w:val="VerbatimChar"/>
          <w:sz w:val="20"/>
          <w:szCs w:val="22"/>
        </w:rPr>
        <w:t>&lt;group&gt;                ::= "DEFINE" "GROUP" &lt;identifier&gt; "AS" &lt;string&gt;</w:t>
      </w:r>
      <w:r w:rsidRPr="0025530B">
        <w:rPr>
          <w:sz w:val="22"/>
          <w:szCs w:val="22"/>
        </w:rPr>
        <w:br/>
      </w:r>
      <w:r w:rsidRPr="0025530B">
        <w:rPr>
          <w:rStyle w:val="VerbatimChar"/>
          <w:sz w:val="20"/>
          <w:szCs w:val="22"/>
        </w:rPr>
        <w:t xml:space="preserve">                           "WITH" "WEIGHT" &lt;number&gt;</w:t>
      </w:r>
      <w:r w:rsidRPr="0025530B">
        <w:rPr>
          <w:sz w:val="22"/>
          <w:szCs w:val="22"/>
        </w:rPr>
        <w:br/>
      </w:r>
      <w:r w:rsidRPr="0025530B">
        <w:rPr>
          <w:sz w:val="22"/>
          <w:szCs w:val="22"/>
        </w:rPr>
        <w:br/>
      </w:r>
      <w:r w:rsidRPr="0025530B">
        <w:rPr>
          <w:rStyle w:val="VerbatimChar"/>
          <w:sz w:val="20"/>
          <w:szCs w:val="22"/>
        </w:rPr>
        <w:t>(* Input Definitions *)</w:t>
      </w:r>
      <w:r w:rsidRPr="0025530B">
        <w:rPr>
          <w:sz w:val="22"/>
          <w:szCs w:val="22"/>
        </w:rPr>
        <w:br/>
      </w:r>
      <w:r w:rsidRPr="0025530B">
        <w:rPr>
          <w:rStyle w:val="VerbatimChar"/>
          <w:sz w:val="20"/>
          <w:szCs w:val="22"/>
        </w:rPr>
        <w:t>&lt;input_definition&gt;     ::= "DEFINE" &lt;input_type&gt; &lt;identifier&gt; "AS" &lt;string&gt;</w:t>
      </w:r>
      <w:r w:rsidRPr="0025530B">
        <w:rPr>
          <w:sz w:val="22"/>
          <w:szCs w:val="22"/>
        </w:rPr>
        <w:br/>
      </w:r>
      <w:r w:rsidRPr="0025530B">
        <w:rPr>
          <w:rStyle w:val="VerbatimChar"/>
          <w:sz w:val="20"/>
          <w:szCs w:val="22"/>
        </w:rPr>
        <w:t xml:space="preserve">                           ["GROUP" &lt;identifier&gt;] &lt;type_specifics&gt;</w:t>
      </w:r>
      <w:r w:rsidRPr="0025530B">
        <w:rPr>
          <w:sz w:val="22"/>
          <w:szCs w:val="22"/>
        </w:rPr>
        <w:br/>
      </w:r>
      <w:r w:rsidRPr="0025530B">
        <w:rPr>
          <w:rStyle w:val="VerbatimChar"/>
          <w:sz w:val="20"/>
          <w:szCs w:val="22"/>
        </w:rPr>
        <w:t xml:space="preserve">                           ["DEFAULT" &lt;default_value&gt;] "ENDDEFINE"</w:t>
      </w:r>
      <w:r w:rsidRPr="0025530B">
        <w:rPr>
          <w:sz w:val="22"/>
          <w:szCs w:val="22"/>
        </w:rPr>
        <w:br/>
      </w:r>
      <w:r w:rsidRPr="0025530B">
        <w:rPr>
          <w:sz w:val="22"/>
          <w:szCs w:val="22"/>
        </w:rPr>
        <w:br/>
      </w:r>
      <w:r w:rsidRPr="0025530B">
        <w:rPr>
          <w:rStyle w:val="VerbatimChar"/>
          <w:sz w:val="20"/>
          <w:szCs w:val="22"/>
        </w:rPr>
        <w:t>&lt;input_type&gt;           ::= "LIST" | "MULTILIST" | "NUMBER" | "BOOLEAN" | "DATE" | "AMOUNT"</w:t>
      </w:r>
      <w:r w:rsidRPr="0025530B">
        <w:rPr>
          <w:sz w:val="22"/>
          <w:szCs w:val="22"/>
        </w:rPr>
        <w:br/>
      </w:r>
      <w:r w:rsidRPr="0025530B">
        <w:rPr>
          <w:sz w:val="22"/>
          <w:szCs w:val="22"/>
        </w:rPr>
        <w:br/>
      </w:r>
      <w:r w:rsidRPr="0025530B">
        <w:rPr>
          <w:rStyle w:val="VerbatimChar"/>
          <w:sz w:val="20"/>
          <w:szCs w:val="22"/>
        </w:rPr>
        <w:t>&lt;type_specifics&gt;       ::= &lt;choices&gt; | &lt;numeric_constraint&gt; | &lt;date_constraint&gt;</w:t>
      </w:r>
      <w:r w:rsidRPr="0025530B">
        <w:rPr>
          <w:sz w:val="22"/>
          <w:szCs w:val="22"/>
        </w:rPr>
        <w:br/>
      </w:r>
      <w:r w:rsidRPr="0025530B">
        <w:rPr>
          <w:rStyle w:val="VerbatimChar"/>
          <w:sz w:val="20"/>
          <w:szCs w:val="22"/>
        </w:rPr>
        <w:t xml:space="preserve">                         | &lt;currency_spec&gt; | ε</w:t>
      </w:r>
      <w:r w:rsidRPr="0025530B">
        <w:rPr>
          <w:sz w:val="22"/>
          <w:szCs w:val="22"/>
        </w:rPr>
        <w:br/>
      </w:r>
      <w:r w:rsidRPr="0025530B">
        <w:rPr>
          <w:sz w:val="22"/>
          <w:szCs w:val="22"/>
        </w:rPr>
        <w:br/>
      </w:r>
      <w:r w:rsidRPr="0025530B">
        <w:rPr>
          <w:rStyle w:val="VerbatimChar"/>
          <w:sz w:val="20"/>
          <w:szCs w:val="22"/>
        </w:rPr>
        <w:t>&lt;choices&gt;              ::= &lt;choice&gt;+</w:t>
      </w:r>
      <w:r w:rsidRPr="0025530B">
        <w:rPr>
          <w:sz w:val="22"/>
          <w:szCs w:val="22"/>
        </w:rPr>
        <w:br/>
      </w:r>
      <w:r w:rsidRPr="0025530B">
        <w:rPr>
          <w:rStyle w:val="VerbatimChar"/>
          <w:sz w:val="20"/>
          <w:szCs w:val="22"/>
        </w:rPr>
        <w:t>&lt;choice&gt;               ::= "CHOICE" &lt;identifier&gt; "AS" &lt;string&gt;</w:t>
      </w:r>
      <w:r w:rsidRPr="0025530B">
        <w:rPr>
          <w:sz w:val="22"/>
          <w:szCs w:val="22"/>
        </w:rPr>
        <w:br/>
      </w:r>
      <w:r w:rsidRPr="0025530B">
        <w:rPr>
          <w:sz w:val="22"/>
          <w:szCs w:val="22"/>
        </w:rPr>
        <w:br/>
      </w:r>
      <w:r w:rsidRPr="0025530B">
        <w:rPr>
          <w:rStyle w:val="VerbatimChar"/>
          <w:sz w:val="20"/>
          <w:szCs w:val="22"/>
        </w:rPr>
        <w:t>&lt;numeric_constraint&gt;   ::= "BETWEEN" &lt;number&gt; "AND" &lt;number&gt;</w:t>
      </w:r>
      <w:r w:rsidRPr="0025530B">
        <w:rPr>
          <w:sz w:val="22"/>
          <w:szCs w:val="22"/>
        </w:rPr>
        <w:br/>
      </w:r>
      <w:r w:rsidRPr="0025530B">
        <w:rPr>
          <w:rStyle w:val="VerbatimChar"/>
          <w:sz w:val="20"/>
          <w:szCs w:val="22"/>
        </w:rPr>
        <w:t>&lt;date_constraint&gt;      ::= "BETWEEN" &lt;date&gt; "AND" (&lt;date&gt; | "TODAY")</w:t>
      </w:r>
      <w:r w:rsidRPr="0025530B">
        <w:rPr>
          <w:sz w:val="22"/>
          <w:szCs w:val="22"/>
        </w:rPr>
        <w:br/>
      </w:r>
      <w:r w:rsidRPr="0025530B">
        <w:rPr>
          <w:rStyle w:val="VerbatimChar"/>
          <w:sz w:val="20"/>
          <w:szCs w:val="22"/>
        </w:rPr>
        <w:t>&lt;currency_spec&gt;        ::= "CURRENCY" &lt;currency_code&gt;</w:t>
      </w:r>
      <w:r w:rsidRPr="0025530B">
        <w:rPr>
          <w:sz w:val="22"/>
          <w:szCs w:val="22"/>
        </w:rPr>
        <w:br/>
      </w:r>
      <w:r w:rsidRPr="0025530B">
        <w:rPr>
          <w:sz w:val="22"/>
          <w:szCs w:val="22"/>
        </w:rPr>
        <w:br/>
      </w:r>
      <w:r w:rsidRPr="0025530B">
        <w:rPr>
          <w:rStyle w:val="VerbatimChar"/>
          <w:sz w:val="20"/>
          <w:szCs w:val="22"/>
        </w:rPr>
        <w:t>&lt;default_value&gt;        ::= &lt;number&gt; | &lt;identifier&gt; | &lt;boolean_literal&gt; | &lt;date&gt;</w:t>
      </w:r>
      <w:r w:rsidRPr="0025530B">
        <w:rPr>
          <w:sz w:val="22"/>
          <w:szCs w:val="22"/>
        </w:rPr>
        <w:br/>
      </w:r>
      <w:r w:rsidRPr="0025530B">
        <w:rPr>
          <w:rStyle w:val="VerbatimChar"/>
          <w:sz w:val="20"/>
          <w:szCs w:val="22"/>
        </w:rPr>
        <w:t xml:space="preserve">                         | &lt;currency_literal&gt; | &lt;identifier_list&gt;</w:t>
      </w:r>
      <w:r w:rsidRPr="0025530B">
        <w:rPr>
          <w:sz w:val="22"/>
          <w:szCs w:val="22"/>
        </w:rPr>
        <w:br/>
      </w:r>
      <w:r w:rsidRPr="0025530B">
        <w:rPr>
          <w:rStyle w:val="VerbatimChar"/>
          <w:sz w:val="20"/>
          <w:szCs w:val="22"/>
        </w:rPr>
        <w:t>&lt;identifier_list&gt;      ::= &lt;identifier&gt; ("," &lt;identifier&gt;)*</w:t>
      </w:r>
      <w:r w:rsidRPr="0025530B">
        <w:rPr>
          <w:sz w:val="22"/>
          <w:szCs w:val="22"/>
        </w:rPr>
        <w:br/>
      </w:r>
      <w:r w:rsidRPr="0025530B">
        <w:rPr>
          <w:rStyle w:val="VerbatimChar"/>
          <w:sz w:val="20"/>
          <w:szCs w:val="22"/>
        </w:rPr>
        <w:t>&lt;boolean_literal&gt;      ::= "TRUE" | "FALSE"</w:t>
      </w:r>
      <w:r w:rsidRPr="0025530B">
        <w:rPr>
          <w:sz w:val="22"/>
          <w:szCs w:val="22"/>
        </w:rPr>
        <w:br/>
      </w:r>
      <w:r w:rsidRPr="0025530B">
        <w:rPr>
          <w:sz w:val="22"/>
          <w:szCs w:val="22"/>
        </w:rPr>
        <w:br/>
      </w:r>
      <w:r w:rsidRPr="0025530B">
        <w:rPr>
          <w:rStyle w:val="VerbatimChar"/>
          <w:sz w:val="20"/>
          <w:szCs w:val="22"/>
        </w:rPr>
        <w:t>(* Fee Computation *)</w:t>
      </w:r>
      <w:r w:rsidRPr="0025530B">
        <w:rPr>
          <w:sz w:val="22"/>
          <w:szCs w:val="22"/>
        </w:rPr>
        <w:br/>
      </w:r>
      <w:r w:rsidRPr="0025530B">
        <w:rPr>
          <w:rStyle w:val="VerbatimChar"/>
          <w:sz w:val="20"/>
          <w:szCs w:val="22"/>
        </w:rPr>
        <w:t>&lt;fee_computation&gt;      ::= "COMPUTE" "FEE" &lt;identifier&gt; ["OPTIONAL"]</w:t>
      </w:r>
      <w:r w:rsidRPr="0025530B">
        <w:rPr>
          <w:sz w:val="22"/>
          <w:szCs w:val="22"/>
        </w:rPr>
        <w:br/>
      </w:r>
      <w:r w:rsidRPr="0025530B">
        <w:rPr>
          <w:rStyle w:val="VerbatimChar"/>
          <w:sz w:val="20"/>
          <w:szCs w:val="22"/>
        </w:rPr>
        <w:t xml:space="preserve">                           &lt;let_statement&gt;* &lt;case_or_yield&gt;*</w:t>
      </w:r>
      <w:r w:rsidRPr="0025530B">
        <w:rPr>
          <w:sz w:val="22"/>
          <w:szCs w:val="22"/>
        </w:rPr>
        <w:br/>
      </w:r>
      <w:r w:rsidRPr="0025530B">
        <w:rPr>
          <w:rStyle w:val="VerbatimChar"/>
          <w:sz w:val="20"/>
          <w:szCs w:val="22"/>
        </w:rPr>
        <w:t xml:space="preserve">                           "ENDCOMPUTE"</w:t>
      </w:r>
      <w:r w:rsidRPr="0025530B">
        <w:rPr>
          <w:sz w:val="22"/>
          <w:szCs w:val="22"/>
        </w:rPr>
        <w:br/>
      </w:r>
      <w:r w:rsidRPr="0025530B">
        <w:rPr>
          <w:sz w:val="22"/>
          <w:szCs w:val="22"/>
        </w:rPr>
        <w:br/>
      </w:r>
      <w:r w:rsidRPr="0025530B">
        <w:rPr>
          <w:rStyle w:val="VerbatimChar"/>
          <w:sz w:val="20"/>
          <w:szCs w:val="22"/>
        </w:rPr>
        <w:t>&lt;let_statement&gt;        ::= "LET" &lt;identifier&gt; "AS" &lt;expression&gt;</w:t>
      </w:r>
      <w:r w:rsidRPr="0025530B">
        <w:rPr>
          <w:sz w:val="22"/>
          <w:szCs w:val="22"/>
        </w:rPr>
        <w:br/>
      </w:r>
      <w:r w:rsidRPr="0025530B">
        <w:rPr>
          <w:sz w:val="22"/>
          <w:szCs w:val="22"/>
        </w:rPr>
        <w:br/>
      </w:r>
      <w:r w:rsidRPr="0025530B">
        <w:rPr>
          <w:rStyle w:val="VerbatimChar"/>
          <w:sz w:val="20"/>
          <w:szCs w:val="22"/>
        </w:rPr>
        <w:t>&lt;case_or_yield&gt;        ::= &lt;case_block&gt; | &lt;yield_statement&gt;</w:t>
      </w:r>
      <w:r w:rsidRPr="0025530B">
        <w:rPr>
          <w:sz w:val="22"/>
          <w:szCs w:val="22"/>
        </w:rPr>
        <w:br/>
      </w:r>
      <w:r w:rsidRPr="0025530B">
        <w:rPr>
          <w:rStyle w:val="VerbatimChar"/>
          <w:sz w:val="20"/>
          <w:szCs w:val="22"/>
        </w:rPr>
        <w:t>&lt;case_block&gt;           ::= "CASE" &lt;condition&gt; "AS" &lt;yield_statement&gt;+ "ENDCASE"</w:t>
      </w:r>
      <w:r w:rsidRPr="0025530B">
        <w:rPr>
          <w:sz w:val="22"/>
          <w:szCs w:val="22"/>
        </w:rPr>
        <w:br/>
      </w:r>
      <w:r w:rsidRPr="0025530B">
        <w:rPr>
          <w:rStyle w:val="VerbatimChar"/>
          <w:sz w:val="20"/>
          <w:szCs w:val="22"/>
        </w:rPr>
        <w:t>&lt;yield_statement&gt;      ::= "YIELD" &lt;expression&gt; ["IF" &lt;condition&gt;]</w:t>
      </w:r>
      <w:r w:rsidRPr="0025530B">
        <w:rPr>
          <w:sz w:val="22"/>
          <w:szCs w:val="22"/>
        </w:rPr>
        <w:br/>
      </w:r>
      <w:r w:rsidRPr="0025530B">
        <w:rPr>
          <w:sz w:val="22"/>
          <w:szCs w:val="22"/>
        </w:rPr>
        <w:br/>
      </w:r>
      <w:r w:rsidRPr="0025530B">
        <w:rPr>
          <w:rStyle w:val="VerbatimChar"/>
          <w:sz w:val="20"/>
          <w:szCs w:val="22"/>
        </w:rPr>
        <w:t>(* Verification Directives *)</w:t>
      </w:r>
      <w:r w:rsidRPr="0025530B">
        <w:rPr>
          <w:sz w:val="22"/>
          <w:szCs w:val="22"/>
        </w:rPr>
        <w:br/>
      </w:r>
      <w:r w:rsidRPr="0025530B">
        <w:rPr>
          <w:rStyle w:val="VerbatimChar"/>
          <w:sz w:val="20"/>
          <w:szCs w:val="22"/>
        </w:rPr>
        <w:t>&lt;verification&gt;         ::= &lt;verify_complete&gt; | &lt;verify_monotonic&gt;</w:t>
      </w:r>
      <w:r w:rsidRPr="0025530B">
        <w:rPr>
          <w:sz w:val="22"/>
          <w:szCs w:val="22"/>
        </w:rPr>
        <w:br/>
      </w:r>
      <w:r w:rsidRPr="0025530B">
        <w:rPr>
          <w:rStyle w:val="VerbatimChar"/>
          <w:sz w:val="20"/>
          <w:szCs w:val="22"/>
        </w:rPr>
        <w:t>&lt;verify_complete&gt;      ::= "VERIFY" "COMPLETE" "FEE" &lt;identifier&gt;</w:t>
      </w:r>
      <w:r w:rsidRPr="0025530B">
        <w:rPr>
          <w:sz w:val="22"/>
          <w:szCs w:val="22"/>
        </w:rPr>
        <w:br/>
      </w:r>
      <w:r w:rsidRPr="0025530B">
        <w:rPr>
          <w:rStyle w:val="VerbatimChar"/>
          <w:sz w:val="20"/>
          <w:szCs w:val="22"/>
        </w:rPr>
        <w:t>&lt;verify_monotonic&gt;     ::= "VERIFY" "MONOTONIC" "FEE" &lt;identifier&gt;</w:t>
      </w:r>
      <w:r w:rsidRPr="0025530B">
        <w:rPr>
          <w:sz w:val="22"/>
          <w:szCs w:val="22"/>
        </w:rPr>
        <w:br/>
      </w:r>
      <w:r w:rsidRPr="0025530B">
        <w:rPr>
          <w:rStyle w:val="VerbatimChar"/>
          <w:sz w:val="20"/>
          <w:szCs w:val="22"/>
        </w:rPr>
        <w:lastRenderedPageBreak/>
        <w:t xml:space="preserve">                           "WITH" "RESPECT" "TO" &lt;identifier&gt;</w:t>
      </w:r>
      <w:r w:rsidRPr="0025530B">
        <w:rPr>
          <w:sz w:val="22"/>
          <w:szCs w:val="22"/>
        </w:rPr>
        <w:br/>
      </w:r>
      <w:r w:rsidRPr="0025530B">
        <w:rPr>
          <w:rStyle w:val="VerbatimChar"/>
          <w:sz w:val="20"/>
          <w:szCs w:val="22"/>
        </w:rPr>
        <w:t xml:space="preserve">                           ["DIRECTION" &lt;direction&gt;]</w:t>
      </w:r>
      <w:r w:rsidRPr="0025530B">
        <w:rPr>
          <w:sz w:val="22"/>
          <w:szCs w:val="22"/>
        </w:rPr>
        <w:br/>
      </w:r>
      <w:r w:rsidRPr="0025530B">
        <w:rPr>
          <w:rStyle w:val="VerbatimChar"/>
          <w:sz w:val="20"/>
          <w:szCs w:val="22"/>
        </w:rPr>
        <w:t>&lt;direction&gt;            ::= "NonDecreasing" | "NonIncreasing"</w:t>
      </w:r>
      <w:r w:rsidRPr="0025530B">
        <w:rPr>
          <w:sz w:val="22"/>
          <w:szCs w:val="22"/>
        </w:rPr>
        <w:br/>
      </w:r>
      <w:r w:rsidRPr="0025530B">
        <w:rPr>
          <w:rStyle w:val="VerbatimChar"/>
          <w:sz w:val="20"/>
          <w:szCs w:val="22"/>
        </w:rPr>
        <w:t xml:space="preserve">                         | "StrictlyIncreasing" | "StrictlyDecreasing"</w:t>
      </w:r>
      <w:r w:rsidRPr="0025530B">
        <w:rPr>
          <w:sz w:val="22"/>
          <w:szCs w:val="22"/>
        </w:rPr>
        <w:br/>
      </w:r>
      <w:r w:rsidRPr="0025530B">
        <w:rPr>
          <w:sz w:val="22"/>
          <w:szCs w:val="22"/>
        </w:rPr>
        <w:br/>
      </w:r>
      <w:r w:rsidRPr="0025530B">
        <w:rPr>
          <w:rStyle w:val="VerbatimChar"/>
          <w:sz w:val="20"/>
          <w:szCs w:val="22"/>
        </w:rPr>
        <w:t>(* Return Statement *)</w:t>
      </w:r>
      <w:r w:rsidRPr="0025530B">
        <w:rPr>
          <w:sz w:val="22"/>
          <w:szCs w:val="22"/>
        </w:rPr>
        <w:br/>
      </w:r>
      <w:r w:rsidRPr="0025530B">
        <w:rPr>
          <w:rStyle w:val="VerbatimChar"/>
          <w:sz w:val="20"/>
          <w:szCs w:val="22"/>
        </w:rPr>
        <w:t>&lt;return&gt;               ::= "RETURN" &lt;identifier&gt; "AS" &lt;string&gt;</w:t>
      </w:r>
      <w:r w:rsidRPr="0025530B">
        <w:rPr>
          <w:sz w:val="22"/>
          <w:szCs w:val="22"/>
        </w:rPr>
        <w:br/>
      </w:r>
      <w:r w:rsidRPr="0025530B">
        <w:rPr>
          <w:sz w:val="22"/>
          <w:szCs w:val="22"/>
        </w:rPr>
        <w:br/>
      </w:r>
      <w:r w:rsidRPr="0025530B">
        <w:rPr>
          <w:rStyle w:val="VerbatimChar"/>
          <w:sz w:val="20"/>
          <w:szCs w:val="22"/>
        </w:rPr>
        <w:t>(* Expressions *)</w:t>
      </w:r>
      <w:r w:rsidRPr="0025530B">
        <w:rPr>
          <w:sz w:val="22"/>
          <w:szCs w:val="22"/>
        </w:rPr>
        <w:br/>
      </w:r>
      <w:r w:rsidRPr="0025530B">
        <w:rPr>
          <w:rStyle w:val="VerbatimChar"/>
          <w:sz w:val="20"/>
          <w:szCs w:val="22"/>
        </w:rPr>
        <w:t>&lt;expression&gt;           ::= &lt;term&gt; (("+" | "-") &lt;term&gt;)*</w:t>
      </w:r>
      <w:r w:rsidRPr="0025530B">
        <w:rPr>
          <w:sz w:val="22"/>
          <w:szCs w:val="22"/>
        </w:rPr>
        <w:br/>
      </w:r>
      <w:r w:rsidRPr="0025530B">
        <w:rPr>
          <w:rStyle w:val="VerbatimChar"/>
          <w:sz w:val="20"/>
          <w:szCs w:val="22"/>
        </w:rPr>
        <w:t>&lt;term&gt;                 ::= &lt;factor&gt; (("*" | "/") &lt;factor&gt;)*</w:t>
      </w:r>
      <w:r w:rsidRPr="0025530B">
        <w:rPr>
          <w:sz w:val="22"/>
          <w:szCs w:val="22"/>
        </w:rPr>
        <w:br/>
      </w:r>
      <w:r w:rsidRPr="0025530B">
        <w:rPr>
          <w:rStyle w:val="VerbatimChar"/>
          <w:sz w:val="20"/>
          <w:szCs w:val="22"/>
        </w:rPr>
        <w:t>&lt;factor&gt;               ::= &lt;number&gt; | &lt;currency_literal&gt; | &lt;identifier&gt;</w:t>
      </w:r>
      <w:r w:rsidRPr="0025530B">
        <w:rPr>
          <w:sz w:val="22"/>
          <w:szCs w:val="22"/>
        </w:rPr>
        <w:br/>
      </w:r>
      <w:r w:rsidRPr="0025530B">
        <w:rPr>
          <w:rStyle w:val="VerbatimChar"/>
          <w:sz w:val="20"/>
          <w:szCs w:val="22"/>
        </w:rPr>
        <w:t xml:space="preserve">                         | &lt;property_access&gt; | &lt;function_call&gt; | "(" &lt;expression&gt; ")"</w:t>
      </w:r>
      <w:r w:rsidRPr="0025530B">
        <w:rPr>
          <w:sz w:val="22"/>
          <w:szCs w:val="22"/>
        </w:rPr>
        <w:br/>
      </w:r>
      <w:r w:rsidRPr="0025530B">
        <w:rPr>
          <w:sz w:val="22"/>
          <w:szCs w:val="22"/>
        </w:rPr>
        <w:br/>
      </w:r>
      <w:r w:rsidRPr="0025530B">
        <w:rPr>
          <w:rStyle w:val="VerbatimChar"/>
          <w:sz w:val="20"/>
          <w:szCs w:val="22"/>
        </w:rPr>
        <w:t>&lt;currency_literal&gt;     ::= &lt;number&gt; "&lt;" &lt;currency_code&gt; "&gt;"</w:t>
      </w:r>
      <w:r w:rsidRPr="0025530B">
        <w:rPr>
          <w:sz w:val="22"/>
          <w:szCs w:val="22"/>
        </w:rPr>
        <w:br/>
      </w:r>
      <w:r w:rsidRPr="0025530B">
        <w:rPr>
          <w:rStyle w:val="VerbatimChar"/>
          <w:sz w:val="20"/>
          <w:szCs w:val="22"/>
        </w:rPr>
        <w:t>&lt;property_access&gt;      ::= &lt;identifier&gt; "!" &lt;property_name&gt;</w:t>
      </w:r>
      <w:r w:rsidRPr="0025530B">
        <w:rPr>
          <w:sz w:val="22"/>
          <w:szCs w:val="22"/>
        </w:rPr>
        <w:br/>
      </w:r>
      <w:r w:rsidRPr="0025530B">
        <w:rPr>
          <w:rStyle w:val="VerbatimChar"/>
          <w:sz w:val="20"/>
          <w:szCs w:val="22"/>
        </w:rPr>
        <w:t>&lt;property_name&gt;        ::= "COUNT" | "YEARSTONOW" | "MONTHSTONOW" | "DAYSTONOW"</w:t>
      </w:r>
      <w:r w:rsidRPr="0025530B">
        <w:rPr>
          <w:sz w:val="22"/>
          <w:szCs w:val="22"/>
        </w:rPr>
        <w:br/>
      </w:r>
      <w:r w:rsidRPr="0025530B">
        <w:rPr>
          <w:rStyle w:val="VerbatimChar"/>
          <w:sz w:val="20"/>
          <w:szCs w:val="22"/>
        </w:rPr>
        <w:t xml:space="preserve">                         | "MONTHSTONOW_FROMLASTDAY"</w:t>
      </w:r>
      <w:r w:rsidRPr="0025530B">
        <w:rPr>
          <w:sz w:val="22"/>
          <w:szCs w:val="22"/>
        </w:rPr>
        <w:br/>
      </w:r>
      <w:r w:rsidRPr="0025530B">
        <w:rPr>
          <w:sz w:val="22"/>
          <w:szCs w:val="22"/>
        </w:rPr>
        <w:br/>
      </w:r>
      <w:r w:rsidRPr="0025530B">
        <w:rPr>
          <w:rStyle w:val="VerbatimChar"/>
          <w:sz w:val="20"/>
          <w:szCs w:val="22"/>
        </w:rPr>
        <w:t>&lt;function_call&gt;        ::= ("ROUND" | "FLOOR" | "CEIL") "(" &lt;expression&gt; ")"</w:t>
      </w:r>
      <w:r w:rsidRPr="0025530B">
        <w:rPr>
          <w:sz w:val="22"/>
          <w:szCs w:val="22"/>
        </w:rPr>
        <w:br/>
      </w:r>
      <w:r w:rsidRPr="0025530B">
        <w:rPr>
          <w:rStyle w:val="VerbatimChar"/>
          <w:sz w:val="20"/>
          <w:szCs w:val="22"/>
        </w:rPr>
        <w:t xml:space="preserve">                         | "CONVERT" "(" &lt;expression&gt; "," &lt;currency_code&gt; "," &lt;currency_code&gt; ")"</w:t>
      </w:r>
      <w:r w:rsidRPr="0025530B">
        <w:rPr>
          <w:sz w:val="22"/>
          <w:szCs w:val="22"/>
        </w:rPr>
        <w:br/>
      </w:r>
      <w:r w:rsidRPr="0025530B">
        <w:rPr>
          <w:sz w:val="22"/>
          <w:szCs w:val="22"/>
        </w:rPr>
        <w:br/>
      </w:r>
      <w:r w:rsidRPr="0025530B">
        <w:rPr>
          <w:rStyle w:val="VerbatimChar"/>
          <w:sz w:val="20"/>
          <w:szCs w:val="22"/>
        </w:rPr>
        <w:t>(* Conditions *)</w:t>
      </w:r>
      <w:r w:rsidRPr="0025530B">
        <w:rPr>
          <w:sz w:val="22"/>
          <w:szCs w:val="22"/>
        </w:rPr>
        <w:br/>
      </w:r>
      <w:r w:rsidRPr="0025530B">
        <w:rPr>
          <w:rStyle w:val="VerbatimChar"/>
          <w:sz w:val="20"/>
          <w:szCs w:val="22"/>
        </w:rPr>
        <w:t>&lt;condition&gt;            ::= &lt;or_condition&gt;</w:t>
      </w:r>
      <w:r w:rsidRPr="0025530B">
        <w:rPr>
          <w:sz w:val="22"/>
          <w:szCs w:val="22"/>
        </w:rPr>
        <w:br/>
      </w:r>
      <w:r w:rsidRPr="0025530B">
        <w:rPr>
          <w:rStyle w:val="VerbatimChar"/>
          <w:sz w:val="20"/>
          <w:szCs w:val="22"/>
        </w:rPr>
        <w:t>&lt;or_condition&gt;         ::= &lt;and_condition&gt; ("OR" &lt;and_condition&gt;)*</w:t>
      </w:r>
      <w:r w:rsidRPr="0025530B">
        <w:rPr>
          <w:sz w:val="22"/>
          <w:szCs w:val="22"/>
        </w:rPr>
        <w:br/>
      </w:r>
      <w:r w:rsidRPr="0025530B">
        <w:rPr>
          <w:rStyle w:val="VerbatimChar"/>
          <w:sz w:val="20"/>
          <w:szCs w:val="22"/>
        </w:rPr>
        <w:t>&lt;and_condition&gt;        ::= &lt;primary_condition&gt; ("AND" &lt;primary_condition&gt;)*</w:t>
      </w:r>
      <w:r w:rsidRPr="0025530B">
        <w:rPr>
          <w:sz w:val="22"/>
          <w:szCs w:val="22"/>
        </w:rPr>
        <w:br/>
      </w:r>
      <w:r w:rsidRPr="0025530B">
        <w:rPr>
          <w:rStyle w:val="VerbatimChar"/>
          <w:sz w:val="20"/>
          <w:szCs w:val="22"/>
        </w:rPr>
        <w:t>&lt;primary_condition&gt;    ::= &lt;expression&gt; &lt;comparison_op&gt; &lt;expression&gt;</w:t>
      </w:r>
      <w:r w:rsidRPr="0025530B">
        <w:rPr>
          <w:sz w:val="22"/>
          <w:szCs w:val="22"/>
        </w:rPr>
        <w:br/>
      </w:r>
      <w:r w:rsidRPr="0025530B">
        <w:rPr>
          <w:rStyle w:val="VerbatimChar"/>
          <w:sz w:val="20"/>
          <w:szCs w:val="22"/>
        </w:rPr>
        <w:t xml:space="preserve">                         | &lt;identifier&gt; ("IN" | "NIN") &lt;identifier&gt;</w:t>
      </w:r>
      <w:r w:rsidRPr="0025530B">
        <w:rPr>
          <w:sz w:val="22"/>
          <w:szCs w:val="22"/>
        </w:rPr>
        <w:br/>
      </w:r>
      <w:r w:rsidRPr="0025530B">
        <w:rPr>
          <w:rStyle w:val="VerbatimChar"/>
          <w:sz w:val="20"/>
          <w:szCs w:val="22"/>
        </w:rPr>
        <w:t xml:space="preserve">                         | &lt;identifier&gt;   (* Boolean variable reference *)</w:t>
      </w:r>
      <w:r w:rsidRPr="0025530B">
        <w:rPr>
          <w:sz w:val="22"/>
          <w:szCs w:val="22"/>
        </w:rPr>
        <w:br/>
      </w:r>
      <w:r w:rsidRPr="0025530B">
        <w:rPr>
          <w:rStyle w:val="VerbatimChar"/>
          <w:sz w:val="20"/>
          <w:szCs w:val="22"/>
        </w:rPr>
        <w:t xml:space="preserve">                         | "(" &lt;condition&gt; ")"</w:t>
      </w:r>
      <w:r w:rsidRPr="0025530B">
        <w:rPr>
          <w:sz w:val="22"/>
          <w:szCs w:val="22"/>
        </w:rPr>
        <w:br/>
      </w:r>
      <w:r w:rsidRPr="0025530B">
        <w:rPr>
          <w:sz w:val="22"/>
          <w:szCs w:val="22"/>
        </w:rPr>
        <w:br/>
      </w:r>
      <w:r w:rsidRPr="0025530B">
        <w:rPr>
          <w:rStyle w:val="VerbatimChar"/>
          <w:sz w:val="20"/>
          <w:szCs w:val="22"/>
        </w:rPr>
        <w:t>&lt;comparison_op&gt;        ::= "EQ" | "NEQ" | "GT" | "LT" | "GTE" | "LTE"</w:t>
      </w:r>
      <w:r w:rsidRPr="0025530B">
        <w:rPr>
          <w:sz w:val="22"/>
          <w:szCs w:val="22"/>
        </w:rPr>
        <w:br/>
      </w:r>
      <w:r w:rsidRPr="0025530B">
        <w:rPr>
          <w:sz w:val="22"/>
          <w:szCs w:val="22"/>
        </w:rPr>
        <w:br/>
      </w:r>
      <w:r w:rsidRPr="0025530B">
        <w:rPr>
          <w:rStyle w:val="VerbatimChar"/>
          <w:sz w:val="20"/>
          <w:szCs w:val="22"/>
        </w:rPr>
        <w:t>(* Lexical Elements *)</w:t>
      </w:r>
      <w:r w:rsidRPr="0025530B">
        <w:rPr>
          <w:sz w:val="22"/>
          <w:szCs w:val="22"/>
        </w:rPr>
        <w:br/>
      </w:r>
      <w:r w:rsidRPr="0025530B">
        <w:rPr>
          <w:rStyle w:val="VerbatimChar"/>
          <w:sz w:val="20"/>
          <w:szCs w:val="22"/>
        </w:rPr>
        <w:t>&lt;identifier&gt;           ::= &lt;letter&gt; (&lt;letter&gt; | &lt;digit&gt; | "_")*</w:t>
      </w:r>
      <w:r w:rsidRPr="0025530B">
        <w:rPr>
          <w:sz w:val="22"/>
          <w:szCs w:val="22"/>
        </w:rPr>
        <w:br/>
      </w:r>
      <w:r w:rsidRPr="0025530B">
        <w:rPr>
          <w:rStyle w:val="VerbatimChar"/>
          <w:sz w:val="20"/>
          <w:szCs w:val="22"/>
        </w:rPr>
        <w:t>&lt;number&gt;               ::= &lt;digit&gt;+ ("." &lt;digit&gt;+)?</w:t>
      </w:r>
      <w:r w:rsidRPr="0025530B">
        <w:rPr>
          <w:sz w:val="22"/>
          <w:szCs w:val="22"/>
        </w:rPr>
        <w:br/>
      </w:r>
      <w:r w:rsidRPr="0025530B">
        <w:rPr>
          <w:rStyle w:val="VerbatimChar"/>
          <w:sz w:val="20"/>
          <w:szCs w:val="22"/>
        </w:rPr>
        <w:t>&lt;string&gt;               ::= "'" {&lt;any_char&gt; - "'"} "'"</w:t>
      </w:r>
      <w:r w:rsidRPr="0025530B">
        <w:rPr>
          <w:sz w:val="22"/>
          <w:szCs w:val="22"/>
        </w:rPr>
        <w:br/>
      </w:r>
      <w:r w:rsidRPr="0025530B">
        <w:rPr>
          <w:rStyle w:val="VerbatimChar"/>
          <w:sz w:val="20"/>
          <w:szCs w:val="22"/>
        </w:rPr>
        <w:t>&lt;currency_code&gt;        ::= &lt;upper_letter&gt; &lt;upper_letter&gt; &lt;upper_letter&gt;</w:t>
      </w:r>
      <w:r w:rsidRPr="0025530B">
        <w:rPr>
          <w:sz w:val="22"/>
          <w:szCs w:val="22"/>
        </w:rPr>
        <w:br/>
      </w:r>
      <w:r w:rsidRPr="0025530B">
        <w:rPr>
          <w:rStyle w:val="VerbatimChar"/>
          <w:sz w:val="20"/>
          <w:szCs w:val="22"/>
        </w:rPr>
        <w:t>&lt;date&gt;                 ::= &lt;day&gt; "." &lt;month&gt; "." &lt;year&gt; | "TODAY"</w:t>
      </w:r>
      <w:r w:rsidRPr="0025530B">
        <w:rPr>
          <w:sz w:val="22"/>
          <w:szCs w:val="22"/>
        </w:rPr>
        <w:br/>
      </w:r>
      <w:r w:rsidRPr="0025530B">
        <w:rPr>
          <w:rStyle w:val="VerbatimChar"/>
          <w:sz w:val="20"/>
          <w:szCs w:val="22"/>
        </w:rPr>
        <w:t>&lt;day&gt;                  ::= &lt;digit&gt; &lt;digit&gt;?</w:t>
      </w:r>
      <w:r w:rsidRPr="0025530B">
        <w:rPr>
          <w:sz w:val="22"/>
          <w:szCs w:val="22"/>
        </w:rPr>
        <w:br/>
      </w:r>
      <w:r w:rsidRPr="0025530B">
        <w:rPr>
          <w:rStyle w:val="VerbatimChar"/>
          <w:sz w:val="20"/>
          <w:szCs w:val="22"/>
        </w:rPr>
        <w:t>&lt;month&gt;                ::= &lt;digit&gt; &lt;digit&gt;?</w:t>
      </w:r>
      <w:r w:rsidRPr="0025530B">
        <w:rPr>
          <w:sz w:val="22"/>
          <w:szCs w:val="22"/>
        </w:rPr>
        <w:br/>
      </w:r>
      <w:r w:rsidRPr="0025530B">
        <w:rPr>
          <w:rStyle w:val="VerbatimChar"/>
          <w:sz w:val="20"/>
          <w:szCs w:val="22"/>
        </w:rPr>
        <w:t>&lt;year&gt;                 ::= &lt;digit&gt; &lt;digit&gt; &lt;digit&gt; &lt;digit&gt;</w:t>
      </w:r>
      <w:r w:rsidRPr="0025530B">
        <w:rPr>
          <w:sz w:val="22"/>
          <w:szCs w:val="22"/>
        </w:rPr>
        <w:br/>
      </w:r>
      <w:r w:rsidRPr="0025530B">
        <w:rPr>
          <w:rStyle w:val="VerbatimChar"/>
          <w:sz w:val="20"/>
          <w:szCs w:val="22"/>
        </w:rPr>
        <w:t>&lt;letter&gt;               ::= "A" | ... | "Z" | "a" | ... | "z"</w:t>
      </w:r>
      <w:r w:rsidRPr="0025530B">
        <w:rPr>
          <w:sz w:val="22"/>
          <w:szCs w:val="22"/>
        </w:rPr>
        <w:br/>
      </w:r>
      <w:r w:rsidRPr="0025530B">
        <w:rPr>
          <w:rStyle w:val="VerbatimChar"/>
          <w:sz w:val="20"/>
          <w:szCs w:val="22"/>
        </w:rPr>
        <w:t>&lt;upper_letter&gt;         ::= "A" | ... | "Z"</w:t>
      </w:r>
      <w:r w:rsidRPr="0025530B">
        <w:rPr>
          <w:sz w:val="22"/>
          <w:szCs w:val="22"/>
        </w:rPr>
        <w:br/>
      </w:r>
      <w:r w:rsidRPr="0025530B">
        <w:rPr>
          <w:rStyle w:val="VerbatimChar"/>
          <w:sz w:val="20"/>
          <w:szCs w:val="22"/>
        </w:rPr>
        <w:t>&lt;digit&gt;                ::= "0" | ... | "9"</w:t>
      </w:r>
    </w:p>
    <w:p w14:paraId="10EC64AC" w14:textId="77777777" w:rsidR="00CD4C2C"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185C95E1" w14:textId="77777777" w:rsidR="00CD4C2C" w:rsidRDefault="00000000">
      <w:pPr>
        <w:pStyle w:val="Heading2"/>
      </w:pPr>
      <w:bookmarkStart w:id="29" w:name="type-system-and-static-verification"/>
      <w:bookmarkEnd w:id="12"/>
      <w:bookmarkEnd w:id="28"/>
      <w:r>
        <w:t>4. Type System and Static Verification</w:t>
      </w:r>
    </w:p>
    <w:p w14:paraId="32EE9EB9" w14:textId="77777777" w:rsidR="00CD4C2C" w:rsidRDefault="00000000">
      <w:pPr>
        <w:pStyle w:val="Heading3"/>
      </w:pPr>
      <w:bookmarkStart w:id="30" w:name="currency-aware-type-system"/>
      <w:r>
        <w:t>4.1 Currency-Aware Type System</w:t>
      </w:r>
    </w:p>
    <w:p w14:paraId="074BEBB6" w14:textId="77777777" w:rsidR="00CD4C2C" w:rsidRDefault="00000000">
      <w:pPr>
        <w:pStyle w:val="FirstParagraph"/>
      </w:pPr>
      <w:r>
        <w:t xml:space="preserve">IPFLang employs a dimensional type system preventing cross-currency arithmetic errors at compile time, analogous to units-of-measure checking in scientific computing </w:t>
      </w:r>
      <w:r>
        <w:lastRenderedPageBreak/>
        <w:t>[11].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p w14:paraId="069E6A0E" w14:textId="77777777" w:rsidR="00CD4C2C" w:rsidRDefault="00000000">
      <w:pPr>
        <w:pStyle w:val="BodyText"/>
      </w:pPr>
      <w:r>
        <w:rPr>
          <w:b/>
          <w:bCs/>
        </w:rPr>
        <w:t>[INSERT FIGURE 3: figures/figure6_type_hierarchy.mmd - IPFLang Type Hierarchy and Currency Typing Rules]</w:t>
      </w:r>
    </w:p>
    <w:p w14:paraId="065752C3" w14:textId="77777777" w:rsidR="00CD4C2C" w:rsidRDefault="00000000">
      <w:pPr>
        <w:pStyle w:val="Heading4"/>
      </w:pPr>
      <w:bookmarkStart w:id="31" w:name="type-language"/>
      <w:r>
        <w:t>4.1.1 Type Language</w:t>
      </w:r>
    </w:p>
    <w:p w14:paraId="5F0EB4BE" w14:textId="77777777" w:rsidR="00CD4C2C" w:rsidRDefault="00000000">
      <w:pPr>
        <w:pStyle w:val="FirstParagraph"/>
      </w:pPr>
      <w:r>
        <w:t>The type language extends basic types with currency-parameterized amounts:</w:t>
      </w:r>
    </w:p>
    <w:p w14:paraId="5238B5D0" w14:textId="77777777" w:rsidR="00CD4C2C" w:rsidRDefault="00000000">
      <w:pPr>
        <w:pStyle w:val="BodyText"/>
      </w:pPr>
      <w:r>
        <w:t xml:space="preserve">  τ ::= Num | Bool | Sym | Date | StrList | Amt[c] | α  </w:t>
      </w:r>
    </w:p>
    <w:p w14:paraId="64A3CFC4" w14:textId="77777777" w:rsidR="00CD4C2C" w:rsidRDefault="00000000">
      <w:pPr>
        <w:pStyle w:val="BodyText"/>
      </w:pPr>
      <w:r>
        <w:t xml:space="preserve">where: - </w:t>
      </w:r>
      <w:r>
        <w:rPr>
          <w:rStyle w:val="VerbatimChar"/>
        </w:rPr>
        <w:t>Num</w:t>
      </w:r>
      <w:r>
        <w:t xml:space="preserve"> represents dimensionless numbers - </w:t>
      </w:r>
      <w:r>
        <w:rPr>
          <w:rStyle w:val="VerbatimChar"/>
        </w:rPr>
        <w:t>Bool</w:t>
      </w:r>
      <w:r>
        <w:t xml:space="preserve"> represents Boolean values - </w:t>
      </w:r>
      <w:r>
        <w:rPr>
          <w:rStyle w:val="VerbatimChar"/>
        </w:rPr>
        <w:t>Sym</w:t>
      </w:r>
      <w:r>
        <w:t xml:space="preserve"> represents symbolic identifiers (LIST choices) - </w:t>
      </w:r>
      <w:r>
        <w:rPr>
          <w:rStyle w:val="VerbatimChar"/>
        </w:rPr>
        <w:t>Date</w:t>
      </w:r>
      <w:r>
        <w:t xml:space="preserve"> represents date values - </w:t>
      </w:r>
      <w:r>
        <w:rPr>
          <w:rStyle w:val="VerbatimChar"/>
        </w:rPr>
        <w:t>StrList</w:t>
      </w:r>
      <w:r>
        <w:t xml:space="preserve"> represents string lists (MULTILIST selections) - </w:t>
      </w:r>
      <w:r>
        <w:rPr>
          <w:rStyle w:val="VerbatimChar"/>
        </w:rPr>
        <w:t>Amt[c]</w:t>
      </w:r>
      <w:r>
        <w:t xml:space="preserve"> represents monetary amounts in currency c ∈ ISO-4217 - </w:t>
      </w:r>
      <w:r>
        <w:rPr>
          <w:rStyle w:val="VerbatimChar"/>
        </w:rPr>
        <w:t>α</w:t>
      </w:r>
      <w:r>
        <w:t xml:space="preserve"> represents type variables for polymorphic fee definitions</w:t>
      </w:r>
    </w:p>
    <w:p w14:paraId="7B667EEC" w14:textId="77777777" w:rsidR="00CD4C2C" w:rsidRDefault="00000000">
      <w:pPr>
        <w:pStyle w:val="Heading4"/>
      </w:pPr>
      <w:bookmarkStart w:id="32" w:name="typing-rules"/>
      <w:bookmarkEnd w:id="31"/>
      <w:r>
        <w:t>4.1.2 Typing Rules</w:t>
      </w:r>
    </w:p>
    <w:p w14:paraId="26201314" w14:textId="77777777" w:rsidR="00CD4C2C" w:rsidRDefault="00000000">
      <w:pPr>
        <w:pStyle w:val="FirstParagraph"/>
      </w:pPr>
      <w:r>
        <w:t>Let Γ denote a typing environment mapping identifiers to types, written Γ(x) = τ. We define the typing judgment Γ ⊢ e : τ, meaning “under environment Γ, expression e has type τ.”</w:t>
      </w:r>
    </w:p>
    <w:p w14:paraId="3788BD1C" w14:textId="77777777" w:rsidR="00CD4C2C" w:rsidRDefault="00000000">
      <w:pPr>
        <w:pStyle w:val="BodyText"/>
      </w:pPr>
      <w:r>
        <w:rPr>
          <w:b/>
          <w:bCs/>
        </w:rPr>
        <w:t>Literals and Variables:</w:t>
      </w:r>
    </w:p>
    <w:p w14:paraId="13CBA2A8" w14:textId="77777777" w:rsidR="00CD4C2C" w:rsidRDefault="00000000">
      <w:pPr>
        <w:pStyle w:val="BodyText"/>
      </w:pPr>
      <w:r>
        <w:t xml:space="preserve">    [T-NUM]    Γ⊢n:Num     </w:t>
      </w:r>
    </w:p>
    <w:p w14:paraId="062BC573" w14:textId="77777777" w:rsidR="00CD4C2C" w:rsidRDefault="00000000">
      <w:pPr>
        <w:pStyle w:val="BodyText"/>
      </w:pPr>
      <w:r>
        <w:t xml:space="preserve">    [T-VAR]   Γ(x)=τ Γ⊢x:τ     </w:t>
      </w:r>
    </w:p>
    <w:p w14:paraId="58428C04" w14:textId="77777777" w:rsidR="00CD4C2C" w:rsidRDefault="00000000">
      <w:pPr>
        <w:pStyle w:val="BodyText"/>
      </w:pPr>
      <w:r>
        <w:t xml:space="preserve">    [T-CURR]   c∈ISO-4217 Γ⊢n⟨c⟩:Amt[c]     </w:t>
      </w:r>
    </w:p>
    <w:p w14:paraId="0C025AFC" w14:textId="77777777" w:rsidR="00CD4C2C" w:rsidRDefault="00000000">
      <w:pPr>
        <w:pStyle w:val="BodyText"/>
      </w:pPr>
      <w:r>
        <w:rPr>
          <w:b/>
          <w:bCs/>
        </w:rPr>
        <w:t>Arithmetic Operations:</w:t>
      </w:r>
    </w:p>
    <w:p w14:paraId="51692DBE" w14:textId="0755B689" w:rsidR="00CD4C2C" w:rsidRDefault="00000000">
      <w:pPr>
        <w:pStyle w:val="BodyText"/>
      </w:pPr>
      <w:r>
        <w:t xml:space="preserve">    [T-ADD-</w:t>
      </w:r>
      <w:proofErr w:type="gramStart"/>
      <w:r>
        <w:t xml:space="preserve">NUM]   </w:t>
      </w:r>
      <w:proofErr w:type="gramEnd"/>
      <w:r>
        <w:t>Γ⊢e</w:t>
      </w:r>
      <w:proofErr w:type="gramStart"/>
      <w:r>
        <w:t>1:Num</w:t>
      </w:r>
      <w:proofErr w:type="gramEnd"/>
      <w:r w:rsidR="0025530B">
        <w:t xml:space="preserve"> </w:t>
      </w:r>
      <w:r>
        <w:t>Γ⊢e</w:t>
      </w:r>
      <w:proofErr w:type="gramStart"/>
      <w:r>
        <w:t>2:Num</w:t>
      </w:r>
      <w:proofErr w:type="gramEnd"/>
      <w:r>
        <w:t xml:space="preserve"> Γ⊢e1+e</w:t>
      </w:r>
      <w:proofErr w:type="gramStart"/>
      <w:r>
        <w:t>2:Num</w:t>
      </w:r>
      <w:proofErr w:type="gramEnd"/>
      <w:r>
        <w:t xml:space="preserve">     </w:t>
      </w:r>
    </w:p>
    <w:p w14:paraId="4B0CB4B4" w14:textId="7E484BC1" w:rsidR="00CD4C2C" w:rsidRDefault="00000000">
      <w:pPr>
        <w:pStyle w:val="BodyText"/>
      </w:pPr>
      <w:r>
        <w:t xml:space="preserve">    [T-ADD-</w:t>
      </w:r>
      <w:proofErr w:type="gramStart"/>
      <w:r>
        <w:t xml:space="preserve">AMT]   </w:t>
      </w:r>
      <w:proofErr w:type="gramEnd"/>
      <w:r>
        <w:t>Γ⊢e</w:t>
      </w:r>
      <w:proofErr w:type="gramStart"/>
      <w:r>
        <w:t>1:Amt</w:t>
      </w:r>
      <w:proofErr w:type="gramEnd"/>
      <w:r>
        <w:t>[c]</w:t>
      </w:r>
      <w:r w:rsidR="0025530B">
        <w:t xml:space="preserve"> </w:t>
      </w:r>
      <w:r>
        <w:t>Γ⊢e</w:t>
      </w:r>
      <w:proofErr w:type="gramStart"/>
      <w:r>
        <w:t>2:Amt</w:t>
      </w:r>
      <w:proofErr w:type="gramEnd"/>
      <w:r>
        <w:t>[c] Γ⊢e1+e</w:t>
      </w:r>
      <w:proofErr w:type="gramStart"/>
      <w:r>
        <w:t>2:Amt</w:t>
      </w:r>
      <w:proofErr w:type="gramEnd"/>
      <w:r>
        <w:t xml:space="preserve">[c]     </w:t>
      </w:r>
    </w:p>
    <w:p w14:paraId="417D3FB2" w14:textId="77777777" w:rsidR="00CD4C2C" w:rsidRDefault="00000000">
      <w:pPr>
        <w:pStyle w:val="BodyText"/>
      </w:pPr>
      <w:r>
        <w:t xml:space="preserve">    [T-MUL-SCALAR-R]   Γ⊢e1:Amt[c]Γ⊢e2:Num Γ⊢e1×e2:Amt[c]     </w:t>
      </w:r>
    </w:p>
    <w:p w14:paraId="7D01757D" w14:textId="77777777" w:rsidR="00CD4C2C" w:rsidRDefault="00000000">
      <w:pPr>
        <w:pStyle w:val="BodyText"/>
      </w:pPr>
      <w:r>
        <w:t xml:space="preserve">    [T-MUL-SCALAR-L]   Γ⊢e1:NumΓ⊢e2:Amt[c] Γ⊢e1×e2:Amt[c]     </w:t>
      </w:r>
    </w:p>
    <w:p w14:paraId="3C0536D8" w14:textId="77777777" w:rsidR="00CD4C2C"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are well-typed.</w:t>
      </w:r>
    </w:p>
    <w:p w14:paraId="2F15CED1" w14:textId="77777777" w:rsidR="00CD4C2C" w:rsidRDefault="00000000">
      <w:pPr>
        <w:pStyle w:val="BodyText"/>
      </w:pPr>
      <w:r>
        <w:rPr>
          <w:b/>
          <w:bCs/>
        </w:rPr>
        <w:t>Currency Conversion:</w:t>
      </w:r>
    </w:p>
    <w:p w14:paraId="72ABF34D" w14:textId="77777777" w:rsidR="00CD4C2C" w:rsidRDefault="00000000">
      <w:pPr>
        <w:pStyle w:val="BodyText"/>
      </w:pPr>
      <w:r>
        <w:t xml:space="preserve">    [T-CONVERT]   Γ⊢e:Amt[c1]c2∈ISO-4217 Γ⊢CONVERT(e,c1,c2):Amt[c2]     </w:t>
      </w:r>
    </w:p>
    <w:p w14:paraId="49A1C6D6" w14:textId="77777777" w:rsidR="00CD4C2C" w:rsidRDefault="00000000">
      <w:pPr>
        <w:pStyle w:val="BodyText"/>
      </w:pPr>
      <w:r>
        <w:rPr>
          <w:b/>
          <w:bCs/>
        </w:rPr>
        <w:t>Comparisons and Conditions:</w:t>
      </w:r>
    </w:p>
    <w:p w14:paraId="5E55CEF1" w14:textId="77777777" w:rsidR="00CD4C2C" w:rsidRDefault="00000000">
      <w:pPr>
        <w:pStyle w:val="BodyText"/>
      </w:pPr>
      <w:r>
        <w:lastRenderedPageBreak/>
        <w:t xml:space="preserve">    [T-COMP]   Γ⊢e1:τΓ⊢e2:τ⊕∈{EQ,NEQ,GT,LT,GTE,LTE} Γ⊢e1⊕e2:Bool     </w:t>
      </w:r>
    </w:p>
    <w:p w14:paraId="1CF0CD2B" w14:textId="77777777" w:rsidR="00CD4C2C" w:rsidRDefault="00000000">
      <w:pPr>
        <w:pStyle w:val="BodyText"/>
      </w:pPr>
      <w:r>
        <w:t xml:space="preserve">    [T-AND]   Γ⊢φ1:BoolΓ⊢φ2:Bool Γ⊢φ1ANDφ2:Bool     </w:t>
      </w:r>
    </w:p>
    <w:p w14:paraId="5CFBA763" w14:textId="77777777" w:rsidR="00CD4C2C" w:rsidRDefault="00000000">
      <w:pPr>
        <w:pStyle w:val="BodyText"/>
      </w:pPr>
      <w:r>
        <w:rPr>
          <w:b/>
          <w:bCs/>
        </w:rPr>
        <w:t>Let Bindings:</w:t>
      </w:r>
    </w:p>
    <w:p w14:paraId="3D5166B8" w14:textId="77777777" w:rsidR="00CD4C2C" w:rsidRDefault="00000000">
      <w:pPr>
        <w:pStyle w:val="BodyText"/>
      </w:pPr>
      <w:r>
        <w:t xml:space="preserve">    [T-LET]   Γ⊢e1:τ1Γ[x↦τ1]⊢e2:τ2 Γ⊢LETxASe1;e2:τ2     </w:t>
      </w:r>
    </w:p>
    <w:p w14:paraId="76DE6DF1" w14:textId="77777777" w:rsidR="00CD4C2C" w:rsidRDefault="00000000">
      <w:pPr>
        <w:pStyle w:val="BodyText"/>
      </w:pPr>
      <w:r>
        <w:rPr>
          <w:b/>
          <w:bCs/>
        </w:rPr>
        <w:t>Yield Statements:</w:t>
      </w:r>
    </w:p>
    <w:p w14:paraId="4E2CB33B" w14:textId="77777777" w:rsidR="00CD4C2C" w:rsidRDefault="00000000">
      <w:pPr>
        <w:pStyle w:val="BodyText"/>
      </w:pPr>
      <w:r>
        <w:t xml:space="preserve">    [T-YIELD]   Γ⊢e:τΓ⊢φ:Bool Γ⊢YIELDeIFφ:τ     </w:t>
      </w:r>
    </w:p>
    <w:p w14:paraId="23E4C1DE" w14:textId="77777777" w:rsidR="00CD4C2C" w:rsidRDefault="00000000">
      <w:pPr>
        <w:pStyle w:val="BodyText"/>
      </w:pPr>
      <w:r>
        <w:rPr>
          <w:b/>
          <w:bCs/>
        </w:rPr>
        <w:t>Polymorphic Fees:</w:t>
      </w:r>
    </w:p>
    <w:p w14:paraId="19EE168D" w14:textId="77777777" w:rsidR="00CD4C2C" w:rsidRDefault="00000000">
      <w:pPr>
        <w:pStyle w:val="BodyText"/>
      </w:pPr>
      <w:r>
        <w:t xml:space="preserve">    [T-POLY]   Γ[α↦∀]⊢body:α Γ⊢FEE⟨α⟩body:∀α.α     </w:t>
      </w:r>
    </w:p>
    <w:p w14:paraId="5DE3DBD7" w14:textId="77777777" w:rsidR="00CD4C2C" w:rsidRDefault="00000000">
      <w:pPr>
        <w:pStyle w:val="Heading4"/>
      </w:pPr>
      <w:bookmarkStart w:id="33" w:name="type-safety"/>
      <w:bookmarkEnd w:id="32"/>
      <w:r>
        <w:t>4.1.3 Type Safety</w:t>
      </w:r>
    </w:p>
    <w:p w14:paraId="09759EED" w14:textId="77777777" w:rsidR="00CD4C2C" w:rsidRDefault="00000000">
      <w:pPr>
        <w:pStyle w:val="FirstParagraph"/>
      </w:pPr>
      <w:r>
        <w:rPr>
          <w:b/>
          <w:bCs/>
        </w:rPr>
        <w:t>Theorem 1 (Type Safety).</w:t>
      </w:r>
      <w:r>
        <w:t xml:space="preserve"> If program P is well-typed (Γ ⊢ P : ok), then for all inputs σ satisfying Γ: 1. Every arithmetic expression evaluates without currency mismatch 2. Every fee f computes to a value v : Amt[c] where c is f’s declared currency (or Num if undeclared) 3. No implicit currency conversion occurs</w:t>
      </w:r>
    </w:p>
    <w:p w14:paraId="005E9915" w14:textId="77777777" w:rsidR="00CD4C2C" w:rsidRDefault="00000000">
      <w:pPr>
        <w:pStyle w:val="BodyText"/>
      </w:pPr>
      <w:r>
        <w:rPr>
          <w:i/>
          <w:iCs/>
        </w:rPr>
        <w:t>Proof sketch.</w:t>
      </w:r>
      <w:r>
        <w:t xml:space="preserve"> By structural induction on typing derivations.</w:t>
      </w:r>
    </w:p>
    <w:p w14:paraId="482369D5" w14:textId="77777777" w:rsidR="00CD4C2C" w:rsidRDefault="00000000">
      <w:pPr>
        <w:pStyle w:val="BodyText"/>
      </w:pPr>
      <w:r>
        <w:rPr>
          <w:i/>
          <w:iCs/>
        </w:rPr>
        <w:t>Base cases:</w:t>
      </w:r>
      <w:r>
        <w:t xml:space="preserve"> Numeric literals have type Num by T-NUM. Currency literals n⟨c⟩ have type Amt[c] by T-CURR, where c is validated against the ISO-4217 database.</w:t>
      </w:r>
    </w:p>
    <w:p w14:paraId="119FFADB" w14:textId="77777777" w:rsidR="00CD4C2C" w:rsidRDefault="00000000">
      <w:pPr>
        <w:pStyle w:val="BodyText"/>
      </w:pPr>
      <w:r>
        <w:rPr>
          <w:i/>
          <w:iCs/>
        </w:rPr>
        <w:t>Inductive cases:</w:t>
      </w:r>
      <w:r>
        <w: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14:paraId="416769B1" w14:textId="77777777" w:rsidR="00CD4C2C" w:rsidRDefault="00000000">
      <w:pPr>
        <w:pStyle w:val="BodyText"/>
      </w:pPr>
      <w:r>
        <w:t>The type checker implementation (</w:t>
      </w:r>
      <w:r>
        <w:rPr>
          <w:rStyle w:val="VerbatimChar"/>
        </w:rPr>
        <w:t>CurrencyTypeChecker.cs</w:t>
      </w:r>
      <w:r>
        <w:t xml:space="preserve">) enforces these rules, rejecting programs that violate conditions (1)-(3) before evaluation. Specifically, </w:t>
      </w:r>
      <w:r>
        <w:rPr>
          <w:rStyle w:val="VerbatimChar"/>
        </w:rPr>
        <w:t>InferArithmeticType()</w:t>
      </w:r>
      <w:r>
        <w:t xml:space="preserve"> implements T-ADD-AMT, T-MUL-SCALAR-R, and T-MUL-SCALAR-L; </w:t>
      </w:r>
      <w:r>
        <w:rPr>
          <w:rStyle w:val="VerbatimChar"/>
        </w:rPr>
        <w:t>InferConvertType()</w:t>
      </w:r>
      <w:r>
        <w:t xml:space="preserve"> implements T-CONVERT; and </w:t>
      </w:r>
      <w:r>
        <w:rPr>
          <w:rStyle w:val="VerbatimChar"/>
        </w:rPr>
        <w:t>TypeError.MixedCurrencyArithmetic()</w:t>
      </w:r>
      <w:r>
        <w:t xml:space="preserve"> signals violations of condition (1).</w:t>
      </w:r>
    </w:p>
    <w:p w14:paraId="374E85BD" w14:textId="77777777" w:rsidR="00CD4C2C" w:rsidRDefault="00000000">
      <w:pPr>
        <w:pStyle w:val="BodyText"/>
      </w:pPr>
      <w:r>
        <w:rPr>
          <w:b/>
          <w:bCs/>
        </w:rPr>
        <w:t>Example - Type Error Detection:</w:t>
      </w:r>
    </w:p>
    <w:p w14:paraId="5A6D86B7" w14:textId="77777777" w:rsidR="00CD4C2C" w:rsidRDefault="00000000">
      <w:pPr>
        <w:pStyle w:val="SourceCode"/>
      </w:pPr>
      <w:r>
        <w:rPr>
          <w:rStyle w:val="VerbatimChar"/>
        </w:rPr>
        <w:t># Type error detected at compile time:</w:t>
      </w:r>
      <w:r>
        <w:br/>
      </w:r>
      <w:r>
        <w:rPr>
          <w:rStyle w:val="VerbatimChar"/>
        </w:rPr>
        <w:t>YIELD FilingFee + SearchFee   -- where FilingFee:Amt[EUR], SearchFee:Amt[USD]</w:t>
      </w:r>
      <w:r>
        <w:br/>
      </w:r>
      <w:r>
        <w:rPr>
          <w:rStyle w:val="VerbatimChar"/>
        </w:rPr>
        <w:t># Error: Cannot add EUR and USD without conversion</w:t>
      </w:r>
      <w:r>
        <w:br/>
      </w:r>
      <w:r>
        <w:br/>
      </w:r>
      <w:r>
        <w:rPr>
          <w:rStyle w:val="VerbatimChar"/>
        </w:rPr>
        <w:t># Correct version with explicit conversion:</w:t>
      </w:r>
      <w:r>
        <w:br/>
      </w:r>
      <w:r>
        <w:rPr>
          <w:rStyle w:val="VerbatimChar"/>
        </w:rPr>
        <w:t>YIELD FilingFee + CONVERT(SearchFee, USD, EUR)</w:t>
      </w:r>
    </w:p>
    <w:p w14:paraId="36D5F944" w14:textId="77777777" w:rsidR="00CD4C2C" w:rsidRDefault="00000000">
      <w:pPr>
        <w:pStyle w:val="Heading3"/>
      </w:pPr>
      <w:bookmarkStart w:id="34" w:name="completeness-analysis"/>
      <w:bookmarkEnd w:id="30"/>
      <w:bookmarkEnd w:id="33"/>
      <w:r>
        <w:t>4.2 Completeness Analysis</w:t>
      </w:r>
    </w:p>
    <w:p w14:paraId="49C876ED" w14:textId="77777777" w:rsidR="00CD4C2C" w:rsidRDefault="00000000">
      <w:pPr>
        <w:pStyle w:val="FirstParagraph"/>
      </w:pPr>
      <w:r>
        <w:t xml:space="preserve">IPFLang supports static analysis to determine whether fee computations produce defined outputs for all valid input combinations. The analysis operates in two modes: </w:t>
      </w:r>
      <w:r>
        <w:rPr>
          <w:i/>
          <w:iCs/>
        </w:rPr>
        <w:lastRenderedPageBreak/>
        <w:t>exhaustive verification</w:t>
      </w:r>
      <w:r>
        <w:t xml:space="preserve"> for small domains providing formal guarantees, and </w:t>
      </w:r>
      <w:r>
        <w:rPr>
          <w:i/>
          <w:iCs/>
        </w:rPr>
        <w:t>boundary-based testing</w:t>
      </w:r>
      <w:r>
        <w:t xml:space="preserve"> for large domains providing high-confidence heuristic assurance.</w:t>
      </w:r>
    </w:p>
    <w:p w14:paraId="2A87380B" w14:textId="77777777" w:rsidR="00CD4C2C" w:rsidRDefault="00000000">
      <w:pPr>
        <w:pStyle w:val="Heading4"/>
      </w:pPr>
      <w:bookmarkStart w:id="35" w:name="formal-definitions"/>
      <w:r>
        <w:t>4.2.1 Formal Definitions</w:t>
      </w:r>
    </w:p>
    <w:p w14:paraId="207DBE96" w14:textId="77777777" w:rsidR="00CD4C2C"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13054A00" w14:textId="77777777" w:rsidR="00CD4C2C" w:rsidRDefault="00000000">
      <w:pPr>
        <w:pStyle w:val="BodyText"/>
      </w:pPr>
      <w:r>
        <w:rPr>
          <w:b/>
          <w:bCs/>
        </w:rPr>
        <w:t>Definition 2 (Valuation Space).</w:t>
      </w:r>
      <w:r>
        <w:t xml:space="preserve"> The valuation space Σ is the Cartesian product of all input domains: Σ = Dom₁ × Dom₂ × … × Domₘ</w:t>
      </w:r>
    </w:p>
    <w:p w14:paraId="4CF49CBE" w14:textId="77777777" w:rsidR="00CD4C2C" w:rsidRDefault="00000000">
      <w:pPr>
        <w:pStyle w:val="BodyText"/>
      </w:pPr>
      <w:r>
        <w:rPr>
          <w:b/>
          <w:bCs/>
        </w:rPr>
        <w:t>Definition 3 (Coverage).</w:t>
      </w:r>
      <w:r>
        <w:t xml:space="preserve"> For fee f with conditional yields guarded by conditions φ₁, …, φₙ, the coverage is:</w:t>
      </w:r>
    </w:p>
    <w:p w14:paraId="5F2E0E72" w14:textId="77777777" w:rsidR="00CD4C2C" w:rsidRDefault="00000000">
      <w:pPr>
        <w:pStyle w:val="BodyText"/>
      </w:pPr>
      <w:r>
        <w:t xml:space="preserve">  Cov(f) = {σ∈Σ:∃i.σ⊨φi}  </w:t>
      </w:r>
    </w:p>
    <w:p w14:paraId="04ED1B10" w14:textId="77777777" w:rsidR="00CD4C2C"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1733DAA7" w14:textId="77777777" w:rsidR="00CD4C2C" w:rsidRDefault="00000000">
      <w:pPr>
        <w:pStyle w:val="Heading4"/>
      </w:pPr>
      <w:bookmarkStart w:id="36" w:name="analysis-algorithm"/>
      <w:bookmarkEnd w:id="35"/>
      <w:r>
        <w:t>4.2.2 Analysis Algorithm</w:t>
      </w:r>
    </w:p>
    <w:p w14:paraId="3B580818" w14:textId="77777777" w:rsidR="00CD4C2C" w:rsidRDefault="00000000">
      <w:pPr>
        <w:pStyle w:val="FirstParagraph"/>
      </w:pPr>
      <w:r>
        <w:t>The completeness analysis employs two strategies depending on domain size:</w:t>
      </w:r>
    </w:p>
    <w:p w14:paraId="3B3B48E0" w14:textId="77777777" w:rsidR="00CD4C2C" w:rsidRDefault="00000000">
      <w:pPr>
        <w:pStyle w:val="BodyText"/>
      </w:pPr>
      <w:r>
        <w:rPr>
          <w:b/>
          <w:bCs/>
        </w:rPr>
        <w:t>[INSERT FIGURE 4: figures/figure2_completeness_algorithm.mmd - Completeness Analysis Algorithm Flowchart]</w:t>
      </w:r>
    </w:p>
    <w:p w14:paraId="6C679024" w14:textId="77777777" w:rsidR="00CD4C2C" w:rsidRDefault="00000000">
      <w:pPr>
        <w:pStyle w:val="SourceCode"/>
      </w:pPr>
      <w:r>
        <w:rPr>
          <w:rStyle w:val="VerbatimChar"/>
        </w:rPr>
        <w:t>Algorithm 1: Completeness Analysis</w:t>
      </w:r>
      <w:r>
        <w:br/>
      </w:r>
      <w:r>
        <w:rPr>
          <w:rStyle w:val="VerbatimChar"/>
        </w:rPr>
        <w:t>─────────────────────────────────────────────────────────────────────</w:t>
      </w:r>
      <w:r>
        <w:br/>
      </w:r>
      <w:r>
        <w:rPr>
          <w:rStyle w:val="VerbatimChar"/>
        </w:rPr>
        <w:t>Input:  Fee f with conditions Φ = {φ₁, ..., φₙ}</w:t>
      </w:r>
      <w:r>
        <w:br/>
      </w:r>
      <w:r>
        <w:rPr>
          <w:rStyle w:val="VerbatimChar"/>
        </w:rPr>
        <w:t xml:space="preserve">        Input domains D = {D₁, ..., Dₘ}</w:t>
      </w:r>
      <w:r>
        <w:br/>
      </w:r>
      <w:r>
        <w:rPr>
          <w:rStyle w:val="VerbatimChar"/>
        </w:rPr>
        <w:t>Output: (complete: Bool, gaps: Set⟨InputCombination⟩)</w:t>
      </w:r>
      <w:r>
        <w:br/>
      </w:r>
      <w:r>
        <w:br/>
      </w:r>
      <w:r>
        <w:rPr>
          <w:rStyle w:val="VerbatimChar"/>
        </w:rPr>
        <w:t xml:space="preserve"> 1: Σ ← D₁ × D₂ × ... × Dₘ                    // Valuation space</w:t>
      </w:r>
      <w:r>
        <w:br/>
      </w:r>
      <w:r>
        <w:rPr>
          <w:rStyle w:val="VerbatimChar"/>
        </w:rPr>
        <w:t xml:space="preserve"> 2: |Σ| ← ∏ᵢ |Dᵢ|                             // Domain size</w:t>
      </w:r>
      <w:r>
        <w:br/>
      </w:r>
      <w:r>
        <w:rPr>
          <w:rStyle w:val="VerbatimChar"/>
        </w:rPr>
        <w:t xml:space="preserve"> 3: gaps ← ∅</w:t>
      </w:r>
      <w:r>
        <w:br/>
      </w:r>
      <w:r>
        <w:rPr>
          <w:rStyle w:val="VerbatimChar"/>
        </w:rPr>
        <w:t xml:space="preserve"> 4:</w:t>
      </w:r>
      <w:r>
        <w:br/>
      </w:r>
      <w:r>
        <w:rPr>
          <w:rStyle w:val="VerbatimChar"/>
        </w:rPr>
        <w:t xml:space="preserve"> 5: if |Σ| ≤ EXHAUSTIVE_THRESHOLD then        // Default: 10⁶</w:t>
      </w:r>
      <w:r>
        <w:br/>
      </w:r>
      <w:r>
        <w:rPr>
          <w:rStyle w:val="VerbatimChar"/>
        </w:rPr>
        <w:t xml:space="preserve"> 6:     // EXHAUSTIVE VERIFICATION (provides formal guarantee)</w:t>
      </w:r>
      <w:r>
        <w:br/>
      </w:r>
      <w:r>
        <w:rPr>
          <w:rStyle w:val="VerbatimChar"/>
        </w:rPr>
        <w:t xml:space="preserve"> 7:     for each σ ∈ Σ do</w:t>
      </w:r>
      <w:r>
        <w:br/>
      </w:r>
      <w:r>
        <w:rPr>
          <w:rStyle w:val="VerbatimChar"/>
        </w:rPr>
        <w:t xml:space="preserve"> 8:         if ¬∃φᵢ ∈ Φ : σ ⊨ φᵢ then</w:t>
      </w:r>
      <w:r>
        <w:br/>
      </w:r>
      <w:r>
        <w:rPr>
          <w:rStyle w:val="VerbatimChar"/>
        </w:rPr>
        <w:t xml:space="preserve"> 9:             gaps ← gaps ∪ {σ}</w:t>
      </w:r>
      <w:r>
        <w:br/>
      </w:r>
      <w:r>
        <w:rPr>
          <w:rStyle w:val="VerbatimChar"/>
        </w:rPr>
        <w:t>10:             if |gaps| ≥ MAX_GAPS then break</w:t>
      </w:r>
      <w:r>
        <w:br/>
      </w:r>
      <w:r>
        <w:rPr>
          <w:rStyle w:val="VerbatimChar"/>
        </w:rPr>
        <w:t>11: else</w:t>
      </w:r>
      <w:r>
        <w:br/>
      </w:r>
      <w:r>
        <w:rPr>
          <w:rStyle w:val="VerbatimChar"/>
        </w:rPr>
        <w:t>12:     // BOUNDARY-BASED TESTING (heuristic, no formal guarantee)</w:t>
      </w:r>
      <w:r>
        <w:br/>
      </w:r>
      <w:r>
        <w:rPr>
          <w:rStyle w:val="VerbatimChar"/>
        </w:rPr>
        <w:t>13:     S ← SampleRepresentative(D)           // Boundary sampling</w:t>
      </w:r>
      <w:r>
        <w:br/>
      </w:r>
      <w:r>
        <w:rPr>
          <w:rStyle w:val="VerbatimChar"/>
        </w:rPr>
        <w:t>14:     for each σ ∈ S do</w:t>
      </w:r>
      <w:r>
        <w:br/>
      </w:r>
      <w:r>
        <w:rPr>
          <w:rStyle w:val="VerbatimChar"/>
        </w:rPr>
        <w:t>15:         if ¬∃φᵢ ∈ Φ : σ ⊨ φᵢ then</w:t>
      </w:r>
      <w:r>
        <w:br/>
      </w:r>
      <w:r>
        <w:rPr>
          <w:rStyle w:val="VerbatimChar"/>
        </w:rPr>
        <w:t>16:             gaps ← gaps ∪ {σ}</w:t>
      </w:r>
      <w:r>
        <w:br/>
      </w:r>
      <w:r>
        <w:rPr>
          <w:rStyle w:val="VerbatimChar"/>
        </w:rPr>
        <w:t>17:</w:t>
      </w:r>
      <w:r>
        <w:br/>
      </w:r>
      <w:r>
        <w:rPr>
          <w:rStyle w:val="VerbatimChar"/>
        </w:rPr>
        <w:t>18: return (gaps = ∅, gaps)</w:t>
      </w:r>
    </w:p>
    <w:p w14:paraId="5C119BF4" w14:textId="77777777" w:rsidR="00CD4C2C" w:rsidRDefault="00000000">
      <w:pPr>
        <w:pStyle w:val="Heading4"/>
      </w:pPr>
      <w:bookmarkStart w:id="37" w:name="complexity-analysis"/>
      <w:bookmarkEnd w:id="36"/>
      <w:r>
        <w:lastRenderedPageBreak/>
        <w:t>4.2.3 Complexity Analysis</w:t>
      </w:r>
    </w:p>
    <w:p w14:paraId="2A98C89E" w14:textId="77777777" w:rsidR="00CD4C2C"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42551B3B" w14:textId="77777777" w:rsidR="00CD4C2C" w:rsidRDefault="00000000">
      <w:pPr>
        <w:pStyle w:val="Compact"/>
        <w:numPr>
          <w:ilvl w:val="0"/>
          <w:numId w:val="5"/>
        </w:numPr>
      </w:pPr>
      <w:r>
        <w:rPr>
          <w:b/>
          <w:bCs/>
        </w:rPr>
        <w:t>Exhaustive verification</w:t>
      </w:r>
      <w:r>
        <w:t xml:space="preserve"> (N ≤ 10⁶): O(N · n · k) time, O(|gaps|) space. Provides formal guarantee.</w:t>
      </w:r>
    </w:p>
    <w:p w14:paraId="56028B5C" w14:textId="77777777" w:rsidR="00CD4C2C" w:rsidRDefault="00000000">
      <w:pPr>
        <w:pStyle w:val="Compact"/>
        <w:numPr>
          <w:ilvl w:val="0"/>
          <w:numId w:val="5"/>
        </w:numPr>
      </w:pPr>
      <w:r>
        <w:rPr>
          <w:b/>
          <w:bCs/>
        </w:rPr>
        <w:t>Boundary-based testing</w:t>
      </w:r>
      <w:r>
        <w:t xml:space="preserve"> (N &gt; 10⁶): O(S · n · k) time where S = O(5ᵐ) for boundary sampling with 5 representatives per domain. Provides heuristic assurance only.</w:t>
      </w:r>
    </w:p>
    <w:p w14:paraId="3AA93BF6" w14:textId="77777777" w:rsidR="00CD4C2C" w:rsidRDefault="00000000">
      <w:pPr>
        <w:pStyle w:val="Heading4"/>
      </w:pPr>
      <w:bookmarkStart w:id="38" w:name="sampling-strategy"/>
      <w:bookmarkEnd w:id="37"/>
      <w:r>
        <w:t>4.2.4 Sampling Strategy</w:t>
      </w:r>
    </w:p>
    <w:p w14:paraId="096E29A8" w14:textId="77777777" w:rsidR="00CD4C2C" w:rsidRDefault="00000000">
      <w:pPr>
        <w:pStyle w:val="FirstParagraph"/>
      </w:pPr>
      <w:r>
        <w:t xml:space="preserve">For numeric domains [min, max], the representative sampling selects boundary values (min and max), threshold values consisting of integers appearing in conditions (such as 15 and 50 from </w:t>
      </w:r>
      <w:r>
        <w:rPr>
          <w:rStyle w:val="VerbatimChar"/>
        </w:rPr>
        <w:t>ClaimCount GT 15</w:t>
      </w:r>
      <w:r>
        <w:t>), the midpoint (min + max) / 2, and near-boundary values (min + 1 and max - 1).</w:t>
      </w:r>
    </w:p>
    <w:p w14:paraId="6240CAFA" w14:textId="77777777" w:rsidR="00CD4C2C" w:rsidRDefault="00000000">
      <w:pPr>
        <w:pStyle w:val="BodyText"/>
      </w:pPr>
      <w:r>
        <w:t>For Boolean domains, sampling includes both TRUE and FALSE exhaustively. For LIST domains, sampling covers all choices exhaustively up to the cardinality limit. For MULTILIST domains, sampling includes the empty set, all singleton sets, and the full set.</w:t>
      </w:r>
    </w:p>
    <w:p w14:paraId="6AB7B475" w14:textId="77777777" w:rsidR="00CD4C2C" w:rsidRDefault="00000000">
      <w:pPr>
        <w:pStyle w:val="Heading4"/>
      </w:pPr>
      <w:bookmarkStart w:id="39" w:name="soundness-and-guarantees"/>
      <w:bookmarkEnd w:id="38"/>
      <w:r>
        <w:t>4.2.5 Soundness and Guarantees</w:t>
      </w:r>
    </w:p>
    <w:p w14:paraId="2492CBF7" w14:textId="77777777" w:rsidR="00CD4C2C" w:rsidRDefault="00000000">
      <w:pPr>
        <w:pStyle w:val="FirstParagraph"/>
      </w:pPr>
      <w:r>
        <w:rPr>
          <w:b/>
          <w:bCs/>
        </w:rPr>
        <w:t>Proposition 1 (Soundness of Exhaustive Mode).</w:t>
      </w:r>
      <w:r>
        <w:t xml:space="preserve"> If the exhaustive algorithm reports complete, the fee is genuinely complete.</w:t>
      </w:r>
    </w:p>
    <w:p w14:paraId="2EA785F1" w14:textId="77777777" w:rsidR="00CD4C2C" w:rsidRDefault="00000000">
      <w:pPr>
        <w:pStyle w:val="BodyText"/>
      </w:pPr>
      <w:r>
        <w:rPr>
          <w:i/>
          <w:iCs/>
        </w:rPr>
        <w:t>Proof.</w:t>
      </w:r>
      <w:r>
        <w:t xml:space="preserve"> The algorithm checks all σ ∈ Σ. If no gap is found, then ∀σ ∈ Σ. ∃φᵢ. σ ⊨ φᵢ, which is the definition of completeness.</w:t>
      </w:r>
    </w:p>
    <w:p w14:paraId="6BCA45C4" w14:textId="77777777" w:rsidR="00CD4C2C" w:rsidRDefault="00000000">
      <w:pPr>
        <w:pStyle w:val="BodyText"/>
      </w:pPr>
      <w:r>
        <w:rPr>
          <w:b/>
          <w:bCs/>
        </w:rPr>
        <w:t>Proposition 2 (Completeness of Exhaustive Mode).</w:t>
      </w:r>
      <w:r>
        <w:t xml:space="preserve"> If a gap exists, the exhaustive algorithm will find it (up to MAX_GAPS reporting limit).</w:t>
      </w:r>
    </w:p>
    <w:p w14:paraId="49E35A87" w14:textId="77777777" w:rsidR="00CD4C2C"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 The distinction between exhaustive verification with formal guarantees and heuristic sampling reflects fundamental tradeoffs in static analysis between precision and scalability [25].</w:t>
      </w:r>
    </w:p>
    <w:p w14:paraId="3214BD4B" w14:textId="77777777" w:rsidR="00CD4C2C" w:rsidRDefault="00000000">
      <w:pPr>
        <w:pStyle w:val="BodyText"/>
      </w:pPr>
      <w:r>
        <w:rPr>
          <w:b/>
          <w:bCs/>
        </w:rPr>
        <w:t>Example - Gap Detection:</w:t>
      </w:r>
    </w:p>
    <w:p w14:paraId="60AEAE53" w14:textId="77777777" w:rsidR="00CD4C2C" w:rsidRDefault="00000000">
      <w:pPr>
        <w:pStyle w:val="SourceCode"/>
      </w:pPr>
      <w:r>
        <w:rPr>
          <w:rStyle w:val="VerbatimChar"/>
        </w:rPr>
        <w:t>COMPUTE FEE ClaimFee</w:t>
      </w:r>
      <w:r>
        <w:br/>
      </w:r>
      <w:r>
        <w:rPr>
          <w:rStyle w:val="VerbatimChar"/>
        </w:rPr>
        <w:t xml:space="preserve">  YIELD 100 * (ClaimCount - 20) IF EntityType EQ Large AND ClaimCount GT 20</w:t>
      </w:r>
      <w:r>
        <w:br/>
      </w:r>
      <w:r>
        <w:rPr>
          <w:rStyle w:val="VerbatimChar"/>
        </w:rPr>
        <w:t xml:space="preserve">  YIELD 50 * (ClaimCount - 20) IF EntityType EQ Small AND ClaimCount GT 20</w:t>
      </w:r>
      <w:r>
        <w:br/>
      </w:r>
      <w:r>
        <w:rPr>
          <w:rStyle w:val="VerbatimChar"/>
        </w:rPr>
        <w:t>ENDCOMPUTE</w:t>
      </w:r>
      <w:r>
        <w:br/>
      </w:r>
      <w:r>
        <w:br/>
      </w:r>
      <w:r>
        <w:rPr>
          <w:rStyle w:val="VerbatimChar"/>
        </w:rPr>
        <w:t>VERIFY COMPLETE FEE ClaimFee</w:t>
      </w:r>
    </w:p>
    <w:p w14:paraId="28629C51" w14:textId="77777777" w:rsidR="00CD4C2C" w:rsidRDefault="00000000">
      <w:pPr>
        <w:pStyle w:val="FirstParagraph"/>
      </w:pPr>
      <w:r>
        <w:lastRenderedPageBreak/>
        <w:t>Output: “Gap: {EntityType=Micro}” and “Gap: {ClaimCount ≤ 20}”</w:t>
      </w:r>
    </w:p>
    <w:p w14:paraId="6A13940F" w14:textId="77777777" w:rsidR="00CD4C2C" w:rsidRDefault="00000000">
      <w:pPr>
        <w:pStyle w:val="Heading3"/>
      </w:pPr>
      <w:bookmarkStart w:id="40" w:name="monotonicity-verification"/>
      <w:bookmarkEnd w:id="34"/>
      <w:bookmarkEnd w:id="39"/>
      <w:r>
        <w:t>4.3 Monotonicity Verification</w:t>
      </w:r>
    </w:p>
    <w:p w14:paraId="0C23EBFA" w14:textId="77777777" w:rsidR="00CD4C2C" w:rsidRDefault="00000000">
      <w:pPr>
        <w:pStyle w:val="FirstParagraph"/>
      </w:pPr>
      <w:r>
        <w:t>Fee schedules should exhibit predictable behavior: increasing claim count should never decrease the fee.</w:t>
      </w:r>
    </w:p>
    <w:p w14:paraId="59209835" w14:textId="77777777" w:rsidR="00CD4C2C" w:rsidRDefault="00000000">
      <w:pPr>
        <w:pStyle w:val="BodyText"/>
      </w:pPr>
      <w:r>
        <w:rPr>
          <w:b/>
          <w:bCs/>
        </w:rPr>
        <w:t>[INSERT FIGURE 5: figures/figure7_monotonicity.mmd - Monotonicity Verification Process and Direction Types]</w:t>
      </w:r>
    </w:p>
    <w:p w14:paraId="527C008B" w14:textId="77777777" w:rsidR="00CD4C2C" w:rsidRDefault="00000000">
      <w:pPr>
        <w:pStyle w:val="Heading4"/>
      </w:pPr>
      <w:bookmarkStart w:id="41" w:name="formal-definition"/>
      <w:r>
        <w:t>4.3.1 Formal Definition</w:t>
      </w:r>
    </w:p>
    <w:p w14:paraId="7A2DC5C9" w14:textId="77777777" w:rsidR="00CD4C2C"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4909A26F" w14:textId="77777777" w:rsidR="00CD4C2C" w:rsidRDefault="00000000">
      <w:pPr>
        <w:pStyle w:val="BodyText"/>
      </w:pPr>
      <w:r>
        <w:t xml:space="preserve">  ∀σ−x.  ∀v1,v2∈Dom(x).  v1&lt;v2 ⟹ f(σ−x[x↦v1]) ≤ f(σ−x[x↦v2])  </w:t>
      </w:r>
    </w:p>
    <w:p w14:paraId="11A96441" w14:textId="77777777" w:rsidR="00CD4C2C"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2A77C29E" w14:textId="77777777" w:rsidR="00CD4C2C" w:rsidRDefault="00000000">
      <w:pPr>
        <w:pStyle w:val="Heading4"/>
      </w:pPr>
      <w:bookmarkStart w:id="42" w:name="verification-algorithm"/>
      <w:bookmarkEnd w:id="41"/>
      <w:r>
        <w:t>4.3.2 Verification Algorithm</w:t>
      </w:r>
    </w:p>
    <w:p w14:paraId="4F71F94B" w14:textId="77777777" w:rsidR="00CD4C2C" w:rsidRDefault="00000000">
      <w:pPr>
        <w:pStyle w:val="SourceCode"/>
      </w:pPr>
      <w:r>
        <w:rPr>
          <w:rStyle w:val="VerbatimChar"/>
        </w:rPr>
        <w:t>Algorithm 2: Monotonicity Verification</w:t>
      </w:r>
      <w:r>
        <w:br/>
      </w:r>
      <w:r>
        <w:rPr>
          <w:rStyle w:val="VerbatimChar"/>
        </w:rPr>
        <w:t>─────────────────────────────────────────────────────────────────────</w:t>
      </w:r>
      <w:r>
        <w:br/>
      </w:r>
      <w:r>
        <w:rPr>
          <w:rStyle w:val="VerbatimChar"/>
        </w:rPr>
        <w:t>Input:  Fee f, numeric input x with domain Dₓ = [min, max]</w:t>
      </w:r>
      <w:r>
        <w:br/>
      </w:r>
      <w:r>
        <w:rPr>
          <w:rStyle w:val="VerbatimChar"/>
        </w:rPr>
        <w:t xml:space="preserve">        Other domains D₋ₓ, expected direction d</w:t>
      </w:r>
      <w:r>
        <w:br/>
      </w:r>
      <w:r>
        <w:rPr>
          <w:rStyle w:val="VerbatimChar"/>
        </w:rPr>
        <w:t>Output: (monotonic: Bool, violations: List⟨Violation⟩)</w:t>
      </w:r>
      <w:r>
        <w:br/>
      </w:r>
      <w:r>
        <w:br/>
      </w:r>
      <w:r>
        <w:rPr>
          <w:rStyle w:val="VerbatimChar"/>
        </w:rPr>
        <w:t xml:space="preserve"> 1: violations ← []</w:t>
      </w:r>
      <w:r>
        <w:br/>
      </w:r>
      <w:r>
        <w:rPr>
          <w:rStyle w:val="VerbatimChar"/>
        </w:rPr>
        <w:t xml:space="preserve"> 2: for each σ₋ₓ ∈ SampleRepresentative(D₋ₓ) do   // Context sampling</w:t>
      </w:r>
      <w:r>
        <w:br/>
      </w:r>
      <w:r>
        <w:rPr>
          <w:rStyle w:val="VerbatimChar"/>
        </w:rPr>
        <w:t xml:space="preserve"> 3:     V ← SampleMonotonic(Dₓ, 20)               // 20 ordered values</w:t>
      </w:r>
      <w:r>
        <w:br/>
      </w:r>
      <w:r>
        <w:rPr>
          <w:rStyle w:val="VerbatimChar"/>
        </w:rPr>
        <w:t xml:space="preserve"> 4:     prev_fee ← ⊥</w:t>
      </w:r>
      <w:r>
        <w:br/>
      </w:r>
      <w:r>
        <w:rPr>
          <w:rStyle w:val="VerbatimChar"/>
        </w:rPr>
        <w:t xml:space="preserve"> 5:     for each v ∈ sort(V) do</w:t>
      </w:r>
      <w:r>
        <w:br/>
      </w:r>
      <w:r>
        <w:rPr>
          <w:rStyle w:val="VerbatimChar"/>
        </w:rPr>
        <w:t xml:space="preserve"> 6:         curr_fee ← Evaluate(f, σ₋ₓ[x ↦ v])</w:t>
      </w:r>
      <w:r>
        <w:br/>
      </w:r>
      <w:r>
        <w:rPr>
          <w:rStyle w:val="VerbatimChar"/>
        </w:rPr>
        <w:t xml:space="preserve"> 7:         if prev_fee ≠ ⊥ then</w:t>
      </w:r>
      <w:r>
        <w:br/>
      </w:r>
      <w:r>
        <w:rPr>
          <w:rStyle w:val="VerbatimChar"/>
        </w:rPr>
        <w:t xml:space="preserve"> 8:             if Violates(prev_fee, curr_fee, d) then</w:t>
      </w:r>
      <w:r>
        <w:br/>
      </w:r>
      <w:r>
        <w:rPr>
          <w:rStyle w:val="VerbatimChar"/>
        </w:rPr>
        <w:t xml:space="preserve"> 9:                 violations.append((σ₋ₓ, prev_v, prev_fee, v, curr_fee))</w:t>
      </w:r>
      <w:r>
        <w:br/>
      </w:r>
      <w:r>
        <w:rPr>
          <w:rStyle w:val="VerbatimChar"/>
        </w:rPr>
        <w:t>10:         prev_fee ← curr_fee; prev_v ← v</w:t>
      </w:r>
      <w:r>
        <w:br/>
      </w:r>
      <w:r>
        <w:rPr>
          <w:rStyle w:val="VerbatimChar"/>
        </w:rPr>
        <w:t>11: return (violations = [], violations)</w:t>
      </w:r>
    </w:p>
    <w:p w14:paraId="6275A08A" w14:textId="77777777" w:rsidR="00CD4C2C" w:rsidRDefault="00000000">
      <w:pPr>
        <w:pStyle w:val="FirstParagraph"/>
      </w:pPr>
      <w:r>
        <w:t>where Violates(p, c, d) returns true if and only if: d = NonDecreasing and c &lt; p; d = NonIncreasing and c &gt; p; d = StrictlyIncreasing and c ≤ p; or d = StrictlyDecreasing and c ≥ p.</w:t>
      </w:r>
    </w:p>
    <w:p w14:paraId="559CB65B" w14:textId="77777777" w:rsidR="00CD4C2C" w:rsidRDefault="00000000">
      <w:pPr>
        <w:pStyle w:val="BodyText"/>
      </w:pPr>
      <w:r>
        <w:rPr>
          <w:b/>
          <w:bCs/>
        </w:rPr>
        <w:t>Remark (Currency Comparison).</w:t>
      </w:r>
      <w:r>
        <w:t xml:space="preserve"> Monotonicity verification compares fee values numerically. When f returns Amt[c], comparison uses the underlying numeric value; currency tags must match (guaranteed by type safety). Recent work on verification-preserving program transformations [26] demonstrates techniques for ensuring that program properties are maintained across transformations, providing theoretical foundations relevant to IPFLang’s verification approach.</w:t>
      </w:r>
    </w:p>
    <w:p w14:paraId="780CB44C" w14:textId="77777777" w:rsidR="00CD4C2C" w:rsidRDefault="00000000">
      <w:pPr>
        <w:pStyle w:val="BodyText"/>
      </w:pPr>
      <w:r>
        <w:rPr>
          <w:b/>
          <w:bCs/>
        </w:rPr>
        <w:t>Example:</w:t>
      </w:r>
    </w:p>
    <w:p w14:paraId="1A6DAF63" w14:textId="77777777" w:rsidR="00CD4C2C"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591306B3" w14:textId="77777777" w:rsidR="00CD4C2C" w:rsidRDefault="00000000">
      <w:pPr>
        <w:pStyle w:val="Heading2"/>
      </w:pPr>
      <w:bookmarkStart w:id="43" w:name="provenance-and-auditability"/>
      <w:bookmarkEnd w:id="29"/>
      <w:bookmarkEnd w:id="40"/>
      <w:bookmarkEnd w:id="42"/>
      <w:r>
        <w:lastRenderedPageBreak/>
        <w:t>5. Provenance and Auditability</w:t>
      </w:r>
    </w:p>
    <w:p w14:paraId="49F4EA73" w14:textId="77777777" w:rsidR="00CD4C2C" w:rsidRDefault="00000000">
      <w:pPr>
        <w:pStyle w:val="Heading3"/>
      </w:pPr>
      <w:bookmarkStart w:id="44" w:name="execution-tracing"/>
      <w:r>
        <w:t>5.1 Execution Tracing</w:t>
      </w:r>
    </w:p>
    <w:p w14:paraId="53D32D6B" w14:textId="77777777" w:rsidR="00CD4C2C"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6782546F" w14:textId="77777777" w:rsidR="00CD4C2C" w:rsidRDefault="00000000">
      <w:pPr>
        <w:pStyle w:val="BodyText"/>
      </w:pPr>
      <w:r>
        <w:t>This trace enables practitioners to verify calculations against official schedules and assists in dispute resolution.</w:t>
      </w:r>
    </w:p>
    <w:p w14:paraId="0DEE1C1D" w14:textId="77777777" w:rsidR="00CD4C2C" w:rsidRDefault="00000000">
      <w:pPr>
        <w:pStyle w:val="BodyText"/>
      </w:pPr>
      <w:r>
        <w:rPr>
          <w:b/>
          <w:bCs/>
        </w:rPr>
        <w:t>[INSERT FIGURE 6: figures/figure3_provenance_structure.mmd - Provenance Record Structure]</w:t>
      </w:r>
    </w:p>
    <w:p w14:paraId="02B94CB2" w14:textId="77777777" w:rsidR="00CD4C2C" w:rsidRDefault="00000000">
      <w:pPr>
        <w:pStyle w:val="Heading3"/>
      </w:pPr>
      <w:bookmarkStart w:id="45" w:name="counterfactual-analysis"/>
      <w:bookmarkEnd w:id="44"/>
      <w:r>
        <w:t>5.2 Counterfactual Analysis</w:t>
      </w:r>
    </w:p>
    <w:p w14:paraId="19BFF912" w14:textId="77777777" w:rsidR="00CD4C2C" w:rsidRDefault="00000000">
      <w:pPr>
        <w:pStyle w:val="FirstParagraph"/>
      </w:pPr>
      <w:r>
        <w:t>The counterfactual engine answers “what-if” questions: how would the total fee change if a specific input were different? For each input, the system computes alternative scenarios:</w:t>
      </w:r>
    </w:p>
    <w:p w14:paraId="74C2E80D" w14:textId="77777777" w:rsidR="00CD4C2C" w:rsidRDefault="00000000">
      <w:pPr>
        <w:pStyle w:val="SourceCode"/>
      </w:pPr>
      <w:r>
        <w:rPr>
          <w:rStyle w:val="VerbatimChar"/>
        </w:rPr>
        <w:t>$ ipflang run filing.ipf --inputs params.json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t xml:space="preserve">    FilingFee: 1820 -&gt; 910 (difference: -910)</w:t>
      </w:r>
      <w:r>
        <w:br/>
      </w:r>
      <w:r>
        <w:rPr>
          <w:rStyle w:val="VerbatimChar"/>
        </w:rPr>
        <w:t xml:space="preserve">    Total: 2540 -&gt; 1630 (difference: -910)</w:t>
      </w:r>
    </w:p>
    <w:p w14:paraId="744D3A9F" w14:textId="77777777" w:rsidR="00CD4C2C" w:rsidRDefault="00000000">
      <w:pPr>
        <w:pStyle w:val="FirstParagraph"/>
      </w:pPr>
      <w:r>
        <w:t>This capability supports budget planning, client advisory, and regulatory impact assessment.</w:t>
      </w:r>
    </w:p>
    <w:p w14:paraId="09B50258" w14:textId="77777777" w:rsidR="00CD4C2C" w:rsidRDefault="00000000">
      <w:pPr>
        <w:pStyle w:val="Heading2"/>
      </w:pPr>
      <w:bookmarkStart w:id="46" w:name="reference-implementation"/>
      <w:bookmarkEnd w:id="43"/>
      <w:bookmarkEnd w:id="45"/>
      <w:r>
        <w:t>6. Reference Implementation</w:t>
      </w:r>
    </w:p>
    <w:p w14:paraId="0027932F" w14:textId="77777777" w:rsidR="00CD4C2C" w:rsidRDefault="00000000">
      <w:pPr>
        <w:pStyle w:val="Heading3"/>
      </w:pPr>
      <w:bookmarkStart w:id="47" w:name="architecture-overview"/>
      <w:r>
        <w:t>6.1 Architecture Overview</w:t>
      </w:r>
    </w:p>
    <w:p w14:paraId="094621CF" w14:textId="77777777" w:rsidR="00CD4C2C" w:rsidRDefault="00000000">
      <w:pPr>
        <w:pStyle w:val="FirstParagraph"/>
      </w:pPr>
      <w:r>
        <w:rPr>
          <w:b/>
          <w:bCs/>
        </w:rPr>
        <w:t>[INSERT FIGURE 7: figures/figure4_architecture.mmd - IPFLang Engine Architecture]</w:t>
      </w:r>
    </w:p>
    <w:p w14:paraId="628BAA5C" w14:textId="77777777" w:rsidR="00CD4C2C" w:rsidRDefault="00000000">
      <w:pPr>
        <w:pStyle w:val="BodyText"/>
      </w:pPr>
      <w:r>
        <w:t>The IPFLang reference implementation comprises approximately 15,000 lines of C# targeting .NET 10.0, organized into modular subsystems:</w:t>
      </w:r>
    </w:p>
    <w:p w14:paraId="2313816D" w14:textId="77777777" w:rsidR="00CD4C2C" w:rsidRDefault="00000000">
      <w:pPr>
        <w:pStyle w:val="BodyText"/>
      </w:pPr>
      <w:r>
        <w:rPr>
          <w:b/>
          <w:bCs/>
        </w:rPr>
        <w:t>Parser Module:</w:t>
      </w:r>
      <w:r>
        <w:t xml:space="preserve"> Lexical analysis, recursive descent parsing [17], and AST construction with comprehensive error reporting including line numbers and expected tokens.</w:t>
      </w:r>
    </w:p>
    <w:p w14:paraId="3E590060" w14:textId="77777777" w:rsidR="00CD4C2C" w:rsidRDefault="00000000">
      <w:pPr>
        <w:pStyle w:val="BodyText"/>
      </w:pPr>
      <w:r>
        <w:rPr>
          <w:b/>
          <w:bCs/>
        </w:rPr>
        <w:t>Semantic Checker:</w:t>
      </w:r>
      <w:r>
        <w:t xml:space="preserve"> Type validation ensuring identifier resolution, type compatibility, constraint validation, and circular dependency detection in LET statements.</w:t>
      </w:r>
    </w:p>
    <w:p w14:paraId="77702B2E" w14:textId="77777777" w:rsidR="00CD4C2C" w:rsidRDefault="00000000">
      <w:pPr>
        <w:pStyle w:val="BodyText"/>
      </w:pPr>
      <w:r>
        <w:rPr>
          <w:b/>
          <w:bCs/>
        </w:rPr>
        <w:t>Type System:</w:t>
      </w:r>
      <w:r>
        <w:t xml:space="preserve"> Currency-aware type checking with 161 ISO 4217 currencies, polymorphic type support, and detailed type error reporting.</w:t>
      </w:r>
    </w:p>
    <w:p w14:paraId="2535686B" w14:textId="77777777" w:rsidR="00CD4C2C" w:rsidRDefault="00000000">
      <w:pPr>
        <w:pStyle w:val="BodyText"/>
      </w:pPr>
      <w:r>
        <w:rPr>
          <w:b/>
          <w:bCs/>
        </w:rPr>
        <w:t>Evaluator:</w:t>
      </w:r>
      <w:r>
        <w:t xml:space="preserve"> Depth-first AST traversal with environment binding, supporting expression memoization, short-circuit boolean evaluation, and constant folding.</w:t>
      </w:r>
    </w:p>
    <w:p w14:paraId="0CF38925" w14:textId="77777777" w:rsidR="00CD4C2C" w:rsidRDefault="00000000">
      <w:pPr>
        <w:pStyle w:val="BodyText"/>
      </w:pPr>
      <w:r>
        <w:rPr>
          <w:b/>
          <w:bCs/>
        </w:rPr>
        <w:lastRenderedPageBreak/>
        <w:t>Analysis Module:</w:t>
      </w:r>
      <w:r>
        <w:t xml:space="preserve"> Completeness checker with exhaustive and sampling modes, monotonicity checker with four direction types, domain analyzer, and condition extractor.</w:t>
      </w:r>
    </w:p>
    <w:p w14:paraId="75E113B9" w14:textId="77777777" w:rsidR="00CD4C2C" w:rsidRDefault="00000000">
      <w:pPr>
        <w:pStyle w:val="BodyText"/>
      </w:pPr>
      <w:r>
        <w:rPr>
          <w:b/>
          <w:bCs/>
        </w:rPr>
        <w:t>Provenance Module:</w:t>
      </w:r>
      <w:r>
        <w:t xml:space="preserve"> Audit trail recording, counterfactual engine for what-if analysis, and provenance export formatting.</w:t>
      </w:r>
    </w:p>
    <w:p w14:paraId="56BEA4C1" w14:textId="77777777" w:rsidR="00CD4C2C" w:rsidRDefault="00000000">
      <w:pPr>
        <w:pStyle w:val="BodyText"/>
      </w:pPr>
      <w:r>
        <w:rPr>
          <w:b/>
          <w:bCs/>
        </w:rPr>
        <w:t>Versioning Module:</w:t>
      </w:r>
      <w:r>
        <w:t xml:space="preserve"> Version metadata management, diff engine for version comparison, impact analyzer, and temporal query support.</w:t>
      </w:r>
    </w:p>
    <w:p w14:paraId="6AC36663" w14:textId="77777777" w:rsidR="00CD4C2C" w:rsidRDefault="00000000">
      <w:pPr>
        <w:pStyle w:val="BodyText"/>
      </w:pPr>
      <w:r>
        <w:rPr>
          <w:b/>
          <w:bCs/>
        </w:rPr>
        <w:t>Composition Module:</w:t>
      </w:r>
      <w:r>
        <w:t xml:space="preserve"> Jurisdiction inheritance with input/fee merging, override detection, and inheritance analysis reporting.</w:t>
      </w:r>
    </w:p>
    <w:p w14:paraId="653BE1D8" w14:textId="77777777" w:rsidR="00CD4C2C" w:rsidRDefault="00000000">
      <w:pPr>
        <w:pStyle w:val="Heading3"/>
      </w:pPr>
      <w:bookmarkStart w:id="48" w:name="command-line-interface"/>
      <w:bookmarkEnd w:id="47"/>
      <w:r>
        <w:t>6.2 Command-Line Interface</w:t>
      </w:r>
    </w:p>
    <w:p w14:paraId="4553FB4D" w14:textId="77777777" w:rsidR="00CD4C2C" w:rsidRDefault="00000000">
      <w:pPr>
        <w:pStyle w:val="FirstParagraph"/>
      </w:pPr>
      <w:r>
        <w:t>The CLI provides five commands:</w:t>
      </w:r>
    </w:p>
    <w:p w14:paraId="41DC9F06" w14:textId="77777777" w:rsidR="00CD4C2C" w:rsidRDefault="00000000">
      <w:pPr>
        <w:pStyle w:val="BodyText"/>
      </w:pPr>
      <w:r>
        <w:rPr>
          <w:b/>
          <w:bCs/>
        </w:rPr>
        <w:t>parse</w:t>
      </w:r>
      <w:r>
        <w:t xml:space="preserve"> - Validate syntax and types:</w:t>
      </w:r>
    </w:p>
    <w:p w14:paraId="47CD9227" w14:textId="77777777" w:rsidR="00CD4C2C" w:rsidRDefault="00000000">
      <w:pPr>
        <w:pStyle w:val="SourceCode"/>
      </w:pPr>
      <w:r>
        <w:rPr>
          <w:rStyle w:val="ExtensionTok"/>
        </w:rPr>
        <w:t>ipflang</w:t>
      </w:r>
      <w:r>
        <w:rPr>
          <w:rStyle w:val="NormalTok"/>
        </w:rPr>
        <w:t xml:space="preserve"> parse filing.ipf</w:t>
      </w:r>
    </w:p>
    <w:p w14:paraId="346CCE5E" w14:textId="77777777" w:rsidR="00CD4C2C" w:rsidRDefault="00000000">
      <w:pPr>
        <w:pStyle w:val="FirstParagraph"/>
      </w:pPr>
      <w:r>
        <w:rPr>
          <w:b/>
          <w:bCs/>
        </w:rPr>
        <w:t>run</w:t>
      </w:r>
      <w:r>
        <w:t xml:space="preserve"> - Execute fee calculation:</w:t>
      </w:r>
    </w:p>
    <w:p w14:paraId="4D35AAB7" w14:textId="77777777" w:rsidR="00CD4C2C"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params.json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1EE2FBA9" w14:textId="77777777" w:rsidR="00CD4C2C" w:rsidRDefault="00000000">
      <w:pPr>
        <w:pStyle w:val="FirstParagraph"/>
      </w:pPr>
      <w:r>
        <w:rPr>
          <w:b/>
          <w:bCs/>
        </w:rPr>
        <w:t>verify</w:t>
      </w:r>
      <w:r>
        <w:t xml:space="preserve"> - Run verification directives:</w:t>
      </w:r>
    </w:p>
    <w:p w14:paraId="04DD3952" w14:textId="77777777" w:rsidR="00CD4C2C" w:rsidRDefault="00000000">
      <w:pPr>
        <w:pStyle w:val="SourceCode"/>
      </w:pPr>
      <w:r>
        <w:rPr>
          <w:rStyle w:val="ExtensionTok"/>
        </w:rPr>
        <w:t>ipflang</w:t>
      </w:r>
      <w:r>
        <w:rPr>
          <w:rStyle w:val="NormalTok"/>
        </w:rPr>
        <w:t xml:space="preserve"> verify filing.ipf</w:t>
      </w:r>
    </w:p>
    <w:p w14:paraId="35ECB7BC" w14:textId="77777777" w:rsidR="00CD4C2C" w:rsidRDefault="00000000">
      <w:pPr>
        <w:pStyle w:val="FirstParagraph"/>
      </w:pPr>
      <w:r>
        <w:rPr>
          <w:b/>
          <w:bCs/>
        </w:rPr>
        <w:t>info</w:t>
      </w:r>
      <w:r>
        <w:t xml:space="preserve"> - Display script metadata:</w:t>
      </w:r>
    </w:p>
    <w:p w14:paraId="555182EF" w14:textId="77777777" w:rsidR="00CD4C2C" w:rsidRDefault="00000000">
      <w:pPr>
        <w:pStyle w:val="SourceCode"/>
      </w:pPr>
      <w:r>
        <w:rPr>
          <w:rStyle w:val="ExtensionTok"/>
        </w:rPr>
        <w:t>ipflang</w:t>
      </w:r>
      <w:r>
        <w:rPr>
          <w:rStyle w:val="NormalTok"/>
        </w:rPr>
        <w:t xml:space="preserve"> info filing.ipf</w:t>
      </w:r>
    </w:p>
    <w:p w14:paraId="3318EA49" w14:textId="77777777" w:rsidR="00CD4C2C" w:rsidRDefault="00000000">
      <w:pPr>
        <w:pStyle w:val="FirstParagraph"/>
      </w:pPr>
      <w:r>
        <w:rPr>
          <w:b/>
          <w:bCs/>
        </w:rPr>
        <w:t>compose</w:t>
      </w:r>
      <w:r>
        <w:t xml:space="preserve"> - Combine jurisdictions:</w:t>
      </w:r>
    </w:p>
    <w:p w14:paraId="5DE0B5BB" w14:textId="77777777" w:rsidR="00CD4C2C" w:rsidRDefault="00000000">
      <w:pPr>
        <w:pStyle w:val="SourceCode"/>
      </w:pPr>
      <w:r>
        <w:rPr>
          <w:rStyle w:val="ExtensionTok"/>
        </w:rPr>
        <w:t>ipflang</w:t>
      </w:r>
      <w:r>
        <w:rPr>
          <w:rStyle w:val="NormalTok"/>
        </w:rPr>
        <w:t xml:space="preserve"> compose base.ipf national.ipf </w:t>
      </w:r>
      <w:r>
        <w:rPr>
          <w:rStyle w:val="PreprocessorTok"/>
        </w:rPr>
        <w:t>[--</w:t>
      </w:r>
      <w:r>
        <w:rPr>
          <w:rStyle w:val="SpecialStringTok"/>
        </w:rPr>
        <w:t>analysis</w:t>
      </w:r>
      <w:r>
        <w:rPr>
          <w:rStyle w:val="PreprocessorTok"/>
        </w:rPr>
        <w:t>]</w:t>
      </w:r>
    </w:p>
    <w:p w14:paraId="10A89E27" w14:textId="77777777" w:rsidR="00CD4C2C" w:rsidRDefault="00000000">
      <w:pPr>
        <w:pStyle w:val="Heading3"/>
      </w:pPr>
      <w:bookmarkStart w:id="49" w:name="inputoutput-formats"/>
      <w:bookmarkEnd w:id="48"/>
      <w:r>
        <w:t>6.3 Input/Output Formats</w:t>
      </w:r>
    </w:p>
    <w:p w14:paraId="2FC80221" w14:textId="77777777" w:rsidR="00CD4C2C" w:rsidRDefault="00000000">
      <w:pPr>
        <w:pStyle w:val="FirstParagraph"/>
      </w:pPr>
      <w:r>
        <w:rPr>
          <w:b/>
          <w:bCs/>
        </w:rPr>
        <w:t>Input (JSON):</w:t>
      </w:r>
    </w:p>
    <w:p w14:paraId="27067C2A" w14:textId="77777777" w:rsidR="00CD4C2C" w:rsidRDefault="00000000">
      <w:pPr>
        <w:pStyle w:val="SourceCode"/>
      </w:pPr>
      <w:r>
        <w:rPr>
          <w:rStyle w:val="FunctionTok"/>
        </w:rPr>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3ED6185F" w14:textId="77777777" w:rsidR="00CD4C2C" w:rsidRDefault="00000000">
      <w:pPr>
        <w:pStyle w:val="FirstParagraph"/>
      </w:pPr>
      <w:r>
        <w:rPr>
          <w:b/>
          <w:bCs/>
        </w:rPr>
        <w:t>Output:</w:t>
      </w:r>
    </w:p>
    <w:p w14:paraId="3671C86F" w14:textId="77777777" w:rsidR="00CD4C2C"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lastRenderedPageBreak/>
        <w:t>Search Fee:        EUR 1,460.00</w:t>
      </w:r>
      <w:r>
        <w:br/>
      </w:r>
      <w:r>
        <w:rPr>
          <w:rStyle w:val="VerbatimChar"/>
        </w:rPr>
        <w:t>----------------------------</w:t>
      </w:r>
      <w:r>
        <w:br/>
      </w:r>
      <w:r>
        <w:rPr>
          <w:rStyle w:val="VerbatimChar"/>
        </w:rPr>
        <w:t>Total:             EUR 4,905.00</w:t>
      </w:r>
    </w:p>
    <w:p w14:paraId="46230E95" w14:textId="77777777" w:rsidR="00CD4C2C" w:rsidRDefault="00000000">
      <w:pPr>
        <w:pStyle w:val="Heading3"/>
      </w:pPr>
      <w:bookmarkStart w:id="50" w:name="source-code-availability"/>
      <w:bookmarkEnd w:id="49"/>
      <w:r>
        <w:t>6.4 Source Code Availability</w:t>
      </w:r>
    </w:p>
    <w:p w14:paraId="49F3562D" w14:textId="77777777" w:rsidR="00CD4C2C"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1,900 lines of DSL code) demonstrating language features, 118 production jurisdiction files in the </w:t>
      </w:r>
      <w:r>
        <w:rPr>
          <w:rStyle w:val="VerbatimChar"/>
        </w:rPr>
        <w:t>jurisdictions/</w:t>
      </w:r>
      <w:r>
        <w:t xml:space="preserve"> directory covering PCT national/regional phase entry fees (approximately 11,800 lines of DSL code), and documentation with syntax reference.</w:t>
      </w:r>
    </w:p>
    <w:p w14:paraId="39E18606" w14:textId="77777777" w:rsidR="00CD4C2C" w:rsidRDefault="00000000">
      <w:pPr>
        <w:pStyle w:val="Heading2"/>
      </w:pPr>
      <w:bookmarkStart w:id="51" w:name="evaluation"/>
      <w:bookmarkEnd w:id="46"/>
      <w:bookmarkEnd w:id="50"/>
      <w:r>
        <w:t>7. Evaluation</w:t>
      </w:r>
    </w:p>
    <w:p w14:paraId="1BDF70B8" w14:textId="77777777" w:rsidR="00CD4C2C" w:rsidRDefault="00000000">
      <w:pPr>
        <w:pStyle w:val="Heading3"/>
      </w:pPr>
      <w:bookmarkStart w:id="52" w:name="representative-examples"/>
      <w:r>
        <w:t>7.1 Representative Examples</w:t>
      </w:r>
    </w:p>
    <w:p w14:paraId="65F402D5" w14:textId="77777777" w:rsidR="00CD4C2C" w:rsidRDefault="00000000">
      <w:pPr>
        <w:pStyle w:val="FirstParagraph"/>
      </w:pPr>
      <w:r>
        <w:rPr>
          <w:b/>
          <w:bCs/>
        </w:rPr>
        <w:t>[INSERT FIGURE 8: figures/figure8_jurisdiction_coverage.mmd - PCT National/Regional Phase Jurisdiction Coverage]</w:t>
      </w:r>
    </w:p>
    <w:p w14:paraId="5D1D83DD" w14:textId="77777777" w:rsidR="00CD4C2C"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w:t>
      </w:r>
      <w:r>
        <w:rPr>
          <w:b/>
          <w:bCs/>
        </w:rPr>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505890FF" w14:textId="77777777" w:rsidR="00CD4C2C"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70BF6D10" w14:textId="77777777" w:rsidR="00CD4C2C"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7AC7E443" w14:textId="77777777" w:rsidR="00CD4C2C" w:rsidRDefault="00000000">
      <w:pPr>
        <w:pStyle w:val="BodyText"/>
      </w:pPr>
      <w:r>
        <w:t>Error detection examples cover mixed currency arithmetic (EUR + USD), incomplete fee coverage, non-monotonic fee behavior, invalid currency codes, and undefined variable references.</w:t>
      </w:r>
    </w:p>
    <w:p w14:paraId="618CDC71" w14:textId="77777777" w:rsidR="00CD4C2C" w:rsidRDefault="00000000">
      <w:pPr>
        <w:pStyle w:val="BodyText"/>
      </w:pPr>
      <w:r>
        <w:t>The 118 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w:t>
      </w:r>
      <w:r>
        <w:rPr>
          <w:rStyle w:val="VerbatimChar"/>
        </w:rPr>
        <w:t>PCT-XX.ipf</w:t>
      </w:r>
      <w:r>
        <w:t xml:space="preserve"> where XX is the ISO country code) that either stand alone or inherit from and extend their regional base.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hierarchical organization eliminates duplication across jurisdictions sharing common regional structures while allowing country-specific customizations.</w:t>
      </w:r>
    </w:p>
    <w:p w14:paraId="73F1CFDC" w14:textId="77777777" w:rsidR="00CD4C2C" w:rsidRDefault="00000000">
      <w:pPr>
        <w:pStyle w:val="Heading3"/>
      </w:pPr>
      <w:bookmarkStart w:id="53" w:name="jurisdiction-file-validation"/>
      <w:bookmarkEnd w:id="52"/>
      <w:r>
        <w:lastRenderedPageBreak/>
        <w:t>7.2 Jurisdiction File Validation</w:t>
      </w:r>
    </w:p>
    <w:p w14:paraId="1EC031F2" w14:textId="77777777" w:rsidR="00CD4C2C" w:rsidRDefault="00000000">
      <w:pPr>
        <w:pStyle w:val="FirstParagraph"/>
      </w:pPr>
      <w:r>
        <w:t xml:space="preserve">The 118 production jurisdiction files in the </w:t>
      </w:r>
      <w:r>
        <w:rPr>
          <w:rStyle w:val="VerbatimChar"/>
        </w:rPr>
        <w:t>jurisdictions/</w:t>
      </w:r>
      <w:r>
        <w:t xml:space="preserve"> directory were validated by a domain expert (Robert Fichter, Ph.D., Jet IP) against official PCT national/regional phase entry fee schedules from patent offices worldwide. The validation process verified dollar-accurate calculations across all supported jurisdictions covering the period 2023-2024.</w:t>
      </w:r>
    </w:p>
    <w:p w14:paraId="4E48D0AD" w14:textId="77777777" w:rsidR="00CD4C2C"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5A7A6CCA" w14:textId="77777777" w:rsidR="00CD4C2C" w:rsidRDefault="00000000">
      <w:pPr>
        <w:pStyle w:val="BodyText"/>
      </w:pPr>
      <w:r>
        <w:t>Individual jurisdiction files (</w:t>
      </w:r>
      <w:r>
        <w:rPr>
          <w:rStyle w:val="VerbatimChar"/>
        </w:rPr>
        <w:t>PCT-XX.ipf</w:t>
      </w:r>
      <w:r>
        <w:t xml:space="preserve"> where XX is the ISO country code) either stand alone or inherit from and extend their regional base using the COMPOSE directive.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hierarchical organization eliminates duplication while allowing country-specific customizations.</w:t>
      </w:r>
    </w:p>
    <w:p w14:paraId="25AC6976" w14:textId="77777777" w:rsidR="00CD4C2C" w:rsidRDefault="00000000">
      <w:pPr>
        <w:pStyle w:val="BodyText"/>
      </w:pPr>
      <w:r>
        <w:t xml:space="preserve">The test suite includes </w:t>
      </w:r>
      <w:r>
        <w:rPr>
          <w:rStyle w:val="VerbatimChar"/>
        </w:rPr>
        <w:t>RealWorldValidationTests.cs</w:t>
      </w:r>
      <w:r>
        <w:t xml:space="preserve"> with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25692CE" w14:textId="77777777" w:rsidR="00CD4C2C" w:rsidRDefault="00000000">
      <w:pPr>
        <w:pStyle w:val="Heading3"/>
      </w:pPr>
      <w:bookmarkStart w:id="54" w:name="test-suite"/>
      <w:bookmarkEnd w:id="53"/>
      <w:r>
        <w:t>7.3 Test Suite</w:t>
      </w:r>
    </w:p>
    <w:p w14:paraId="2E4AD8DB" w14:textId="77777777" w:rsidR="00CD4C2C" w:rsidRDefault="00000000">
      <w:pPr>
        <w:pStyle w:val="FirstParagraph"/>
      </w:pPr>
      <w:r>
        <w:t>The test suite comprises 260 test methods across 18 test categories covering:</w:t>
      </w:r>
    </w:p>
    <w:tbl>
      <w:tblPr>
        <w:tblStyle w:val="Table"/>
        <w:tblW w:w="0" w:type="auto"/>
        <w:tblLook w:val="0020" w:firstRow="1" w:lastRow="0" w:firstColumn="0" w:lastColumn="0" w:noHBand="0" w:noVBand="0"/>
      </w:tblPr>
      <w:tblGrid>
        <w:gridCol w:w="2943"/>
        <w:gridCol w:w="769"/>
        <w:gridCol w:w="3339"/>
      </w:tblGrid>
      <w:tr w:rsidR="00CD4C2C" w14:paraId="0DC9DE2A" w14:textId="77777777" w:rsidTr="00CD4C2C">
        <w:trPr>
          <w:cnfStyle w:val="100000000000" w:firstRow="1" w:lastRow="0" w:firstColumn="0" w:lastColumn="0" w:oddVBand="0" w:evenVBand="0" w:oddHBand="0" w:evenHBand="0" w:firstRowFirstColumn="0" w:firstRowLastColumn="0" w:lastRowFirstColumn="0" w:lastRowLastColumn="0"/>
          <w:tblHeader/>
        </w:trPr>
        <w:tc>
          <w:tcPr>
            <w:tcW w:w="0" w:type="auto"/>
          </w:tcPr>
          <w:p w14:paraId="086E123E" w14:textId="77777777" w:rsidR="00CD4C2C" w:rsidRDefault="00000000">
            <w:pPr>
              <w:pStyle w:val="Compact"/>
            </w:pPr>
            <w:r>
              <w:t>Category</w:t>
            </w:r>
          </w:p>
        </w:tc>
        <w:tc>
          <w:tcPr>
            <w:tcW w:w="0" w:type="auto"/>
          </w:tcPr>
          <w:p w14:paraId="01BE8F59" w14:textId="77777777" w:rsidR="00CD4C2C" w:rsidRDefault="00000000">
            <w:pPr>
              <w:pStyle w:val="Compact"/>
            </w:pPr>
            <w:r>
              <w:t>Tests</w:t>
            </w:r>
          </w:p>
        </w:tc>
        <w:tc>
          <w:tcPr>
            <w:tcW w:w="0" w:type="auto"/>
          </w:tcPr>
          <w:p w14:paraId="068DED00" w14:textId="77777777" w:rsidR="00CD4C2C" w:rsidRDefault="00000000">
            <w:pPr>
              <w:pStyle w:val="Compact"/>
            </w:pPr>
            <w:r>
              <w:t>Coverage</w:t>
            </w:r>
          </w:p>
        </w:tc>
      </w:tr>
      <w:tr w:rsidR="00CD4C2C" w14:paraId="1DC350CF" w14:textId="77777777">
        <w:tc>
          <w:tcPr>
            <w:tcW w:w="0" w:type="auto"/>
          </w:tcPr>
          <w:p w14:paraId="145CAE78" w14:textId="77777777" w:rsidR="00CD4C2C" w:rsidRDefault="00000000">
            <w:pPr>
              <w:pStyle w:val="Compact"/>
            </w:pPr>
            <w:r>
              <w:t>Calculator operations</w:t>
            </w:r>
          </w:p>
        </w:tc>
        <w:tc>
          <w:tcPr>
            <w:tcW w:w="0" w:type="auto"/>
          </w:tcPr>
          <w:p w14:paraId="429DE52F" w14:textId="77777777" w:rsidR="00CD4C2C" w:rsidRDefault="00000000">
            <w:pPr>
              <w:pStyle w:val="Compact"/>
            </w:pPr>
            <w:r>
              <w:t>15</w:t>
            </w:r>
          </w:p>
        </w:tc>
        <w:tc>
          <w:tcPr>
            <w:tcW w:w="0" w:type="auto"/>
          </w:tcPr>
          <w:p w14:paraId="3E6E0504" w14:textId="77777777" w:rsidR="00CD4C2C" w:rsidRDefault="00000000">
            <w:pPr>
              <w:pStyle w:val="Compact"/>
            </w:pPr>
            <w:r>
              <w:t>Basic fee computation</w:t>
            </w:r>
          </w:p>
        </w:tc>
      </w:tr>
      <w:tr w:rsidR="00CD4C2C" w14:paraId="0705BB8E" w14:textId="77777777">
        <w:tc>
          <w:tcPr>
            <w:tcW w:w="0" w:type="auto"/>
          </w:tcPr>
          <w:p w14:paraId="68FFCD51" w14:textId="77777777" w:rsidR="00CD4C2C" w:rsidRDefault="00000000">
            <w:pPr>
              <w:pStyle w:val="Compact"/>
            </w:pPr>
            <w:r>
              <w:t>Currency type safety</w:t>
            </w:r>
          </w:p>
        </w:tc>
        <w:tc>
          <w:tcPr>
            <w:tcW w:w="0" w:type="auto"/>
          </w:tcPr>
          <w:p w14:paraId="38749E81" w14:textId="77777777" w:rsidR="00CD4C2C" w:rsidRDefault="00000000">
            <w:pPr>
              <w:pStyle w:val="Compact"/>
            </w:pPr>
            <w:r>
              <w:t>31</w:t>
            </w:r>
          </w:p>
        </w:tc>
        <w:tc>
          <w:tcPr>
            <w:tcW w:w="0" w:type="auto"/>
          </w:tcPr>
          <w:p w14:paraId="6CF17AED" w14:textId="77777777" w:rsidR="00CD4C2C" w:rsidRDefault="00000000">
            <w:pPr>
              <w:pStyle w:val="Compact"/>
            </w:pPr>
            <w:r>
              <w:t>Type checking, 161 currencies</w:t>
            </w:r>
          </w:p>
        </w:tc>
      </w:tr>
      <w:tr w:rsidR="00CD4C2C" w14:paraId="25BD9F3D" w14:textId="77777777">
        <w:tc>
          <w:tcPr>
            <w:tcW w:w="0" w:type="auto"/>
          </w:tcPr>
          <w:p w14:paraId="01F8E7F8" w14:textId="77777777" w:rsidR="00CD4C2C" w:rsidRDefault="00000000">
            <w:pPr>
              <w:pStyle w:val="Compact"/>
            </w:pPr>
            <w:r>
              <w:t>Completeness verification</w:t>
            </w:r>
          </w:p>
        </w:tc>
        <w:tc>
          <w:tcPr>
            <w:tcW w:w="0" w:type="auto"/>
          </w:tcPr>
          <w:p w14:paraId="44E7BD1B" w14:textId="77777777" w:rsidR="00CD4C2C" w:rsidRDefault="00000000">
            <w:pPr>
              <w:pStyle w:val="Compact"/>
            </w:pPr>
            <w:r>
              <w:t>25</w:t>
            </w:r>
          </w:p>
        </w:tc>
        <w:tc>
          <w:tcPr>
            <w:tcW w:w="0" w:type="auto"/>
          </w:tcPr>
          <w:p w14:paraId="094E8E81" w14:textId="77777777" w:rsidR="00CD4C2C" w:rsidRDefault="00000000">
            <w:pPr>
              <w:pStyle w:val="Compact"/>
            </w:pPr>
            <w:r>
              <w:t>Gap detection, sampling</w:t>
            </w:r>
          </w:p>
        </w:tc>
      </w:tr>
      <w:tr w:rsidR="00CD4C2C" w14:paraId="28C48D1A" w14:textId="77777777">
        <w:tc>
          <w:tcPr>
            <w:tcW w:w="0" w:type="auto"/>
          </w:tcPr>
          <w:p w14:paraId="7692BFB9" w14:textId="77777777" w:rsidR="00CD4C2C" w:rsidRDefault="00000000">
            <w:pPr>
              <w:pStyle w:val="Compact"/>
            </w:pPr>
            <w:r>
              <w:t>Monotonicity verification</w:t>
            </w:r>
          </w:p>
        </w:tc>
        <w:tc>
          <w:tcPr>
            <w:tcW w:w="0" w:type="auto"/>
          </w:tcPr>
          <w:p w14:paraId="76D210DE" w14:textId="77777777" w:rsidR="00CD4C2C" w:rsidRDefault="00000000">
            <w:pPr>
              <w:pStyle w:val="Compact"/>
            </w:pPr>
            <w:r>
              <w:t>4</w:t>
            </w:r>
          </w:p>
        </w:tc>
        <w:tc>
          <w:tcPr>
            <w:tcW w:w="0" w:type="auto"/>
          </w:tcPr>
          <w:p w14:paraId="73DE0DCE" w14:textId="77777777" w:rsidR="00CD4C2C" w:rsidRDefault="00000000">
            <w:pPr>
              <w:pStyle w:val="Compact"/>
            </w:pPr>
            <w:r>
              <w:t>Direction enforcement</w:t>
            </w:r>
          </w:p>
        </w:tc>
      </w:tr>
      <w:tr w:rsidR="00CD4C2C" w14:paraId="33D1F131" w14:textId="77777777">
        <w:tc>
          <w:tcPr>
            <w:tcW w:w="0" w:type="auto"/>
          </w:tcPr>
          <w:p w14:paraId="1765DC44" w14:textId="77777777" w:rsidR="00CD4C2C" w:rsidRDefault="00000000">
            <w:pPr>
              <w:pStyle w:val="Compact"/>
            </w:pPr>
            <w:r>
              <w:t>Temporal operations</w:t>
            </w:r>
          </w:p>
        </w:tc>
        <w:tc>
          <w:tcPr>
            <w:tcW w:w="0" w:type="auto"/>
          </w:tcPr>
          <w:p w14:paraId="39BFCA8F" w14:textId="77777777" w:rsidR="00CD4C2C" w:rsidRDefault="00000000">
            <w:pPr>
              <w:pStyle w:val="Compact"/>
            </w:pPr>
            <w:r>
              <w:t>54</w:t>
            </w:r>
          </w:p>
        </w:tc>
        <w:tc>
          <w:tcPr>
            <w:tcW w:w="0" w:type="auto"/>
          </w:tcPr>
          <w:p w14:paraId="0DCAB016" w14:textId="77777777" w:rsidR="00CD4C2C" w:rsidRDefault="00000000">
            <w:pPr>
              <w:pStyle w:val="Compact"/>
            </w:pPr>
            <w:r>
              <w:t>Date calculations</w:t>
            </w:r>
          </w:p>
        </w:tc>
      </w:tr>
      <w:tr w:rsidR="00CD4C2C" w14:paraId="6985713A" w14:textId="77777777">
        <w:tc>
          <w:tcPr>
            <w:tcW w:w="0" w:type="auto"/>
          </w:tcPr>
          <w:p w14:paraId="181EBD4B" w14:textId="77777777" w:rsidR="00CD4C2C" w:rsidRDefault="00000000">
            <w:pPr>
              <w:pStyle w:val="Compact"/>
            </w:pPr>
            <w:r>
              <w:t>Provenance tracking</w:t>
            </w:r>
          </w:p>
        </w:tc>
        <w:tc>
          <w:tcPr>
            <w:tcW w:w="0" w:type="auto"/>
          </w:tcPr>
          <w:p w14:paraId="6E50AD93" w14:textId="77777777" w:rsidR="00CD4C2C" w:rsidRDefault="00000000">
            <w:pPr>
              <w:pStyle w:val="Compact"/>
            </w:pPr>
            <w:r>
              <w:t>20</w:t>
            </w:r>
          </w:p>
        </w:tc>
        <w:tc>
          <w:tcPr>
            <w:tcW w:w="0" w:type="auto"/>
          </w:tcPr>
          <w:p w14:paraId="281FDD9C" w14:textId="77777777" w:rsidR="00CD4C2C" w:rsidRDefault="00000000">
            <w:pPr>
              <w:pStyle w:val="Compact"/>
            </w:pPr>
            <w:r>
              <w:t>Audit trails</w:t>
            </w:r>
          </w:p>
        </w:tc>
      </w:tr>
      <w:tr w:rsidR="00CD4C2C" w14:paraId="26D11B9D" w14:textId="77777777">
        <w:tc>
          <w:tcPr>
            <w:tcW w:w="0" w:type="auto"/>
          </w:tcPr>
          <w:p w14:paraId="3F55A9D1" w14:textId="77777777" w:rsidR="00CD4C2C" w:rsidRDefault="00000000">
            <w:pPr>
              <w:pStyle w:val="Compact"/>
            </w:pPr>
            <w:r>
              <w:t>Jurisdiction composition</w:t>
            </w:r>
          </w:p>
        </w:tc>
        <w:tc>
          <w:tcPr>
            <w:tcW w:w="0" w:type="auto"/>
          </w:tcPr>
          <w:p w14:paraId="54609868" w14:textId="77777777" w:rsidR="00CD4C2C" w:rsidRDefault="00000000">
            <w:pPr>
              <w:pStyle w:val="Compact"/>
            </w:pPr>
            <w:r>
              <w:t>19</w:t>
            </w:r>
          </w:p>
        </w:tc>
        <w:tc>
          <w:tcPr>
            <w:tcW w:w="0" w:type="auto"/>
          </w:tcPr>
          <w:p w14:paraId="18C3B3B0" w14:textId="77777777" w:rsidR="00CD4C2C" w:rsidRDefault="00000000">
            <w:pPr>
              <w:pStyle w:val="Compact"/>
            </w:pPr>
            <w:r>
              <w:t>Inheritance, overrides</w:t>
            </w:r>
          </w:p>
        </w:tc>
      </w:tr>
      <w:tr w:rsidR="00CD4C2C" w14:paraId="4EF8FB24" w14:textId="77777777">
        <w:tc>
          <w:tcPr>
            <w:tcW w:w="0" w:type="auto"/>
          </w:tcPr>
          <w:p w14:paraId="3F1D241C" w14:textId="77777777" w:rsidR="00CD4C2C" w:rsidRDefault="00000000">
            <w:pPr>
              <w:pStyle w:val="Compact"/>
            </w:pPr>
            <w:r>
              <w:t>Versioning</w:t>
            </w:r>
          </w:p>
        </w:tc>
        <w:tc>
          <w:tcPr>
            <w:tcW w:w="0" w:type="auto"/>
          </w:tcPr>
          <w:p w14:paraId="5BFF2A5A" w14:textId="77777777" w:rsidR="00CD4C2C" w:rsidRDefault="00000000">
            <w:pPr>
              <w:pStyle w:val="Compact"/>
            </w:pPr>
            <w:r>
              <w:t>21</w:t>
            </w:r>
          </w:p>
        </w:tc>
        <w:tc>
          <w:tcPr>
            <w:tcW w:w="0" w:type="auto"/>
          </w:tcPr>
          <w:p w14:paraId="670892EA" w14:textId="77777777" w:rsidR="00CD4C2C" w:rsidRDefault="00000000">
            <w:pPr>
              <w:pStyle w:val="Compact"/>
            </w:pPr>
            <w:r>
              <w:t>Diff, impact analysis</w:t>
            </w:r>
          </w:p>
        </w:tc>
      </w:tr>
      <w:tr w:rsidR="00CD4C2C" w14:paraId="507E2DDA" w14:textId="77777777">
        <w:tc>
          <w:tcPr>
            <w:tcW w:w="0" w:type="auto"/>
          </w:tcPr>
          <w:p w14:paraId="40C76FA4" w14:textId="77777777" w:rsidR="00CD4C2C" w:rsidRDefault="00000000">
            <w:pPr>
              <w:pStyle w:val="Compact"/>
            </w:pPr>
            <w:r>
              <w:t>Other</w:t>
            </w:r>
          </w:p>
        </w:tc>
        <w:tc>
          <w:tcPr>
            <w:tcW w:w="0" w:type="auto"/>
          </w:tcPr>
          <w:p w14:paraId="3E12BF12" w14:textId="77777777" w:rsidR="00CD4C2C" w:rsidRDefault="00000000">
            <w:pPr>
              <w:pStyle w:val="Compact"/>
            </w:pPr>
            <w:r>
              <w:t>77</w:t>
            </w:r>
          </w:p>
        </w:tc>
        <w:tc>
          <w:tcPr>
            <w:tcW w:w="0" w:type="auto"/>
          </w:tcPr>
          <w:p w14:paraId="7038DCDE" w14:textId="77777777" w:rsidR="00CD4C2C" w:rsidRDefault="00000000">
            <w:pPr>
              <w:pStyle w:val="Compact"/>
            </w:pPr>
            <w:r>
              <w:t>Semantics, parsing, logic</w:t>
            </w:r>
          </w:p>
        </w:tc>
      </w:tr>
    </w:tbl>
    <w:p w14:paraId="13B1F21E" w14:textId="77777777" w:rsidR="00CD4C2C" w:rsidRDefault="00000000">
      <w:pPr>
        <w:pStyle w:val="BodyText"/>
      </w:pPr>
      <w:r>
        <w:t>All 260 tests pass with 100% success rate. Test execution completes in sub-millisecond time per test, confirming that DSL interpretation imposes negligible overhead.</w:t>
      </w:r>
    </w:p>
    <w:p w14:paraId="2CA22E49" w14:textId="77777777" w:rsidR="00CD4C2C" w:rsidRDefault="00000000">
      <w:pPr>
        <w:pStyle w:val="Heading3"/>
      </w:pPr>
      <w:bookmarkStart w:id="55" w:name="threats-to-validity"/>
      <w:bookmarkEnd w:id="54"/>
      <w:r>
        <w:lastRenderedPageBreak/>
        <w:t>7.4 Threats to Validity</w:t>
      </w:r>
    </w:p>
    <w:p w14:paraId="64D661A3" w14:textId="77777777" w:rsidR="00CD4C2C" w:rsidRDefault="00000000">
      <w:pPr>
        <w:pStyle w:val="FirstParagraph"/>
      </w:pPr>
      <w:r>
        <w:rPr>
          <w:b/>
          <w:bCs/>
        </w:rPr>
        <w:t>Internal Validity.</w:t>
      </w:r>
      <w:r>
        <w:t xml:space="preserve"> The test suite validates correctness of the implementation but may not cover all edge cases. The 266 tests focus on feature coverage rather than exhaustive input space exploration. The validation against official fee schedules covers representative scenarios but not all possible input combinations.</w:t>
      </w:r>
    </w:p>
    <w:p w14:paraId="0F6C901F" w14:textId="77777777" w:rsidR="00CD4C2C" w:rsidRDefault="00000000">
      <w:pPr>
        <w:pStyle w:val="BodyText"/>
      </w:pPr>
      <w:r>
        <w:rPr>
          <w:b/>
          <w:bCs/>
        </w:rPr>
        <w:t>External Validity.</w:t>
      </w:r>
      <w:r>
        <w:t xml:space="preserve"> The 118 production jurisdiction files in </w:t>
      </w:r>
      <w:r>
        <w:rPr>
          <w:rStyle w:val="VerbatimChar"/>
        </w:rPr>
        <w:t>jurisdictions/</w:t>
      </w:r>
      <w:r>
        <w:t xml:space="preserve"> covering PCT national/regional phase entry for major patent offices were validated by a domain expert (Robert Fichter, Ph.D.)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52E1A9EF" w14:textId="77777777" w:rsidR="00CD4C2C"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w:t>
      </w:r>
      <w:r>
        <w:rPr>
          <w:b/>
          <w:bCs/>
        </w:rPr>
        <w:t>these design hypotheses have not been validated through controlled experiments with practitioners</w:t>
      </w:r>
      <w:r>
        <w:t>. This limitation should be considered when evaluating claims about the language’s accessibility.</w:t>
      </w:r>
    </w:p>
    <w:p w14:paraId="36412A44" w14:textId="77777777" w:rsidR="00CD4C2C"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64F53289" w14:textId="77777777" w:rsidR="00CD4C2C" w:rsidRDefault="00000000">
      <w:pPr>
        <w:pStyle w:val="Heading2"/>
      </w:pPr>
      <w:bookmarkStart w:id="56" w:name="discussion"/>
      <w:bookmarkEnd w:id="51"/>
      <w:bookmarkEnd w:id="55"/>
      <w:r>
        <w:t>8. Discussion</w:t>
      </w:r>
    </w:p>
    <w:p w14:paraId="2DA091E7" w14:textId="77777777" w:rsidR="00CD4C2C" w:rsidRDefault="00000000">
      <w:pPr>
        <w:pStyle w:val="Heading3"/>
      </w:pPr>
      <w:bookmarkStart w:id="57" w:name="advantages-of-dsl-based-standardization"/>
      <w:r>
        <w:t>8.1 Advantages of DSL-Based Standardization</w:t>
      </w:r>
    </w:p>
    <w:p w14:paraId="040A267C" w14:textId="77777777" w:rsidR="00CD4C2C"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1473152D" w14:textId="77777777" w:rsidR="00CD4C2C" w:rsidRDefault="00000000">
      <w:pPr>
        <w:pStyle w:val="BodyText"/>
      </w:pPr>
      <w:r>
        <w:rPr>
          <w:b/>
          <w:bCs/>
        </w:rPr>
        <w:t>Formal verification.</w:t>
      </w:r>
      <w:r>
        <w:t xml:space="preserve"> Static completeness checking (exhaustive mode) and monotonicity checking provide formal guarantees impossible with imperative implementations. For domains within the exhaustive threshold, practitioners can be confident that fee definitions cover all cases and behave predictably.</w:t>
      </w:r>
    </w:p>
    <w:p w14:paraId="1E0026AF" w14:textId="77777777" w:rsidR="00CD4C2C"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06D8B80F" w14:textId="77777777" w:rsidR="00CD4C2C" w:rsidRDefault="00000000">
      <w:pPr>
        <w:pStyle w:val="BodyText"/>
      </w:pPr>
      <w:r>
        <w:rPr>
          <w:b/>
          <w:bCs/>
        </w:rPr>
        <w:lastRenderedPageBreak/>
        <w:t>Rapid adaptation.</w:t>
      </w:r>
      <w:r>
        <w:t xml:space="preserve"> Government fee schedules change frequently. IPFLang enables updates through script editing and verification, compared to longer cycles for traditional software development.</w:t>
      </w:r>
    </w:p>
    <w:p w14:paraId="4319B891" w14:textId="77777777" w:rsidR="00CD4C2C" w:rsidRDefault="00000000">
      <w:pPr>
        <w:pStyle w:val="Heading3"/>
      </w:pPr>
      <w:bookmarkStart w:id="58" w:name="cross-domain-applicability"/>
      <w:bookmarkEnd w:id="57"/>
      <w:r>
        <w:t>8.2 Cross-Domain Applicability</w:t>
      </w:r>
    </w:p>
    <w:p w14:paraId="4CCA7774" w14:textId="77777777" w:rsidR="00CD4C2C" w:rsidRDefault="00000000">
      <w:pPr>
        <w:pStyle w:val="FirstParagraph"/>
      </w:pPr>
      <w:r>
        <w:t>IPFLang’s design patterns address common regulatory calculation structures beyond intellectual property.</w:t>
      </w:r>
    </w:p>
    <w:p w14:paraId="0E5582BF" w14:textId="77777777" w:rsidR="00CD4C2C"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0185988E" w14:textId="77777777" w:rsidR="00CD4C2C"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7D3A37C7" w14:textId="77777777" w:rsidR="00CD4C2C"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3D7AD657" w14:textId="77777777" w:rsidR="00CD4C2C"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2C7D8F2A" w14:textId="77777777" w:rsidR="00CD4C2C"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67EA03A4" w14:textId="77777777" w:rsidR="00CD4C2C" w:rsidRDefault="00000000">
      <w:pPr>
        <w:pStyle w:val="Heading3"/>
      </w:pPr>
      <w:bookmarkStart w:id="59" w:name="limitations"/>
      <w:bookmarkEnd w:id="58"/>
      <w:r>
        <w:t>8.3 Limitations</w:t>
      </w:r>
    </w:p>
    <w:p w14:paraId="179A8C10" w14:textId="77777777" w:rsidR="00CD4C2C"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1EFC015B" w14:textId="77777777" w:rsidR="00CD4C2C" w:rsidRDefault="00000000">
      <w:pPr>
        <w:pStyle w:val="BodyText"/>
      </w:pPr>
      <w:r>
        <w:t>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for domain experts have not been conducted, and design decisions favoring readability (keyword operators, explicit block delimiters) are based on DSL design principles [16, 23] rather than empirical evidence. This constitutes a gap that future work must address.</w:t>
      </w:r>
    </w:p>
    <w:p w14:paraId="44CCB4BC" w14:textId="77777777" w:rsidR="00CD4C2C" w:rsidRDefault="00000000">
      <w:pPr>
        <w:pStyle w:val="BodyText"/>
      </w:pPr>
      <w:r>
        <w:lastRenderedPageBreak/>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7FB746B0" w14:textId="77777777" w:rsidR="00CD4C2C" w:rsidRDefault="00000000">
      <w:pPr>
        <w:pStyle w:val="Heading2"/>
      </w:pPr>
      <w:bookmarkStart w:id="60" w:name="conclusions-and-future-work"/>
      <w:bookmarkEnd w:id="56"/>
      <w:bookmarkEnd w:id="59"/>
      <w:r>
        <w:t>9. Conclusions and Future Work</w:t>
      </w:r>
    </w:p>
    <w:p w14:paraId="351FC899" w14:textId="77777777" w:rsidR="00CD4C2C" w:rsidRDefault="00000000">
      <w:pPr>
        <w:pStyle w:val="FirstParagraph"/>
      </w:pPr>
      <w:r>
        <w:t>This paper introduced IPFLang, a domain-specific language for standardizing intellectual property fee calculations. The key contributions are:</w:t>
      </w:r>
    </w:p>
    <w:p w14:paraId="1F5F5666" w14:textId="77777777" w:rsidR="00CD4C2C"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27823F1A" w14:textId="77777777" w:rsidR="00CD4C2C"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4ABB9D30" w14:textId="77777777" w:rsidR="00CD4C2C"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1A8A24FD" w14:textId="77777777" w:rsidR="00CD4C2C" w:rsidRDefault="00000000">
      <w:pPr>
        <w:numPr>
          <w:ilvl w:val="0"/>
          <w:numId w:val="6"/>
        </w:numPr>
      </w:pPr>
      <w:r>
        <w:rPr>
          <w:b/>
          <w:bCs/>
        </w:rPr>
        <w:t>Provenance tracking</w:t>
      </w:r>
      <w:r>
        <w:t xml:space="preserve"> with counterfactual analysis supporting auditability requirements for regulatory compliance and dispute resolution.</w:t>
      </w:r>
    </w:p>
    <w:p w14:paraId="40B9BCA0" w14:textId="77777777" w:rsidR="00CD4C2C" w:rsidRDefault="00000000">
      <w:pPr>
        <w:numPr>
          <w:ilvl w:val="0"/>
          <w:numId w:val="6"/>
        </w:numPr>
      </w:pPr>
      <w:r>
        <w:rPr>
          <w:b/>
          <w:bCs/>
        </w:rPr>
        <w:t>Reference implementation</w:t>
      </w:r>
      <w:r>
        <w:t xml:space="preserve"> validated through 266 passing tests, verification against official EPO and USPTO fee schedules, and 118 production jurisdiction files covering PCT national/regional phase entry.</w:t>
      </w:r>
    </w:p>
    <w:p w14:paraId="3086213D" w14:textId="77777777" w:rsidR="00CD4C2C"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24B5F635" w14:textId="77777777" w:rsidR="00CD4C2C" w:rsidRDefault="00000000">
      <w:pPr>
        <w:pStyle w:val="BodyText"/>
      </w:pPr>
      <w:r>
        <w:rPr>
          <w:b/>
          <w:bCs/>
        </w:rPr>
        <w:t>Future work</w:t>
      </w:r>
      <w:r>
        <w:t xml:space="preserve"> 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safety proofs in a proof assistant such as Coq or F*; and (5) </w:t>
      </w:r>
      <w:r>
        <w:rPr>
          <w:b/>
          <w:bCs/>
        </w:rPr>
        <w:t>user studies with IP practitioners to empirically evaluate the readability and usability of the DSL syntax</w:t>
      </w:r>
      <w:r>
        <w:t>, addressing the current gap between design-based readability claims and empirical validation.</w:t>
      </w:r>
    </w:p>
    <w:p w14:paraId="73B308F2" w14:textId="03714818" w:rsidR="00CD4C2C" w:rsidRDefault="00000000">
      <w:pPr>
        <w:pStyle w:val="BodyText"/>
      </w:pPr>
      <w:r>
        <w:t xml:space="preserve">The open-source implementation is available at </w:t>
      </w:r>
      <w:hyperlink r:id="rId9" w:history="1">
        <w:r w:rsidR="0025530B" w:rsidRPr="00213429">
          <w:rPr>
            <w:rStyle w:val="Hyperlink"/>
          </w:rPr>
          <w:t>https://github.com/vbocan/IPFLang</w:t>
        </w:r>
      </w:hyperlink>
      <w:r>
        <w:t xml:space="preserve"> under GPLv3.</w:t>
      </w:r>
    </w:p>
    <w:p w14:paraId="47BF15B3" w14:textId="77777777" w:rsidR="00CD4C2C" w:rsidRDefault="00000000">
      <w:pPr>
        <w:pStyle w:val="Heading2"/>
      </w:pPr>
      <w:bookmarkStart w:id="61" w:name="references"/>
      <w:bookmarkEnd w:id="60"/>
      <w:r>
        <w:lastRenderedPageBreak/>
        <w:t>References</w:t>
      </w:r>
    </w:p>
    <w:p w14:paraId="08B041F5" w14:textId="77777777" w:rsidR="00CD4C2C" w:rsidRDefault="00000000">
      <w:pPr>
        <w:pStyle w:val="FirstParagraph"/>
      </w:pPr>
      <w:r>
        <w:t>[1] United States Patent and Trademark Office, 2025. USPTO Fee Schedule. https://www.uspto.gov/learning-and-resources/fees-and-payment/uspto-fee-schedule (accessed 15 December 2024).</w:t>
      </w:r>
    </w:p>
    <w:p w14:paraId="6CDF03E1" w14:textId="77777777" w:rsidR="00CD4C2C" w:rsidRDefault="00000000">
      <w:pPr>
        <w:pStyle w:val="BodyText"/>
      </w:pPr>
      <w:r>
        <w:t>[2] European Patent Office, 2024. EPO Schedule of Fees. https://my.epoline.org/epoline-portal/classic/epoline.Scheduleoffees (accessed 15 December 2024).</w:t>
      </w:r>
    </w:p>
    <w:p w14:paraId="42A4D190" w14:textId="77777777" w:rsidR="00CD4C2C" w:rsidRDefault="00000000">
      <w:pPr>
        <w:pStyle w:val="BodyText"/>
      </w:pPr>
      <w:r>
        <w:t>[3] Japan Patent Office, 2024. JPO Fee Information. https://www.jpo.go.jp/ (accessed 15 December 2024).</w:t>
      </w:r>
    </w:p>
    <w:p w14:paraId="480860D9" w14:textId="77777777" w:rsidR="00CD4C2C" w:rsidRDefault="00000000">
      <w:pPr>
        <w:pStyle w:val="BodyText"/>
      </w:pPr>
      <w:r>
        <w:t>[4] World Intellectual Property Organization, 2024. WIPO PCT Fee Tables. https://www.wipo.int/ (accessed 15 December 2024).</w:t>
      </w:r>
    </w:p>
    <w:p w14:paraId="04782F04" w14:textId="77777777" w:rsidR="00CD4C2C" w:rsidRDefault="00000000">
      <w:pPr>
        <w:pStyle w:val="BodyText"/>
      </w:pPr>
      <w:r>
        <w:t>[5] CPA Global (Clarivate), 2024. IP Management Solutions. https://www.cpaglobal.com/ (accessed 15 December 2024).</w:t>
      </w:r>
    </w:p>
    <w:p w14:paraId="11B05930" w14:textId="77777777" w:rsidR="00CD4C2C"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355A4AC6" w14:textId="77777777" w:rsidR="00CD4C2C" w:rsidRDefault="00000000">
      <w:pPr>
        <w:pStyle w:val="BodyText"/>
      </w:pPr>
      <w:r>
        <w:t>[7] D. Merigoux, N. Chataing, J. Protzenko, Catala: A Programming Language for the Law, Proc. ACM Program. Lang. 5 (ICFP) (2021) Article 77. https://doi.org/10.1145/3473582.</w:t>
      </w:r>
    </w:p>
    <w:p w14:paraId="63F35A94" w14:textId="77777777" w:rsidR="00CD4C2C" w:rsidRDefault="00000000">
      <w:pPr>
        <w:pStyle w:val="BodyText"/>
      </w:pPr>
      <w:r>
        <w:t>[8] World Intellectual Property Organization, 2023. WIPO ST.96 - Processing of IP Information using XML. https://www.wipo.int/standards/en/st96.html (accessed 15 December 2024).</w:t>
      </w:r>
    </w:p>
    <w:p w14:paraId="09E6D901" w14:textId="77777777" w:rsidR="00CD4C2C" w:rsidRDefault="00000000">
      <w:pPr>
        <w:pStyle w:val="BodyText"/>
      </w:pPr>
      <w:r>
        <w:t>[9] European Patent Office, 2024. EPO Open Patent Services (OPS) API. https://www.epo.org/searching-for-patents/data/web-services/ops.html (accessed 15 December 2024).</w:t>
      </w:r>
    </w:p>
    <w:p w14:paraId="781FAACA" w14:textId="77777777" w:rsidR="00CD4C2C" w:rsidRDefault="00000000">
      <w:pPr>
        <w:pStyle w:val="BodyText"/>
      </w:pPr>
      <w:r>
        <w:t>[10] T. Hvitved, Contract Formalisation and Modular Implementation of Domain-Specific Languages, PhD Thesis, University of Copenhagen, Denmark, 2011.</w:t>
      </w:r>
    </w:p>
    <w:p w14:paraId="71E806C2" w14:textId="77777777" w:rsidR="00CD4C2C" w:rsidRDefault="00000000">
      <w:pPr>
        <w:pStyle w:val="BodyText"/>
      </w:pPr>
      <w:r>
        <w:t>[11] A. Kennedy, Types for Units-of-Measure: Theory and Practice, in: Central European Functional Programming School (CEFP 2009), Springer, 2010, pp. 268–305. https://doi.org/10.1007/978-3-642-17685-2_8.</w:t>
      </w:r>
    </w:p>
    <w:p w14:paraId="6D583896" w14:textId="77777777" w:rsidR="00CD4C2C" w:rsidRDefault="00000000">
      <w:pPr>
        <w:pStyle w:val="BodyText"/>
      </w:pPr>
      <w:r>
        <w:t>[12] OpenFisca Contributors, 2024. OpenFisca: Open-source platform for tax-benefit microsimulation. https://openfisca.org/ (accessed 15 December 2024).</w:t>
      </w:r>
    </w:p>
    <w:p w14:paraId="6C7FB2EC" w14:textId="77777777" w:rsidR="00CD4C2C" w:rsidRDefault="00000000">
      <w:pPr>
        <w:pStyle w:val="BodyText"/>
      </w:pPr>
      <w:r>
        <w:t>[13] Red Hat, 2024. Drools Business Rules Management System. https://www.drools.org/ (accessed 15 December 2024).</w:t>
      </w:r>
    </w:p>
    <w:p w14:paraId="79FFFF3E" w14:textId="77777777" w:rsidR="00CD4C2C" w:rsidRDefault="00000000">
      <w:pPr>
        <w:pStyle w:val="BodyText"/>
      </w:pPr>
      <w:r>
        <w:t>[14] New Zealand Government, 2018. Better Rules for Government Discovery Report. https://www.digital.govt.nz/dmsdocument/95-better-rules-for-government-discovery-report/html (accessed 15 December 2024).</w:t>
      </w:r>
    </w:p>
    <w:p w14:paraId="6CEFE2EF" w14:textId="77777777" w:rsidR="00CD4C2C" w:rsidRDefault="00000000">
      <w:pPr>
        <w:pStyle w:val="BodyText"/>
      </w:pPr>
      <w:r>
        <w:t>[15] M. Waddington, Rules as Code, IEEE IT Prof. 22 (3) (2020) 14–19.</w:t>
      </w:r>
    </w:p>
    <w:p w14:paraId="49E1DCF1" w14:textId="77777777" w:rsidR="00CD4C2C" w:rsidRDefault="00000000">
      <w:pPr>
        <w:pStyle w:val="BodyText"/>
      </w:pPr>
      <w:r>
        <w:lastRenderedPageBreak/>
        <w:t>[16] M. Fowler, Domain-Specific Languages, Addison-Wesley, Boston, 2010.</w:t>
      </w:r>
    </w:p>
    <w:p w14:paraId="78E5D59A" w14:textId="77777777" w:rsidR="00CD4C2C" w:rsidRDefault="00000000">
      <w:pPr>
        <w:pStyle w:val="BodyText"/>
      </w:pPr>
      <w:r>
        <w:t>[17] A.V. Aho, M.S. Lam, R. Sethi, J.D. Ullman, Compilers: Principles, Techniques, and Tools, second ed., Addison-Wesley, Boston, 2006.</w:t>
      </w:r>
    </w:p>
    <w:p w14:paraId="24405CCC" w14:textId="77777777" w:rsidR="00CD4C2C" w:rsidRDefault="00000000">
      <w:pPr>
        <w:pStyle w:val="BodyText"/>
      </w:pPr>
      <w:r>
        <w:t>[18] C.V. Chien, Holding Up and Holding Out, Michigan Telecommunications and Technology Law Review 21 (1) (2014) 1–44.</w:t>
      </w:r>
    </w:p>
    <w:p w14:paraId="5434CEA8" w14:textId="77777777" w:rsidR="00CD4C2C"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08E8E6FD" w14:textId="77777777" w:rsidR="00CD4C2C" w:rsidRDefault="00000000">
      <w:pPr>
        <w:pStyle w:val="BodyText"/>
      </w:pPr>
      <w:r>
        <w:t>[20] D. Orchard, V.-B. Liepelt, H. Eades III, Quantitative Program Reasoning with Graded Modal Types, Proc. ACM Program. Lang. 3 (ICFP) (2019) Article 110. https://doi.org/10.1145/3341714.</w:t>
      </w:r>
    </w:p>
    <w:p w14:paraId="69F23739" w14:textId="77777777" w:rsidR="00CD4C2C" w:rsidRDefault="00000000">
      <w:pPr>
        <w:pStyle w:val="BodyText"/>
      </w:pPr>
      <w:r>
        <w:t>[21] J. Mohun, A. Roberts, Cracking the Code: Rulemaking for Humans and Machines, OECD Working Papers on Public Governance, No. 42, OECD Publishing, Paris, 2020. https://doi.org/10.1787/3afe6ba5-en.</w:t>
      </w:r>
    </w:p>
    <w:p w14:paraId="0C3D7235" w14:textId="77777777" w:rsidR="00CD4C2C" w:rsidRDefault="00000000">
      <w:pPr>
        <w:pStyle w:val="BodyText"/>
      </w:pPr>
      <w:r>
        <w:t>[22] D. Rapson, J. Sheridan, J. Mohun, A. Roberts, Rules as Code for a More Transparent and Efficient Global Economy, Centre for International Governance Innovation (CIGI), Policy Brief No. 187, 2023.</w:t>
      </w:r>
    </w:p>
    <w:p w14:paraId="2C530F55" w14:textId="77777777" w:rsidR="00CD4C2C" w:rsidRDefault="00000000">
      <w:pPr>
        <w:pStyle w:val="BodyText"/>
      </w:pPr>
      <w:r>
        <w:t>[23] M. Mernik, J. Heering, A.M. Sloane, When and How to Develop Domain-Specific Languages, ACM Comput. Surv. 37 (4) (2005) 316–344. https://doi.org/10.1145/1118890.1118892.</w:t>
      </w:r>
    </w:p>
    <w:p w14:paraId="097FEC93" w14:textId="77777777" w:rsidR="00CD4C2C" w:rsidRDefault="00000000">
      <w:pPr>
        <w:pStyle w:val="BodyText"/>
      </w:pPr>
      <w:r>
        <w:t>[24] Java Community Process, JSR 354: Money and Currency API, Java Specification Request, 2015. https://jcp.org/en/jsr/detail?id=354 (accessed 15 December 2024).</w:t>
      </w:r>
    </w:p>
    <w:p w14:paraId="0BA37BD4" w14:textId="77777777" w:rsidR="00CD4C2C" w:rsidRDefault="00000000">
      <w:pPr>
        <w:pStyle w:val="BodyText"/>
      </w:pPr>
      <w:r>
        <w:t>[25] P. Cousot, R. Cousot, Abstract Interpretation: A Unified Lattice Model for Static Analysis of Programs by Construction or Approximation of Fixpoints, in: Proc. 4th ACM SIGACT-SIGPLAN Symposium on Principles of Programming Languages (POPL), ACM, 1977, pp. 238–252. https://doi.org/10.1145/512950.512973.</w:t>
      </w:r>
    </w:p>
    <w:p w14:paraId="19D21EE1" w14:textId="77777777" w:rsidR="00CD4C2C" w:rsidRDefault="00000000">
      <w:pPr>
        <w:pStyle w:val="BodyText"/>
      </w:pPr>
      <w:r>
        <w:t>[26] T. Dardinier, G. Parthasarathy, P. Müller, Verification-Preserving Inlining in Automatic Separation Logic Verifiers, Proc. ACM Program. Lang. 7 (OOPSLA1) (2023) Article 80. https://doi.org/10.1145/3586054.</w:t>
      </w:r>
    </w:p>
    <w:p w14:paraId="265E0361" w14:textId="77777777" w:rsidR="00CD4C2C" w:rsidRDefault="00000000">
      <w:pPr>
        <w:pStyle w:val="Heading2"/>
      </w:pPr>
      <w:bookmarkStart w:id="62" w:name="author-biography"/>
      <w:bookmarkEnd w:id="61"/>
      <w:r>
        <w:t>Author Biography</w:t>
      </w:r>
    </w:p>
    <w:p w14:paraId="7FB469BD" w14:textId="77777777" w:rsidR="00CD4C2C"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w:t>
      </w:r>
      <w:r>
        <w:lastRenderedPageBreak/>
        <w:t>management system), QRNG Data Diode (quantum random number generation infrastructure), and Delta Forth (a Forth language implementation for .NET).</w:t>
      </w:r>
    </w:p>
    <w:p w14:paraId="699EFE69" w14:textId="77777777" w:rsidR="00CD4C2C" w:rsidRDefault="00000000">
      <w:pPr>
        <w:pStyle w:val="Heading2"/>
      </w:pPr>
      <w:bookmarkStart w:id="63" w:name="acknowledgments"/>
      <w:bookmarkEnd w:id="62"/>
      <w:r>
        <w:t>Acknowledgments</w:t>
      </w:r>
    </w:p>
    <w:p w14:paraId="1392F1CA" w14:textId="77777777" w:rsidR="00CD4C2C"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07529E97" w14:textId="77777777" w:rsidR="00CD4C2C" w:rsidRDefault="00000000">
      <w:pPr>
        <w:pStyle w:val="Heading2"/>
      </w:pPr>
      <w:bookmarkStart w:id="64" w:name="data-availability-statement"/>
      <w:bookmarkEnd w:id="63"/>
      <w:r>
        <w:t>Data Availability Statement</w:t>
      </w:r>
    </w:p>
    <w:p w14:paraId="079AAFEC" w14:textId="77777777" w:rsidR="00CD4C2C" w:rsidRDefault="00000000">
      <w:pPr>
        <w:pStyle w:val="FirstParagraph"/>
      </w:pPr>
      <w:r>
        <w:t>The IPFLang reference implementation, including all example files and test suite, is available under GPLv3 at https://github.com/vbocan/IPFLang.</w:t>
      </w:r>
    </w:p>
    <w:p w14:paraId="58111BCF" w14:textId="77777777" w:rsidR="00CD4C2C" w:rsidRDefault="00000000">
      <w:pPr>
        <w:pStyle w:val="Heading2"/>
      </w:pPr>
      <w:bookmarkStart w:id="65" w:name="funding"/>
      <w:bookmarkEnd w:id="64"/>
      <w:r>
        <w:t>Funding</w:t>
      </w:r>
    </w:p>
    <w:p w14:paraId="2364BB14" w14:textId="77777777" w:rsidR="00CD4C2C" w:rsidRDefault="00000000">
      <w:pPr>
        <w:pStyle w:val="FirstParagraph"/>
      </w:pPr>
      <w:r>
        <w:t>This research did not receive any specific grant from funding agencies in the public, commercial, or not-for-profit sectors.</w:t>
      </w:r>
    </w:p>
    <w:p w14:paraId="73B08DB3" w14:textId="77777777" w:rsidR="00CD4C2C" w:rsidRDefault="00000000">
      <w:pPr>
        <w:pStyle w:val="Heading2"/>
      </w:pPr>
      <w:bookmarkStart w:id="66" w:name="credit-author-contribution-statement"/>
      <w:bookmarkEnd w:id="65"/>
      <w:proofErr w:type="spellStart"/>
      <w:r>
        <w:t>CRediT</w:t>
      </w:r>
      <w:proofErr w:type="spellEnd"/>
      <w:r>
        <w:t xml:space="preserve"> Author Contribution Statement</w:t>
      </w:r>
    </w:p>
    <w:p w14:paraId="5738F513" w14:textId="77777777" w:rsidR="00CD4C2C"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1BB3A5BA" w14:textId="77777777" w:rsidR="00CD4C2C" w:rsidRDefault="00000000">
      <w:pPr>
        <w:pStyle w:val="Heading2"/>
      </w:pPr>
      <w:bookmarkStart w:id="67" w:name="declaration-of-competing-interests"/>
      <w:bookmarkEnd w:id="66"/>
      <w:r>
        <w:t>Declaration of Competing Interests</w:t>
      </w:r>
    </w:p>
    <w:p w14:paraId="55E995E1" w14:textId="77777777" w:rsidR="00CD4C2C" w:rsidRDefault="00000000">
      <w:pPr>
        <w:pStyle w:val="FirstParagraph"/>
      </w:pPr>
      <w:r>
        <w:t>The author declares no competing interests. IPFLang is released as open-source software with no commercial affiliations.</w:t>
      </w:r>
      <w:bookmarkEnd w:id="0"/>
      <w:bookmarkEnd w:id="67"/>
    </w:p>
    <w:sectPr w:rsidR="00CD4C2C" w:rsidSect="0025530B">
      <w:footerReference w:type="default" r:id="rId10"/>
      <w:footnotePr>
        <w:numRestart w:val="eachSect"/>
      </w:footnotePr>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E4313" w14:textId="77777777" w:rsidR="00B046C6" w:rsidRDefault="00B046C6" w:rsidP="0025530B">
      <w:pPr>
        <w:spacing w:after="0"/>
      </w:pPr>
      <w:r>
        <w:separator/>
      </w:r>
    </w:p>
  </w:endnote>
  <w:endnote w:type="continuationSeparator" w:id="0">
    <w:p w14:paraId="05862C57" w14:textId="77777777" w:rsidR="00B046C6" w:rsidRDefault="00B046C6" w:rsidP="002553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58940"/>
      <w:docPartObj>
        <w:docPartGallery w:val="Page Numbers (Bottom of Page)"/>
        <w:docPartUnique/>
      </w:docPartObj>
    </w:sdtPr>
    <w:sdtEndPr>
      <w:rPr>
        <w:noProof/>
      </w:rPr>
    </w:sdtEndPr>
    <w:sdtContent>
      <w:p w14:paraId="6314AF23" w14:textId="548F7A85" w:rsidR="0025530B" w:rsidRDefault="002553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60C1A0" w14:textId="77777777" w:rsidR="0025530B" w:rsidRDefault="002553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F1233" w14:textId="77777777" w:rsidR="00B046C6" w:rsidRDefault="00B046C6" w:rsidP="0025530B">
      <w:pPr>
        <w:spacing w:after="0"/>
      </w:pPr>
      <w:r>
        <w:separator/>
      </w:r>
    </w:p>
  </w:footnote>
  <w:footnote w:type="continuationSeparator" w:id="0">
    <w:p w14:paraId="14C0313F" w14:textId="77777777" w:rsidR="00B046C6" w:rsidRDefault="00B046C6" w:rsidP="0025530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7A6A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EA052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73086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75674086">
    <w:abstractNumId w:val="0"/>
  </w:num>
  <w:num w:numId="2" w16cid:durableId="45836364">
    <w:abstractNumId w:val="1"/>
  </w:num>
  <w:num w:numId="3" w16cid:durableId="1416240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00921345">
    <w:abstractNumId w:val="1"/>
  </w:num>
  <w:num w:numId="5" w16cid:durableId="542639883">
    <w:abstractNumId w:val="1"/>
  </w:num>
  <w:num w:numId="6" w16cid:durableId="4009038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D4C2C"/>
    <w:rsid w:val="0025530B"/>
    <w:rsid w:val="00577CF9"/>
    <w:rsid w:val="00B046C6"/>
    <w:rsid w:val="00CD4C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42C1B"/>
  <w15:docId w15:val="{CB957EEF-F487-4EF6-A32B-6CB84EBB1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25530B"/>
    <w:rPr>
      <w:color w:val="605E5C"/>
      <w:shd w:val="clear" w:color="auto" w:fill="E1DFDD"/>
    </w:rPr>
  </w:style>
  <w:style w:type="paragraph" w:styleId="Header">
    <w:name w:val="header"/>
    <w:basedOn w:val="Normal"/>
    <w:link w:val="HeaderChar"/>
    <w:rsid w:val="0025530B"/>
    <w:pPr>
      <w:tabs>
        <w:tab w:val="center" w:pos="4680"/>
        <w:tab w:val="right" w:pos="9360"/>
      </w:tabs>
      <w:spacing w:after="0"/>
    </w:pPr>
  </w:style>
  <w:style w:type="character" w:customStyle="1" w:styleId="HeaderChar">
    <w:name w:val="Header Char"/>
    <w:basedOn w:val="DefaultParagraphFont"/>
    <w:link w:val="Header"/>
    <w:rsid w:val="0025530B"/>
  </w:style>
  <w:style w:type="paragraph" w:styleId="Footer">
    <w:name w:val="footer"/>
    <w:basedOn w:val="Normal"/>
    <w:link w:val="FooterChar"/>
    <w:uiPriority w:val="99"/>
    <w:rsid w:val="0025530B"/>
    <w:pPr>
      <w:tabs>
        <w:tab w:val="center" w:pos="4680"/>
        <w:tab w:val="right" w:pos="9360"/>
      </w:tabs>
      <w:spacing w:after="0"/>
    </w:pPr>
  </w:style>
  <w:style w:type="character" w:customStyle="1" w:styleId="FooterChar">
    <w:name w:val="Footer Char"/>
    <w:basedOn w:val="DefaultParagraphFont"/>
    <w:link w:val="Footer"/>
    <w:uiPriority w:val="99"/>
    <w:rsid w:val="0025530B"/>
  </w:style>
  <w:style w:type="table" w:styleId="ListTable3">
    <w:name w:val="List Table 3"/>
    <w:basedOn w:val="TableNormal"/>
    <w:uiPriority w:val="48"/>
    <w:rsid w:val="0025530B"/>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aler.bocan@up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vbocan/IPFL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020D3-B041-4B8B-9F14-AD9A395C6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28</Pages>
  <Words>9711</Words>
  <Characters>55353</Characters>
  <Application>Microsoft Office Word</Application>
  <DocSecurity>0</DocSecurity>
  <Lines>461</Lines>
  <Paragraphs>129</Paragraphs>
  <ScaleCrop>false</ScaleCrop>
  <Company/>
  <LinksUpToDate>false</LinksUpToDate>
  <CharactersWithSpaces>64935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2</cp:revision>
  <dcterms:created xsi:type="dcterms:W3CDTF">2025-12-17T04:03:00Z</dcterms:created>
  <dcterms:modified xsi:type="dcterms:W3CDTF">2025-12-17T04:10:00Z</dcterms:modified>
</cp:coreProperties>
</file>